
<file path=[Content_Types].xml><?xml version="1.0" encoding="utf-8"?>
<Types xmlns="http://schemas.openxmlformats.org/package/2006/content-types">
  <Default Extension="rels" ContentType="application/vnd.openxmlformats-package.relationships+xml"/>
  <Default Extension="xml" ContentType="application/xml"/>
  <Default Extension="bmp" ContentType="image/bmp"/>
  <Default Extension="jpeg" ContentType="image/jpeg"/>
  <Default Extension="png" ContentType="image/png"/>
  <Default Extension="gif" ContentType="image/gif"/>
  <Default Extension="tif" ContentType="image/tif"/>
  <Default Extension="emf" ContentType="image/x-emf"/>
  <Default Extension="wmf" ContentType="image/x-wmf"/>
  <Default Extension="pct" ContentType="image/pct"/>
  <Default Extension="pcx" ContentType="image/pcx"/>
  <Default Extension="tga" ContentType="image/tga"/>
  <Default Extension="svg" ContentType="image/svg+xml"/>
  <Default Extension="webp" ContentType="image/png"/>
  <Default Extension="bin" ContentType="application/vnd.openxmlformats-officedocument.oleObject"/>
  <Override PartName="/docProps/core.xml" ContentType="application/vnd.openxmlformats-package.core-properties+xml"/>
  <Override PartName="/docProps/app.xml" ContentType="application/vnd.openxmlformats-officedocument.extended-properties+xml"/>
  <Override PartName="/word/webSettings.xml" ContentType="application/vnd.openxmlformats-officedocument.wordprocessingml.webSetting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document.xml" ContentType="application/vnd.openxmlformats-officedocument.wordprocessingml.document.main+xml"/>
  <Override PartName="/word/footnotes.xml" ContentType="application/vnd.openxmlformats-officedocument.wordprocessingml.footnotes+xml"/>
  <Override PartName="/word/header1.xml" ContentType="application/vnd.openxmlformats-officedocument.wordprocessingml.header+xml"/>
</Types>
</file>

<file path=_rels/.rels><?xml version="1.0" encoding="UTF-8" standalone="yes" ?>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body>
    <w:p>
      <w:pPr>
        <w:pStyle w:val="para4"/>
        <w:ind w:left="6300" w:right="-334" w:firstLine="0"/>
        <w:spacing w:before="0" w:after="0" w:beforeAutospacing="0" w:afterAutospacing="0"/>
      </w:pPr>
      <w:r>
        <w:rPr>
          <w:noProof/>
        </w:rPr>
        <w:drawing>
          <wp:inline distT="0" distB="0" distL="0" distR="0">
            <wp:extent cx="1816735" cy="728980"/>
            <wp:effectExtent l="0" t="0" r="0" b="0"/>
            <wp:docPr id="1" name="Picture1"/>
            <wp:cNvGraphicFramePr/>
            <a:graphic xmlns:a="http://schemas.openxmlformats.org/drawingml/2006/main">
              <a:graphicData uri="http://schemas.openxmlformats.org/drawingml/2006/picture">
                <pic:pic xmlns:pic="http://schemas.openxmlformats.org/drawingml/2006/picture">
                  <pic:nvPicPr>
                    <pic:cNvPr id="1" name="Picture1"/>
                    <pic:cNvPicPr>
                      <a:extLst>
                        <a:ext uri="sm">
                          <sm:smNativeData xmlns:sm="sm" val="SMDATA_17_A7nJZxMAAAAlAAAAEQAAAA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ByAAAAAAAAAAAAAAAAAAAAAAAAAAAAAAAAAAAAAAAAAAAAAALQsAAHwEAAAAAAAAAAAAAAAAAAAoAAAACAAAAAEAAAABAAAAMAAAABQAAAAAAAAAAAD//wAAAQAAAP//AAABAA=="/>
                        </a:ext>
                      </a:extLst>
                    </pic:cNvPicPr>
                  </pic:nvPicPr>
                  <pic:blipFill>
                    <a:blip r:embed="rId8"/>
                    <a:stretch>
                      <a:fillRect/>
                    </a:stretch>
                  </pic:blipFill>
                  <pic:spPr>
                    <a:xfrm>
                      <a:off x="0" y="0"/>
                      <a:ext cx="1816735" cy="728980"/>
                    </a:xfrm>
                    <a:prstGeom prst="rect">
                      <a:avLst/>
                    </a:prstGeom>
                    <a:noFill/>
                    <a:ln w="12700">
                      <a:noFill/>
                    </a:ln>
                  </pic:spPr>
                </pic:pic>
              </a:graphicData>
            </a:graphic>
          </wp:inline>
        </w:drawing>
      </w:r>
      <w:r/>
    </w:p>
    <w:p>
      <w:pPr>
        <w:pStyle w:val="para4"/>
        <w:ind w:left="-180" w:right="-334"/>
        <w:spacing w:before="0" w:after="0" w:beforeAutospacing="0" w:afterAutospacing="0"/>
      </w:pPr>
      <w:r/>
    </w:p>
    <w:p>
      <w:pPr>
        <w:pStyle w:val="para4"/>
        <w:ind w:left="-180" w:right="-334"/>
        <w:spacing w:before="0" w:after="0" w:beforeAutospacing="0" w:afterAutospacing="0"/>
      </w:pPr>
      <w:r/>
    </w:p>
    <w:p>
      <w:pPr>
        <w:pStyle w:val="para4"/>
        <w:ind w:left="-180" w:right="-334"/>
        <w:spacing w:before="0" w:after="0" w:beforeAutospacing="0" w:afterAutospacing="0"/>
        <w:jc w:val="center"/>
        <w:rPr>
          <w:rFonts w:ascii="Arial" w:hAnsi="Arial" w:cs="Arial"/>
          <w:b/>
          <w:sz w:val="28"/>
          <w:szCs w:val="28"/>
        </w:rPr>
      </w:pPr>
      <w:r>
        <w:rPr>
          <w:rFonts w:ascii="Arial" w:hAnsi="Arial" w:cs="Arial"/>
          <w:b/>
          <w:sz w:val="28"/>
          <w:szCs w:val="28"/>
          <w:lang w:val="cy-gb"/>
        </w:rPr>
        <w:t>Postgraduate/Distance Learning Assignment</w:t>
        <w:br w:type="textWrapping"/>
        <w:t>coversheet &amp; feedback form</w:t>
      </w:r>
      <w:r>
        <w:rPr>
          <w:rFonts w:ascii="Arial" w:hAnsi="Arial" w:cs="Arial"/>
          <w:b/>
          <w:sz w:val="28"/>
          <w:szCs w:val="28"/>
        </w:rPr>
      </w:r>
    </w:p>
    <w:p>
      <w:pPr>
        <w:spacing/>
        <w:jc w:val="center"/>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8"/>
          <w:szCs w:val="28"/>
          <w:lang w:val="cy-gb"/>
        </w:rPr>
      </w:pPr>
      <w:r>
        <w:rPr>
          <w:rFonts w:ascii="Arial" w:hAnsi="Arial" w:eastAsia="SimSun" w:cs="Arial"/>
          <w:sz w:val="28"/>
          <w:szCs w:val="28"/>
          <w:lang w:val="cy-gb"/>
        </w:rPr>
      </w:r>
    </w:p>
    <w:p>
      <w:pPr>
        <w:pStyle w:val="para3"/>
        <w:spacing w:before="0" w:after="0" w:beforeAutospacing="0"/>
        <w:jc w:val="center"/>
        <w:keepLines w:val="0"/>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Tahoma" w:hAnsi="Tahoma" w:eastAsia="SimSun" w:cs="Tahoma"/>
          <w:sz w:val="20"/>
          <w:szCs w:val="20"/>
          <w:lang w:val="cy-gb"/>
        </w:rPr>
      </w:pPr>
      <w:r>
        <w:rPr>
          <w:rFonts w:ascii="Tahoma" w:hAnsi="Tahoma" w:eastAsia="SimSun" w:cs="Tahoma"/>
          <w:sz w:val="20"/>
          <w:szCs w:val="20"/>
          <w:lang w:val="cy-gb"/>
        </w:rPr>
        <w:t>THIS SHEET MUST BE THE FIRST PAGE OF THE ASSIGNMENT YOU ARE SUBMITTING</w:t>
        <w:br w:type="textWrapping"/>
        <w:t>(DO NOT SEND AS A SEPARATE FILE)</w:t>
      </w:r>
    </w:p>
    <w:p>
      <w:pPr>
        <w:pStyle w:val="para3"/>
        <w:ind w:left="720"/>
        <w:spacing w:before="0" w:after="0" w:beforeAutospacing="0"/>
        <w:jc w:val="center"/>
        <w:keepLines w:val="0"/>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Trebuchet MS" w:hAnsi="Trebuchet MS" w:eastAsia="SimSun" w:cs="Trebuchet MS"/>
          <w:sz w:val="20"/>
          <w:szCs w:val="20"/>
        </w:rPr>
      </w:pPr>
      <w:r>
        <w:rPr>
          <w:rFonts w:ascii="Trebuchet MS" w:hAnsi="Trebuchet MS" w:eastAsia="SimSun" w:cs="Trebuchet MS"/>
          <w:sz w:val="20"/>
          <w:szCs w:val="20"/>
        </w:rPr>
      </w:r>
    </w:p>
    <w:tbl>
      <w:tblPr>
        <w:tblStyle w:val="TableNormal"/>
        <w:name w:val="Table1"/>
        <w:tabOrder w:val="0"/>
        <w:jc w:val="left"/>
        <w:tblInd w:w="0" w:type="dxa"/>
        <w:tblW w:w="9639" w:type="dxa"/>
        <w:pPr>
          <w:spacing/>
          <w:jc w:val="left"/>
          <w:tabs defTabSz="720"/>
        </w:pPr>
        <w:tblLook w:val="0600" w:firstRow="0" w:lastRow="0" w:firstColumn="0" w:lastColumn="0" w:noHBand="1" w:noVBand="1"/>
      </w:tblPr>
      <w:tblGrid>
        <w:gridCol w:w="4778"/>
        <w:gridCol w:w="422"/>
        <w:gridCol w:w="1553"/>
        <w:gridCol w:w="286"/>
        <w:gridCol w:w="2600"/>
      </w:tblGrid>
      <w:tr>
        <w:trPr>
          <w:tblHeader w:val="0"/>
          <w:cantSplit w:val="0"/>
          <w:trHeight w:val="614"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pStyle w:val="para4"/>
              <w:ind w:right="34" w:firstLine="0"/>
              <w:spacing w:before="0" w:after="0" w:beforeAutospacing="0" w:afterAutospacing="0"/>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trPr>
          <w:tblHeader w:val="0"/>
          <w:cantSplit w:val="0"/>
          <w:trHeight w:val="718"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Student Name: Linda Parkinson-Hardman</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 xml:space="preserve">Student </w:t>
            </w:r>
            <w:r>
              <w:rPr>
                <w:rFonts w:ascii="Arial" w:hAnsi="Arial" w:cs="Arial"/>
                <w:b/>
                <w:bCs/>
                <w:sz w:val="22"/>
                <w:szCs w:val="22"/>
                <w:u w:color="auto" w:val="single"/>
              </w:rPr>
              <w:t>University</w:t>
            </w:r>
            <w:r>
              <w:rPr>
                <w:rFonts w:ascii="Arial" w:hAnsi="Arial" w:cs="Arial"/>
                <w:sz w:val="22"/>
                <w:szCs w:val="22"/>
                <w:u w:color="auto" w:val="single"/>
              </w:rPr>
              <w:t xml:space="preserve"> </w:t>
            </w:r>
            <w:r>
              <w:rPr>
                <w:rFonts w:ascii="Arial" w:hAnsi="Arial" w:cs="Arial"/>
                <w:sz w:val="22"/>
                <w:szCs w:val="22"/>
              </w:rPr>
              <w:t>Email: 2409122@student.uwtsd.ac.uk</w:t>
            </w:r>
          </w:p>
        </w:tc>
      </w:tr>
      <w:tr>
        <w:trPr>
          <w:tblHeader w:val="0"/>
          <w:cantSplit w:val="0"/>
          <w:trHeight w:val="849" w:hRule="atLeast"/>
        </w:trPr>
        <w:tc>
          <w:tcPr>
            <w:tcW w:w="4778"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Module code: HPCA7016</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Module title: Researching Contemporary Cosmologies</w:t>
            </w:r>
          </w:p>
          <w:p>
            <w:pPr>
              <w:pStyle w:val="para4"/>
              <w:ind w:right="34"/>
              <w:spacing w:before="0" w:after="0" w:beforeAutospacing="0" w:afterAutospacing="0"/>
              <w:rPr>
                <w:rFonts w:ascii="Arial" w:hAnsi="Arial" w:cs="Arial"/>
                <w:sz w:val="22"/>
                <w:szCs w:val="22"/>
              </w:rPr>
            </w:pPr>
            <w:r>
              <w:rPr>
                <w:rFonts w:ascii="Arial" w:hAnsi="Arial" w:cs="Arial"/>
                <w:sz w:val="22"/>
                <w:szCs w:val="22"/>
              </w:rPr>
            </w:r>
          </w:p>
        </w:tc>
        <w:tc>
          <w:tcPr>
            <w:tcW w:w="2261"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Student ID number:</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2409122</w:t>
            </w:r>
          </w:p>
        </w:tc>
        <w:tc>
          <w:tcPr>
            <w:tcW w:w="2600"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Educational support needs: No</w:t>
            </w:r>
          </w:p>
        </w:tc>
      </w:tr>
      <w:tr>
        <w:trPr>
          <w:tblHeader w:val="0"/>
          <w:cantSplit w:val="0"/>
          <w:trHeight w:val="1139"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Assignment title: A Critical Comparison of two Secondary Sources</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br w:type="textWrapping"/>
              <w:t>Word Count: 2,624</w:t>
            </w:r>
          </w:p>
          <w:p>
            <w:pPr>
              <w:pStyle w:val="para4"/>
              <w:ind w:right="34" w:firstLine="0"/>
              <w:spacing w:before="0" w:after="0" w:beforeAutospacing="0" w:afterAutospacing="0"/>
              <w:rPr>
                <w:rFonts w:ascii="Arial" w:hAnsi="Arial" w:cs="Arial"/>
                <w:color w:val="ff0000"/>
                <w:sz w:val="22"/>
                <w:szCs w:val="22"/>
              </w:rPr>
            </w:pPr>
            <w:r>
              <w:rPr>
                <w:rFonts w:ascii="Arial" w:hAnsi="Arial" w:cs="Arial"/>
                <w:color w:val="ff0000"/>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Assignment due date:17</w:t>
            </w:r>
            <w:r>
              <w:rPr>
                <w:rFonts w:ascii="Arial" w:hAnsi="Arial" w:cs="Arial"/>
                <w:sz w:val="22"/>
                <w:szCs w:val="22"/>
                <w:vertAlign w:val="superscript"/>
              </w:rPr>
              <w:t>th</w:t>
            </w:r>
            <w:r>
              <w:rPr>
                <w:rFonts w:ascii="Arial" w:hAnsi="Arial" w:cs="Arial"/>
                <w:sz w:val="22"/>
                <w:szCs w:val="22"/>
              </w:rPr>
              <w:t xml:space="preserve"> March 2025</w:t>
            </w:r>
          </w:p>
        </w:tc>
      </w:tr>
      <w:tr>
        <w:trPr>
          <w:tblHeader w:val="0"/>
          <w:cantSplit w:val="0"/>
          <w:trHeight w:val="978"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rPr>
              <w:t>This assignment is for the       1</w:t>
            </w:r>
            <w:r>
              <w:rPr>
                <w:rFonts w:ascii="Arial" w:hAnsi="Arial" w:eastAsia="SimSun" w:cs="Arial"/>
                <w:vertAlign w:val="superscript"/>
              </w:rPr>
              <w:t xml:space="preserve">st </w:t>
            </w:r>
            <w:r/>
            <w:bookmarkStart w:id="0" w:name="Check13"/>
            <w:r/>
            <w:r>
              <w:rPr>
                <w:rFonts w:ascii="Arial" w:hAnsi="Arial" w:eastAsia="SimSun" w:cs="Arial"/>
              </w:rPr>
            </w:r>
            <w:r>
              <w:rPr>
                <w:rFonts w:ascii="Arial" w:hAnsi="Arial" w:eastAsia="SimSun" w:cs="Arial"/>
              </w:rPr>
              <w:fldChar w:fldCharType="begin">
                <w:ffData>
                  <w:name w:val="Check13"/>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0"/>
            <w:r/>
            <w:r>
              <w:rPr>
                <w:rFonts w:ascii="Arial" w:hAnsi="Arial" w:eastAsia="SimSun" w:cs="Arial"/>
              </w:rPr>
              <w:t xml:space="preserve">    2</w:t>
            </w:r>
            <w:r>
              <w:rPr>
                <w:rFonts w:ascii="Arial" w:hAnsi="Arial" w:eastAsia="SimSun" w:cs="Arial"/>
                <w:vertAlign w:val="superscript"/>
              </w:rPr>
              <w:t>nd</w:t>
            </w:r>
            <w:r>
              <w:rPr>
                <w:rFonts w:ascii="Arial" w:hAnsi="Arial" w:eastAsia="SimSun" w:cs="Arial"/>
              </w:rPr>
              <w:t xml:space="preserve">  </w:t>
            </w:r>
            <w:r/>
            <w:bookmarkStart w:id="1" w:name="Check14"/>
            <w:r/>
            <w:r>
              <w:rPr>
                <w:rFonts w:ascii="Arial" w:hAnsi="Arial" w:eastAsia="SimSun" w:cs="Arial"/>
              </w:rPr>
            </w:r>
            <w:r>
              <w:rPr>
                <w:rFonts w:ascii="Arial" w:hAnsi="Arial" w:eastAsia="SimSun" w:cs="Arial"/>
              </w:rPr>
              <w:fldChar w:fldCharType="begin">
                <w:ffData>
                  <w:name w:val="Check14"/>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1"/>
            <w:r/>
            <w:r>
              <w:rPr>
                <w:rFonts w:ascii="Arial" w:hAnsi="Arial" w:eastAsia="SimSun" w:cs="Arial"/>
              </w:rPr>
              <w:t xml:space="preserve">     3</w:t>
            </w:r>
            <w:r>
              <w:rPr>
                <w:rFonts w:ascii="Arial" w:hAnsi="Arial" w:eastAsia="SimSun" w:cs="Arial"/>
                <w:vertAlign w:val="superscript"/>
              </w:rPr>
              <w:t>rd</w:t>
            </w:r>
            <w:r>
              <w:rPr>
                <w:rFonts w:ascii="Arial" w:hAnsi="Arial" w:eastAsia="SimSun" w:cs="Arial"/>
              </w:rPr>
              <w:t xml:space="preserve">  </w:t>
            </w:r>
            <w:r/>
            <w:bookmarkStart w:id="2" w:name="Check15"/>
            <w:r/>
            <w:r>
              <w:rPr>
                <w:rFonts w:ascii="Arial" w:hAnsi="Arial" w:eastAsia="SimSun" w:cs="Arial"/>
              </w:rPr>
            </w:r>
            <w:r>
              <w:rPr>
                <w:rFonts w:ascii="Arial" w:hAnsi="Arial" w:eastAsia="SimSun" w:cs="Arial"/>
              </w:rPr>
              <w:fldChar w:fldCharType="begin">
                <w:ffData>
                  <w:name w:val="Check15"/>
                  <w:enabled/>
                  <w:calcOnExit w:val="0"/>
                  <w:checkBox>
                    <w:sizeAuto/>
                    <w:checked w:val="1"/>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2"/>
            <w:r/>
            <w:r>
              <w:rPr>
                <w:rFonts w:ascii="Arial" w:hAnsi="Arial" w:eastAsia="SimSun" w:cs="Arial"/>
              </w:rPr>
              <w:t xml:space="preserve">      4</w:t>
            </w:r>
            <w:r>
              <w:rPr>
                <w:rFonts w:ascii="Arial" w:hAnsi="Arial" w:eastAsia="SimSun" w:cs="Arial"/>
                <w:vertAlign w:val="superscript"/>
              </w:rPr>
              <w:t>th</w:t>
            </w:r>
            <w:r>
              <w:rPr>
                <w:rFonts w:ascii="Arial" w:hAnsi="Arial" w:eastAsia="SimSun" w:cs="Arial"/>
              </w:rPr>
              <w:t xml:space="preserve"> </w:t>
            </w:r>
            <w:r/>
            <w:bookmarkStart w:id="3" w:name="Check16"/>
            <w:r/>
            <w:r>
              <w:rPr>
                <w:rFonts w:ascii="Arial" w:hAnsi="Arial" w:eastAsia="SimSun" w:cs="Arial"/>
              </w:rPr>
            </w:r>
            <w:r>
              <w:rPr>
                <w:rFonts w:ascii="Arial" w:hAnsi="Arial" w:eastAsia="SimSun" w:cs="Arial"/>
              </w:rPr>
              <w:fldChar w:fldCharType="begin">
                <w:ffData>
                  <w:name w:val="Check16"/>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3"/>
            <w:r/>
            <w:r>
              <w:rPr>
                <w:rFonts w:ascii="Arial" w:hAnsi="Arial" w:eastAsia="SimSun" w:cs="Arial"/>
              </w:rPr>
              <w:t xml:space="preserve">      5</w:t>
            </w:r>
            <w:r>
              <w:rPr>
                <w:rFonts w:ascii="Arial" w:hAnsi="Arial" w:eastAsia="SimSun" w:cs="Arial"/>
                <w:vertAlign w:val="superscript"/>
              </w:rPr>
              <w:t>th</w:t>
            </w:r>
            <w:r>
              <w:rPr>
                <w:rFonts w:ascii="Arial" w:hAnsi="Arial" w:eastAsia="SimSun" w:cs="Arial"/>
              </w:rPr>
              <w:t xml:space="preserve"> </w:t>
            </w:r>
            <w:r/>
            <w:bookmarkStart w:id="4" w:name="Check17"/>
            <w:r/>
            <w:r>
              <w:rPr>
                <w:rFonts w:ascii="Arial" w:hAnsi="Arial" w:eastAsia="SimSun" w:cs="Arial"/>
              </w:rPr>
            </w:r>
            <w:r>
              <w:rPr>
                <w:rFonts w:ascii="Arial" w:hAnsi="Arial" w:eastAsia="SimSun" w:cs="Arial"/>
              </w:rPr>
              <w:fldChar w:fldCharType="begin">
                <w:ffData>
                  <w:name w:val="Check17"/>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4"/>
            <w:r/>
            <w:r>
              <w:rPr>
                <w:rFonts w:ascii="Arial" w:hAnsi="Arial" w:eastAsia="SimSun" w:cs="Arial"/>
              </w:rPr>
              <w:t xml:space="preserve">      6</w:t>
            </w:r>
            <w:r>
              <w:rPr>
                <w:rFonts w:ascii="Arial" w:hAnsi="Arial" w:eastAsia="SimSun" w:cs="Arial"/>
                <w:vertAlign w:val="superscript"/>
              </w:rPr>
              <w:t>th</w:t>
            </w:r>
            <w:r>
              <w:rPr>
                <w:rFonts w:ascii="Arial" w:hAnsi="Arial" w:eastAsia="SimSun" w:cs="Arial"/>
              </w:rPr>
              <w:t xml:space="preserve"> </w:t>
            </w:r>
            <w:r/>
            <w:bookmarkStart w:id="5" w:name="Check18"/>
            <w:r/>
            <w:r>
              <w:rPr>
                <w:rFonts w:ascii="Arial" w:hAnsi="Arial" w:eastAsia="SimSun" w:cs="Arial"/>
              </w:rPr>
            </w:r>
            <w:r>
              <w:rPr>
                <w:rFonts w:ascii="Arial" w:hAnsi="Arial" w:eastAsia="SimSun" w:cs="Arial"/>
              </w:rPr>
              <w:fldChar w:fldCharType="begin">
                <w:ffData>
                  <w:name w:val="Check18"/>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5"/>
            <w:r/>
            <w:r>
              <w:rPr>
                <w:rFonts w:ascii="Arial" w:hAnsi="Arial" w:eastAsia="SimSun" w:cs="Arial"/>
                <w:b/>
              </w:rPr>
              <w:t xml:space="preserve">   </w:t>
            </w:r>
            <w:r>
              <w:rPr>
                <w:rFonts w:ascii="Arial" w:hAnsi="Arial" w:eastAsia="SimSun" w:cs="Arial"/>
              </w:rPr>
              <w:t>module of the degree</w:t>
            </w:r>
            <w:r>
              <w:rPr>
                <w:rFonts w:ascii="Arial" w:hAnsi="Arial" w:eastAsia="SimSun" w:cs="Arial"/>
              </w:rPr>
            </w:r>
          </w:p>
        </w:tc>
      </w:tr>
      <w:tr>
        <w:trPr>
          <w:tblHeader w:val="0"/>
          <w:cantSplit w:val="0"/>
          <w:trHeight w:val="978" w:hRule="atLeast"/>
        </w:trPr>
        <w:tc>
          <w:tcPr>
            <w:tcW w:w="9639" w:type="dxa"/>
            <w:gridSpan w:val="5"/>
            <w:shd w:val="solid" w:color="D9D9D9" tmshd="1677721856, 0, 14277081"/>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I confirm that this is my original work and that I have adhered to the University policy on plagiarism.</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Signed  L Parkinson-Hardman</w:t>
            </w:r>
          </w:p>
          <w:p>
            <w:pPr>
              <w:pStyle w:val="para4"/>
              <w:ind w:right="34" w:firstLine="0"/>
              <w:spacing w:before="0" w:after="0" w:beforeAutospacing="0" w:afterAutospacing="0"/>
              <w:rPr>
                <w:rFonts w:ascii="Wingdings 2" w:hAnsi="Wingdings 2" w:eastAsia="Wingdings 2" w:cs="Wingdings 2"/>
                <w:b/>
                <w:sz w:val="44"/>
                <w:szCs w:val="44"/>
              </w:rPr>
            </w:pPr>
            <w:r>
              <w:rPr>
                <w:rFonts w:ascii="Calibri" w:hAnsi="Calibri" w:cs="Tahoma"/>
                <w:b/>
                <w:sz w:val="24"/>
                <w:szCs w:val="24"/>
              </w:rPr>
              <w:t xml:space="preserve">Email submission:if you are submitting this form via email, please tick this box </w:t>
            </w:r>
            <w:r>
              <w:rPr>
                <w:rFonts w:ascii="Wingdings 2" w:hAnsi="Wingdings 2" w:eastAsia="Wingdings 2" w:cs="Wingdings 2"/>
                <w:b/>
                <w:sz w:val="44"/>
                <w:szCs w:val="44"/>
              </w:rPr>
              <w:t></w:t>
            </w:r>
            <w:r>
              <w:rPr>
                <w:rFonts w:ascii="Wingdings 2" w:hAnsi="Wingdings 2" w:eastAsia="Wingdings 2" w:cs="Wingdings 2"/>
                <w:b/>
                <w:sz w:val="44"/>
                <w:szCs w:val="44"/>
              </w:rPr>
            </w:r>
          </w:p>
          <w:p>
            <w:pPr>
              <w:pStyle w:val="para4"/>
              <w:ind w:right="34" w:firstLine="0"/>
              <w:spacing w:before="0" w:after="0" w:beforeAutospacing="0" w:afterAutospacing="0"/>
              <w:rPr>
                <w:rFonts w:ascii="Arial" w:hAnsi="Arial" w:cs="Arial"/>
                <w:sz w:val="22"/>
                <w:szCs w:val="22"/>
              </w:rPr>
            </w:pPr>
            <w:r>
              <w:rPr>
                <w:rFonts w:ascii="Calibri" w:hAnsi="Calibri" w:cs="Tahoma"/>
                <w:b/>
                <w:sz w:val="24"/>
                <w:szCs w:val="24"/>
              </w:rPr>
              <w:t>(as a substitute for your signature) to confirm that you agree to the above declaration.</w:t>
            </w:r>
            <w:r>
              <w:rPr>
                <w:rFonts w:ascii="Arial" w:hAnsi="Arial" w:cs="Arial"/>
                <w:sz w:val="22"/>
                <w:szCs w:val="22"/>
              </w:rPr>
            </w:r>
          </w:p>
        </w:tc>
      </w:tr>
      <w:tr>
        <w:trPr>
          <w:tblHeader w:val="0"/>
          <w:cantSplit w:val="0"/>
          <w:trHeight w:val="3972"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rPr>
            </w:pPr>
            <w:r>
              <w:rPr>
                <w:rFonts w:ascii="Arial" w:hAnsi="Arial" w:eastAsia="SimSun" w:cs="Arial"/>
                <w:b/>
              </w:rPr>
            </w:r>
          </w:p>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b/>
              </w:rPr>
              <w:t>Assignment Mark</w:t>
            </w:r>
            <w:r>
              <w:rPr>
                <w:rFonts w:ascii="Arial" w:hAnsi="Arial" w:eastAsia="SimSun" w:cs="Arial"/>
              </w:rPr>
            </w:r>
          </w:p>
          <w:tbl>
            <w:tblPr>
              <w:tblStyle w:val="TableNormal"/>
              <w:name w:val="Table2"/>
              <w:tabOrder w:val="0"/>
              <w:jc w:val="left"/>
              <w:tblInd w:w="0" w:type="dxa"/>
              <w:tblW w:w="9413" w:type="dxa"/>
              <w:pPr>
                <w:spacing/>
                <w:jc w:val="left"/>
                <w:tabs defTabSz="720"/>
              </w:pPr>
              <w:tblLook w:val="0600" w:firstRow="0" w:lastRow="0" w:firstColumn="0" w:lastColumn="0" w:noHBand="1" w:noVBand="1"/>
            </w:tblPr>
            <w:tblGrid>
              <w:gridCol w:w="6902"/>
              <w:gridCol w:w="2511"/>
            </w:tblGrid>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1</w:t>
                  </w:r>
                  <w:r>
                    <w:rPr>
                      <w:rFonts w:ascii="Arial" w:hAnsi="Arial" w:eastAsia="SimSun" w:cs="Arial"/>
                      <w:sz w:val="20"/>
                      <w:szCs w:val="20"/>
                      <w:vertAlign w:val="superscript"/>
                    </w:rPr>
                    <w:t>st</w:t>
                  </w:r>
                  <w:r>
                    <w:rPr>
                      <w:rFonts w:ascii="Arial" w:hAnsi="Arial" w:eastAsia="SimSun" w:cs="Arial"/>
                      <w:sz w:val="20"/>
                      <w:szCs w:val="20"/>
                    </w:rPr>
                    <w:t xml:space="preserve"> Marker’s Provisional mark</w:t>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2</w:t>
                  </w:r>
                  <w:r>
                    <w:rPr>
                      <w:rFonts w:ascii="Arial" w:hAnsi="Arial" w:eastAsia="SimSun" w:cs="Arial"/>
                      <w:sz w:val="20"/>
                      <w:szCs w:val="20"/>
                      <w:vertAlign w:val="superscript"/>
                    </w:rPr>
                    <w:t>nd</w:t>
                  </w:r>
                  <w:r>
                    <w:rPr>
                      <w:rFonts w:ascii="Arial" w:hAnsi="Arial" w:eastAsia="SimSun" w:cs="Arial"/>
                      <w:sz w:val="20"/>
                      <w:szCs w:val="20"/>
                    </w:rPr>
                    <w:t xml:space="preserve"> Marker’s/Moderator’s provisional mark</w:t>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External Examiner’s mark (if relevant)</w:t>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sz w:val="20"/>
                      <w:szCs w:val="20"/>
                    </w:rPr>
                  </w:pPr>
                  <w:r>
                    <w:rPr>
                      <w:rFonts w:ascii="Arial" w:hAnsi="Arial" w:eastAsia="SimSun" w:cs="Arial"/>
                      <w:b/>
                      <w:sz w:val="20"/>
                      <w:szCs w:val="20"/>
                    </w:rPr>
                    <w:t>Final Mark</w:t>
                  </w:r>
                </w:p>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bl>
          <w:p>
            <w:pPr>
              <w:pStyle w:val="para4"/>
              <w:ind w:left="142" w:right="34"/>
              <w:spacing w:before="0" w:after="0" w:beforeAutospacing="0" w:afterAutospacing="0"/>
              <w:rPr>
                <w:rFonts w:ascii="Arial" w:hAnsi="Arial" w:cs="Arial"/>
                <w:b/>
                <w:sz w:val="22"/>
                <w:szCs w:val="22"/>
              </w:rPr>
            </w:pPr>
            <w:r>
              <w:rPr>
                <w:rFonts w:ascii="Arial" w:hAnsi="Arial" w:cs="Arial"/>
                <w:b/>
                <w:sz w:val="22"/>
                <w:szCs w:val="22"/>
              </w:rPr>
            </w:r>
          </w:p>
          <w:p>
            <w:pPr>
              <w:pStyle w:val="para4"/>
              <w:ind w:left="0" w:right="34" w:firstLine="0"/>
              <w:spacing w:before="0" w:after="0" w:beforeAutospacing="0" w:afterAutospacing="0"/>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br w:type="textWrapping"/>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t>For completion by Marker 1 :</w:t>
            </w:r>
          </w:p>
          <w:p>
            <w:pPr>
              <w:pStyle w:val="para4"/>
              <w:ind w:firstLine="0"/>
              <w:rPr>
                <w:rFonts w:ascii="Arial" w:hAnsi="Arial" w:cs="Arial"/>
                <w:sz w:val="22"/>
                <w:szCs w:val="22"/>
              </w:rPr>
            </w:pPr>
            <w:r>
              <w:rPr>
                <w:rFonts w:ascii="Arial" w:hAnsi="Arial" w:cs="Arial"/>
                <w:sz w:val="22"/>
                <w:szCs w:val="22"/>
              </w:rPr>
              <w:t>Comments:</w:t>
            </w:r>
          </w:p>
          <w:p>
            <w:pPr>
              <w:pStyle w:val="para4"/>
              <w:ind w:firstLine="0"/>
              <w:rPr>
                <w:rFonts w:ascii="Arial" w:hAnsi="Arial" w:cs="Arial"/>
                <w:sz w:val="22"/>
                <w:szCs w:val="22"/>
              </w:rPr>
            </w:pPr>
            <w:r>
              <w:rPr>
                <w:rFonts w:ascii="Arial" w:hAnsi="Arial" w:cs="Arial"/>
                <w:sz w:val="22"/>
                <w:szCs w:val="22"/>
              </w:rPr>
            </w:r>
          </w:p>
          <w:p>
            <w:pPr>
              <w:pStyle w:val="para4"/>
              <w:ind w:firstLine="0"/>
              <w:rPr>
                <w:rFonts w:ascii="Arial" w:hAnsi="Arial" w:cs="Arial"/>
                <w:sz w:val="22"/>
                <w:szCs w:val="22"/>
              </w:rPr>
            </w:pPr>
            <w:r>
              <w:rPr>
                <w:rFonts w:ascii="Arial" w:hAnsi="Arial" w:cs="Arial"/>
                <w:sz w:val="22"/>
                <w:szCs w:val="22"/>
              </w:rPr>
            </w:r>
          </w:p>
          <w:p>
            <w:pPr>
              <w:pStyle w:val="para4"/>
              <w:ind w:firstLine="0"/>
              <w:rPr>
                <w:rFonts w:ascii="Arial" w:hAnsi="Arial" w:cs="Arial"/>
                <w:sz w:val="22"/>
                <w:szCs w:val="22"/>
              </w:rPr>
            </w:pPr>
            <w:r>
              <w:rPr>
                <w:rFonts w:ascii="Arial" w:hAnsi="Arial" w:cs="Arial"/>
                <w:sz w:val="22"/>
                <w:szCs w:val="22"/>
              </w:rPr>
            </w:r>
          </w:p>
        </w:tc>
      </w:tr>
      <w:tr>
        <w:trPr>
          <w:tblHeader w:val="0"/>
          <w:cantSplit w:val="0"/>
          <w:trHeight w:val="492" w:hRule="atLeast"/>
        </w:trPr>
        <w:tc>
          <w:tcPr>
            <w:tcW w:w="6753"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pStyle w:val="para4"/>
              <w:ind w:left="0" w:right="34" w:firstLine="0"/>
              <w:rPr>
                <w:rFonts w:ascii="Arial" w:hAnsi="Arial" w:cs="Arial"/>
                <w:sz w:val="22"/>
                <w:szCs w:val="22"/>
              </w:rPr>
            </w:pPr>
            <w:r>
              <w:rPr>
                <w:rFonts w:ascii="Arial" w:hAnsi="Arial" w:cs="Arial"/>
                <w:sz w:val="22"/>
                <w:szCs w:val="22"/>
              </w:rPr>
              <w:t>Marker’s signature:</w:t>
            </w:r>
          </w:p>
        </w:tc>
        <w:tc>
          <w:tcPr>
            <w:tcW w:w="2886"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pStyle w:val="para4"/>
              <w:ind w:left="142" w:right="34"/>
              <w:spacing w:after="0"/>
              <w:rPr>
                <w:rFonts w:ascii="Arial" w:hAnsi="Arial" w:cs="Arial"/>
                <w:sz w:val="22"/>
                <w:szCs w:val="22"/>
              </w:rPr>
            </w:pPr>
            <w:r>
              <w:rPr>
                <w:rFonts w:ascii="Arial" w:hAnsi="Arial" w:cs="Arial"/>
                <w:sz w:val="22"/>
                <w:szCs w:val="22"/>
              </w:rPr>
              <w:t>Date:</w:t>
            </w:r>
          </w:p>
        </w:tc>
      </w:tr>
      <w:tr>
        <w:trPr>
          <w:tblHeader w:val="0"/>
          <w:cantSplit w:val="0"/>
          <w:trHeight w:val="0" w:hRule="auto"/>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pStyle w:val="para4"/>
              <w:ind w:right="-334"/>
              <w:spacing w:before="0" w:after="0" w:beforeAutospacing="0" w:afterAutospacing="0"/>
              <w:rPr>
                <w:rFonts w:ascii="Arial" w:hAnsi="Arial" w:cs="Arial"/>
                <w:bCs/>
                <w:i/>
                <w:sz w:val="22"/>
                <w:szCs w:val="22"/>
              </w:rPr>
            </w:pPr>
            <w:r>
              <w:rPr>
                <w:rFonts w:ascii="Arial" w:hAnsi="Arial" w:cs="Arial"/>
                <w:bCs/>
                <w:i/>
                <w:sz w:val="22"/>
                <w:szCs w:val="22"/>
              </w:rPr>
            </w:r>
          </w:p>
          <w:p>
            <w:pPr>
              <w:pStyle w:val="para4"/>
              <w:ind w:right="-334" w:firstLine="0"/>
              <w:spacing w:before="0" w:after="0" w:beforeAutospacing="0" w:afterAutospacing="0"/>
              <w:rPr>
                <w:rFonts w:ascii="Arial" w:hAnsi="Arial" w:cs="Arial"/>
                <w:b/>
                <w:bCs/>
                <w:sz w:val="22"/>
                <w:szCs w:val="22"/>
              </w:rPr>
            </w:pPr>
            <w:r>
              <w:rPr>
                <w:rFonts w:ascii="Arial" w:hAnsi="Arial" w:cs="Arial"/>
                <w:b/>
                <w:bCs/>
                <w:sz w:val="22"/>
                <w:szCs w:val="22"/>
              </w:rPr>
              <w:t>For completion by Marker 2/Moderator:</w:t>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t>Comments:</w:t>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00"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t>Marker’s Signature:</w:t>
            </w:r>
          </w:p>
        </w:tc>
        <w:tc>
          <w:tcPr>
            <w:tcW w:w="4439"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pStyle w:val="para4"/>
              <w:ind w:right="-334"/>
              <w:spacing w:before="0" w:after="0" w:beforeAutospacing="0" w:afterAutospacing="0"/>
              <w:rPr>
                <w:rFonts w:ascii="Arial" w:hAnsi="Arial" w:cs="Arial"/>
                <w:bCs/>
                <w:sz w:val="22"/>
                <w:szCs w:val="22"/>
              </w:rPr>
            </w:pPr>
            <w:r>
              <w:rPr>
                <w:rFonts w:ascii="Arial" w:hAnsi="Arial" w:cs="Arial"/>
                <w:bCs/>
                <w:sz w:val="22"/>
                <w:szCs w:val="22"/>
              </w:rPr>
              <w:t>Date:</w:t>
            </w:r>
          </w:p>
        </w:tc>
      </w:tr>
      <w:tr>
        <w:trPr>
          <w:tblHeader w:val="0"/>
          <w:cantSplit w:val="0"/>
          <w:trHeight w:val="720"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rPr>
            </w:pPr>
            <w:r>
              <w:rPr>
                <w:rFonts w:ascii="Arial" w:hAnsi="Arial" w:eastAsia="SimSun" w:cs="Arial"/>
                <w:b/>
              </w:rPr>
              <w:t>External Examiner’s comments (if relevant)</w:t>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00"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rPr>
              <w:t>External Examiner’s Signature:</w:t>
            </w:r>
          </w:p>
        </w:tc>
        <w:tc>
          <w:tcPr>
            <w:tcW w:w="4439"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1273347"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rPr>
              <w:t>Date:</w:t>
            </w:r>
          </w:p>
        </w:tc>
      </w:tr>
    </w:tbl>
    <w:p>
      <w:pPr>
        <w:pStyle w:val="para4"/>
        <w:ind w:right="-334"/>
        <w:spacing w:before="0" w:after="0" w:beforeAutospacing="0" w:afterAutospacing="0"/>
        <w:rPr>
          <w:rFonts w:ascii="Trebuchet MS" w:hAnsi="Trebuchet MS" w:cs="Tahoma"/>
          <w:bCs/>
          <w:sz w:val="24"/>
          <w:szCs w:val="24"/>
        </w:rPr>
      </w:pPr>
      <w:r>
        <w:rPr>
          <w:rFonts w:ascii="Trebuchet MS" w:hAnsi="Trebuchet MS" w:cs="Tahoma"/>
          <w:bCs/>
          <w:sz w:val="24"/>
          <w:szCs w:val="24"/>
        </w:rPr>
      </w:r>
    </w:p>
    <w:p>
      <w:r/>
    </w:p>
    <w:p>
      <w:pPr>
        <w:pStyle w:val="para1"/>
        <w:spacing/>
        <w:jc w:val="left"/>
      </w:pPr>
      <w:r>
        <w:br w:type="page"/>
      </w:r>
      <w:r>
        <w:t>A Critical Comparison of two Secondary Sources</w:t>
      </w:r>
    </w:p>
    <w:p>
      <w:pPr>
        <w:pStyle w:val="para1"/>
        <w:spacing/>
        <w:jc w:val="left"/>
        <w:rPr>
          <w:sz w:val="32"/>
          <w:szCs w:val="32"/>
        </w:rPr>
      </w:pPr>
      <w:r>
        <w:rPr>
          <w:sz w:val="32"/>
          <w:szCs w:val="32"/>
        </w:rPr>
        <w:t>Introduction</w:t>
      </w:r>
    </w:p>
    <w:p>
      <w:pPr>
        <w:rPr>
          <w:color w:val="000000"/>
        </w:rPr>
      </w:pPr>
      <w:r>
        <w:t xml:space="preserve">This essay critically compares and contrasts two papers, T.L. Brink, ‘Inconsistency of Belief among Roman Catholic Girls: Concerning Religion, Astrology, Reincarnation.’ </w:t>
      </w:r>
      <w:r>
        <w:rPr>
          <w:i/>
          <w:iCs/>
        </w:rPr>
        <w:t>Review of Religious Research</w:t>
      </w:r>
      <w:r>
        <w:t xml:space="preserve">, 20, (1978), 82-85. and Tony Walter, &amp; Helen Waterhouse, ‘A Very Private Belief: Reincarnation in Contemporary England’. </w:t>
      </w:r>
      <w:r>
        <w:rPr>
          <w:i/>
          <w:iCs/>
        </w:rPr>
        <w:t>Sociology of Religion</w:t>
      </w:r>
      <w:r>
        <w:t xml:space="preserve">, 60, (1999), 187-197. </w:t>
      </w:r>
      <w:r>
        <w:rPr>
          <w:color w:val="000000"/>
        </w:rPr>
        <w:t>It discusses each paper under five headings: methodology, reflexivity, ethical considerations, literature review and structure.</w:t>
      </w:r>
      <w:r>
        <w:rPr>
          <w:color w:val="000000"/>
        </w:rPr>
      </w:r>
    </w:p>
    <w:p>
      <w:r>
        <w:t>Terry Brink is a psychologist and social scientist with interests including religious phenomenon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7"/>
      </w:r>
      <w:r>
        <w:t>. His YouTube channel lists forty four videos under the Religion playlist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8"/>
      </w:r>
      <w:r>
        <w:t xml:space="preserve"> although his biography lists a handful of papers related to religious belief</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9"/>
      </w:r>
      <w:r>
        <w:t>.</w:t>
      </w:r>
    </w:p>
    <w:p>
      <w:r>
        <w:t>Tony Walter’s specialism is ‘developing a sociological understanding of death in modern society’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0"/>
      </w:r>
      <w:r>
        <w:t>. He is  Professor of Death Studies at Bath and published five papers on the topic of reincarnation between 1999 and 2003, four with Helen J. Waterhouse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1"/>
      </w:r>
      <w:r>
        <w:t>.</w:t>
      </w:r>
    </w:p>
    <w:p>
      <w:r>
        <w:t>Although separated by two decades both papers focus on the broad question of whether belief in formal religion might be incompatible or unusual alongside a belief in astrology (Brink)</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2"/>
      </w:r>
      <w:r>
        <w:t xml:space="preserve"> and/or reincarnation (Brink, Walter and Waterhouse)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3"/>
      </w:r>
      <w:r>
        <w:t>.</w:t>
      </w:r>
    </w:p>
    <w:p>
      <w:pPr>
        <w:rPr>
          <w:color w:val="000000"/>
        </w:rPr>
      </w:pPr>
      <w:r>
        <w:rPr>
          <w:color w:val="000000"/>
        </w:rPr>
        <w:t>Both papers are published in religious studies journals and identify further research. Brink suggests demographics might yield better quality data</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4"/>
      </w:r>
      <w:r>
        <w:rPr>
          <w:color w:val="000000"/>
        </w:rPr>
        <w:t>, whilst Walter and Waterhouse believe that questions about beliefs could be better framed</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5"/>
      </w:r>
      <w:r>
        <w:rPr>
          <w:color w:val="000000"/>
        </w:rPr>
        <w:t>.</w:t>
      </w:r>
      <w:r>
        <w:rPr>
          <w:color w:val="000000"/>
        </w:rPr>
      </w:r>
    </w:p>
    <w:p>
      <w:pPr>
        <w:pStyle w:val="para2"/>
      </w:pPr>
      <w:r>
        <w:t>Discussion</w:t>
      </w:r>
    </w:p>
    <w:p>
      <w:pPr>
        <w:pStyle w:val="para3"/>
      </w:pPr>
      <w:r>
        <w:t>Methodology</w:t>
      </w:r>
    </w:p>
    <w:p>
      <w:r>
        <w:t>Brink appears to have administered a single questionnaire to one or more groups of girls at a Catholic school. The paper suggests he took a quantitative and positivist approach, as Alan Bryman states ‘positivism entails a belief that the methods and procedures of the natural sciences are appropriate to the social sciences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6"/>
      </w:r>
      <w:r>
        <w:t>.’ This is evidenced by the single table of results included which reflects a questionnaire of single statements with Yes/No answers with no apparent use of qualitative questions or options that might have elicited a richer response. The reader is unable to ascertain if the only questions asked were those listed in the results table or how the demographic data referred to in the procedures and results section informed the research outcomes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7"/>
      </w:r>
      <w:r>
        <w:t>. There is no reference in the paper to any missing data or if the ‘227 juniors and seniors’ were the total number of fully completed papers received</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8"/>
      </w:r>
      <w:r>
        <w:t>.</w:t>
      </w:r>
    </w:p>
    <w:p>
      <w:r>
        <w:t>Qualitative research is, according to Judith Bell, ‘more concerned to understand individuals’ perceptions of the world.</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9"/>
      </w:r>
      <w:r>
        <w:t>’ This definition serves well to explain the study conducted by Walter and Waterhouse. However, we cannot be certain that no other data was collected as, according to the references listed, it is one paper of several that were published following the conclusion of the research</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0"/>
      </w:r>
      <w:r>
        <w:t>. The paper states that group interviews took place with 21 schoolchildren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1"/>
      </w:r>
      <w:r>
        <w:t>, this part of the research project remains unexplained in this paper implying results might be found in the other papers listed in the references.</w:t>
      </w:r>
    </w:p>
    <w:p>
      <w:r>
        <w:t>The paper states that Helen Waterhouse conducted a ‘small-scale interview study in order to elicit the meaning of reincarnation’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2"/>
      </w:r>
      <w:r>
        <w:t>. She did this by conducting ‘thirty taped interviews with adults, in their own homes, who expressed interest in being interviewed on the subject’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3"/>
      </w:r>
      <w:r>
        <w:t xml:space="preserve">. </w:t>
      </w:r>
    </w:p>
    <w:p>
      <w:r>
        <w:t>Recruitment took place in one part of South West England and aimed to find participants by a variety of means. The method of recruitment was highly subjective and may have resulted in data homogenization as evidenced by the exclusion of some groups, the over emphasis on a specific age group, gender and social demographic</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4"/>
      </w:r>
      <w:r>
        <w:t>. ‘Snowballing’ that is the recruitment by recommendation, together with radio requests for volunteers and the use of personal contacts, may all have inadvertently targeted specific demographics.</w:t>
      </w:r>
    </w:p>
    <w:p>
      <w:r>
        <w:t>It is difficult to determine whether Waterhouse adopted a structured or unstructured approach to data collection. However, quotations in the paper suggest it may have been a semi-structured interview technique allowing respondents the ability to answer in a variety of ways. For example, at one point she asked respondents if they were involved in the green movement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5"/>
      </w:r>
      <w:r>
        <w:t>, if they liked the idea of having another life after this one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6"/>
      </w:r>
      <w:r>
        <w:t>, and later in the paper we find an implied question in the statement ’What do our respondents see as the purpose of reincarnation?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7"/>
      </w:r>
      <w:r>
        <w:t>.</w:t>
      </w:r>
    </w:p>
    <w:p>
      <w:pPr>
        <w:pStyle w:val="para9"/>
      </w:pPr>
      <w:r>
        <w:t>Reflexivity</w:t>
      </w:r>
    </w:p>
    <w:p>
      <w:pPr>
        <w:rPr>
          <w:color w:val="ff0000"/>
        </w:rPr>
      </w:pPr>
      <w:r>
        <w:rPr>
          <w:color w:val="ff0000"/>
        </w:rPr>
      </w:r>
    </w:p>
    <w:p>
      <w:r>
        <w:t>Lenka Zahrádková states ‘It is not merely a question of being an insider or outsider vis-à-vis a particular culture [.], but often also different intellectual preoccupations and overall personal histories’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8"/>
      </w:r>
      <w:r>
        <w:t xml:space="preserve"> and as Monique Hennink and her team remind us ’Reflexivity thus assumes that researchers are explicitly aware of their own values, self-identity or ideologies’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9"/>
      </w:r>
      <w:r>
        <w:t>.</w:t>
      </w:r>
    </w:p>
    <w:p>
      <w:r>
        <w:t>Although Brink’s research rationale ’it is hypothesized that a study of beliefs of adolescent girls will show an acceptance of only one of these three belief sets’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0"/>
      </w:r>
      <w:r>
        <w:t>, there is no defined purpose for the study stated in the introduction. It is only later in the paper that something  emerges, but only after the fact of undertaking the study, Blain states that his study may offer ‘some confirmation’ of the theory he says is proposed by Wuthnow regarding ‘marginality and belief and interest in astrology’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1"/>
      </w:r>
      <w:r>
        <w:t>.</w:t>
      </w:r>
    </w:p>
    <w:p>
      <w:r>
        <w:t>Brink offers no indication of his own position on any of the three subject areas yet he makes a number of authoritative statements in the introduction with regards to the subject matter. Firstly, he states that astrology is fatalistic</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2"/>
      </w:r>
      <w:r>
        <w:t xml:space="preserve"> without acknowledging its movement towards a more psychological understanding. Secondly, he assumes that all reincarnation is related to ‘the workings of karma’</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3"/>
      </w:r>
      <w:r>
        <w:t>. Finally, his statement that ‘Simultaneous belief in Roman Catholic doctrine, astrology and reincarnation is logically incompatible’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4"/>
      </w:r>
      <w:r>
        <w:t xml:space="preserve"> is written as a statement of fact, rather than of possibility. His hypothesis appears to be based on the presumption that all three statements are factually correct.</w:t>
      </w:r>
    </w:p>
    <w:p>
      <w:r>
        <w:t>His references also offer an interesting insight into methodology, discussion and conclusion as all seventeen papers listed offer at least some degree of support for his opening statement ‘Many social scientists have presumed that individuals strive to attain and maintain a consistent set of attitudes.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5"/>
      </w:r>
      <w:r>
        <w:t>’. An example of this can be seen in the paper by Fritz Heider (1896-1988) which states ‘A balanced state exists if an entity has the same dynamic character in all possible respects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6"/>
      </w:r>
      <w:r>
        <w:t xml:space="preserve">’. There is only one reference to astrology and none for reincarnation. </w:t>
      </w:r>
    </w:p>
    <w:p>
      <w:r>
        <w:t>Reflexivity is defined by Monique Hennink as a ‘process that involves conscious self-reflection on the part of researchers to make explicit their potential influence on the research process’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7"/>
      </w:r>
      <w:r>
        <w:t>. In practice, this means researchers recognise they are part of the process through their opinions, ideas and attitudes which could influence the design, collection, analysis and discussion of the research they conduct.</w:t>
      </w:r>
    </w:p>
    <w:p>
      <w:r>
        <w:t>This lack can emerge in any part of the research process and an example can be found in the title of the Walter and Waterhouse paper which states it will consider contemporary England, implying a cross section of the population. However, the methodology focused on a sub-section of the population in a specific geographic area.</w:t>
      </w:r>
    </w:p>
    <w:p>
      <w:r>
        <w:t>To support this, the researchers excluded segments of the population in the belief they might influence the research outcomes. For example, they identify ‘new age’ in the broadest of definitions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8"/>
      </w:r>
      <w:r>
        <w:t xml:space="preserve"> they excluded Hindu, Sikh and Buddhist, as ’we were not interested in the meanings given to reincarnation by people who believe it because their religion tells them to’</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9"/>
      </w:r>
      <w:r>
        <w:t>. This assumption implies they believe the Christian community are immune to only doing what their faith dictated. This is additionally evidenced by the statement about ‘deviant Christians’ who may be concealing their true beliefs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0"/>
      </w:r>
      <w:r>
        <w:t>, therefore suggesting that they had already determined an outcome before discussing their findings.</w:t>
      </w:r>
    </w:p>
    <w:p>
      <w:pPr>
        <w:pStyle w:val="para3"/>
      </w:pPr>
      <w:r>
        <w:t>Ethical Considerations</w:t>
      </w:r>
    </w:p>
    <w:p>
      <w:r>
        <w:t>When Brink’s paper was published in 1978, research ethical guidance comprised The Nuremburg Code which emphasised the need for voluntary participation and informed consent, and the Declaration of Helsinki which required research be ‘reviewed by an independent committer prior to initiation’, that informed consent was necessary, and that ‘risks should not exceed benefits’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1"/>
      </w:r>
      <w:r>
        <w:t>. Both guidelines are reflected in a useful observation made by Martin Davies and Nathan Hughes ‘You must not use people inappropriately in pursuit of your research objectives.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2"/>
      </w:r>
      <w:r/>
    </w:p>
    <w:p>
      <w:r>
        <w:t>Brink’s paper does not discuss the ethics of his research project. As the paper states ‘Whoever was present in religion class that day got a questionnaire.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3"/>
      </w:r>
      <w:r>
        <w:t>’ This statement gives no indication that Brink’s research methodology met the requirements of The Nuremburg Code or the Declaration of Helsinki.</w:t>
      </w:r>
    </w:p>
    <w:p>
      <w:pPr>
        <w:tabs defTabSz="708">
          <w:tab w:val="left" w:pos="510" w:leader="none"/>
        </w:tabs>
      </w:pPr>
      <w:r>
        <w:t xml:space="preserve">Of course, it does not automatically follow that Brink did not apply ethical guidance, simply that the reader of his published paper is left unaware. The table below lists questions raised by the research methodology from a </w:t>
      </w:r>
      <w:r>
        <w:rPr>
          <w:i/>
          <w:iCs/>
        </w:rPr>
        <w:t>contemporary</w:t>
      </w:r>
      <w:r>
        <w:t xml:space="preserve"> ethical perspective:</w:t>
      </w:r>
    </w:p>
    <w:p>
      <w:pPr>
        <w:tabs defTabSz="708">
          <w:tab w:val="left" w:pos="510" w:leader="none"/>
        </w:tabs>
      </w:pPr>
      <w:r/>
    </w:p>
    <w:tbl>
      <w:tblPr>
        <w:tblStyle w:val="TableGrid"/>
        <w:name w:val="Table4"/>
        <w:tabOrder w:val="0"/>
        <w:jc w:val="left"/>
        <w:tblInd w:w="0" w:type="dxa"/>
        <w:tblW w:w="9630" w:type="dxa"/>
        <w:pPr>
          <w:ind w:firstLine="0"/>
          <w:spacing/>
          <w:jc w:val="left"/>
          <w:tabs defTabSz="708">
            <w:tab w:val="left" w:pos="510" w:leader="none"/>
          </w:tabs>
        </w:pPr>
        <w:tblLook w:val="04A0" w:firstRow="1" w:lastRow="0" w:firstColumn="1" w:lastColumn="0" w:noHBand="0" w:noVBand="1"/>
      </w:tblPr>
      <w:tblGrid>
        <w:gridCol w:w="1986"/>
        <w:gridCol w:w="2246"/>
        <w:gridCol w:w="5398"/>
      </w:tblGrid>
      <w:tr>
        <w:trPr>
          <w:tblHeader w:val="0"/>
          <w:cantSplit w:val="0"/>
          <w:trHeight w:val="0" w:hRule="auto"/>
        </w:trPr>
        <w:tc>
          <w:tcPr>
            <w:tcW w:w="1986" w:type="dxa"/>
            <w:tmTcPr id="1741273347" protected="0"/>
          </w:tcPr>
          <w:p>
            <w:pPr>
              <w:ind w:firstLine="0"/>
              <w:rPr>
                <w:b/>
                <w:bCs/>
              </w:rPr>
            </w:pPr>
            <w:r>
              <w:rPr>
                <w:b/>
                <w:bCs/>
              </w:rPr>
              <w:t>Belmont Report</w:t>
            </w:r>
          </w:p>
        </w:tc>
        <w:tc>
          <w:tcPr>
            <w:tcW w:w="2246" w:type="dxa"/>
            <w:tmTcPr id="1741273347" protected="0"/>
          </w:tcPr>
          <w:p>
            <w:pPr>
              <w:ind w:firstLine="0"/>
              <w:rPr>
                <w:b/>
                <w:bCs/>
              </w:rPr>
            </w:pPr>
            <w:r>
              <w:rPr>
                <w:b/>
                <w:bCs/>
              </w:rPr>
              <w:t>Hutter et. al.</w:t>
            </w:r>
          </w:p>
        </w:tc>
        <w:tc>
          <w:tcPr>
            <w:tcW w:w="5398" w:type="dxa"/>
            <w:tmTcPr id="1741273347" protected="0"/>
          </w:tcPr>
          <w:p>
            <w:pPr>
              <w:ind w:firstLine="0"/>
              <w:rPr>
                <w:b/>
                <w:bCs/>
              </w:rPr>
            </w:pPr>
            <w:r>
              <w:rPr>
                <w:b/>
                <w:bCs/>
              </w:rPr>
              <w:t>Questions raised by Brink paper</w:t>
            </w:r>
          </w:p>
        </w:tc>
      </w:tr>
      <w:tr>
        <w:trPr>
          <w:tblHeader w:val="0"/>
          <w:cantSplit w:val="0"/>
          <w:trHeight w:val="0" w:hRule="auto"/>
        </w:trPr>
        <w:tc>
          <w:tcPr>
            <w:tcW w:w="1986" w:type="dxa"/>
            <w:tmTcPr id="1741273347" protected="0"/>
          </w:tcPr>
          <w:p>
            <w:pPr>
              <w:ind w:firstLine="0"/>
            </w:pPr>
            <w:r>
              <w:t>Respect for Persons</w:t>
            </w:r>
          </w:p>
        </w:tc>
        <w:tc>
          <w:tcPr>
            <w:tcW w:w="2246" w:type="dxa"/>
            <w:tmTcPr id="1741273347" protected="0"/>
          </w:tcPr>
          <w:p>
            <w:pPr>
              <w:ind w:firstLine="0"/>
            </w:pPr>
            <w:r>
              <w:t>Informed Consent</w:t>
            </w:r>
          </w:p>
        </w:tc>
        <w:tc>
          <w:tcPr>
            <w:tcW w:w="5398" w:type="dxa"/>
            <w:tmTcPr id="1741273347" protected="0"/>
          </w:tcPr>
          <w:p>
            <w:pPr>
              <w:ind w:firstLine="0"/>
            </w:pPr>
            <w:r>
              <w:t>How were students informed about the project?</w:t>
            </w:r>
          </w:p>
          <w:p>
            <w:pPr>
              <w:ind w:firstLine="0"/>
            </w:pPr>
            <w:r>
              <w:t>How was their understanding of the project ascertained?</w:t>
            </w:r>
          </w:p>
          <w:p>
            <w:pPr>
              <w:ind w:firstLine="0"/>
            </w:pPr>
            <w:r>
              <w:t>Did their parents give consent on their behalf as they were minors?</w:t>
            </w:r>
          </w:p>
        </w:tc>
      </w:tr>
      <w:tr>
        <w:trPr>
          <w:tblHeader w:val="0"/>
          <w:cantSplit w:val="0"/>
          <w:trHeight w:val="0" w:hRule="auto"/>
        </w:trPr>
        <w:tc>
          <w:tcPr>
            <w:tcW w:w="1986" w:type="dxa"/>
            <w:tmTcPr id="1741273347" protected="0"/>
          </w:tcPr>
          <w:p>
            <w:pPr>
              <w:ind w:firstLine="0"/>
            </w:pPr>
            <w:r>
              <w:t>Respect for Persons</w:t>
            </w:r>
          </w:p>
        </w:tc>
        <w:tc>
          <w:tcPr>
            <w:tcW w:w="2246" w:type="dxa"/>
            <w:tmTcPr id="1741273347" protected="0"/>
          </w:tcPr>
          <w:p>
            <w:pPr>
              <w:ind w:firstLine="0"/>
            </w:pPr>
            <w:r>
              <w:t>Self Determination</w:t>
            </w:r>
          </w:p>
        </w:tc>
        <w:tc>
          <w:tcPr>
            <w:tcW w:w="5398" w:type="dxa"/>
            <w:tmTcPr id="1741273347" protected="0"/>
          </w:tcPr>
          <w:p>
            <w:pPr>
              <w:ind w:firstLine="0"/>
            </w:pPr>
            <w:r>
              <w:t>Were students allowed to opt out of completing the questionnaire?</w:t>
            </w:r>
          </w:p>
        </w:tc>
      </w:tr>
      <w:tr>
        <w:trPr>
          <w:tblHeader w:val="0"/>
          <w:cantSplit w:val="0"/>
          <w:trHeight w:val="0" w:hRule="auto"/>
        </w:trPr>
        <w:tc>
          <w:tcPr>
            <w:tcW w:w="1986" w:type="dxa"/>
            <w:tmTcPr id="1741273347" protected="0"/>
          </w:tcPr>
          <w:p>
            <w:pPr>
              <w:ind w:firstLine="0"/>
            </w:pPr>
            <w:r>
              <w:t>Beneficence</w:t>
            </w:r>
          </w:p>
        </w:tc>
        <w:tc>
          <w:tcPr>
            <w:tcW w:w="2246" w:type="dxa"/>
            <w:tmTcPr id="1741273347" protected="0"/>
          </w:tcPr>
          <w:p>
            <w:pPr>
              <w:ind w:firstLine="0"/>
            </w:pPr>
            <w:r>
              <w:t>Minimization of Harm</w:t>
            </w:r>
          </w:p>
        </w:tc>
        <w:tc>
          <w:tcPr>
            <w:tcW w:w="5398" w:type="dxa"/>
            <w:tmTcPr id="1741273347" protected="0"/>
          </w:tcPr>
          <w:p>
            <w:pPr>
              <w:ind w:firstLine="0"/>
            </w:pPr>
            <w:r>
              <w:t>Who distributed and collected questionnaires?</w:t>
            </w:r>
          </w:p>
        </w:tc>
      </w:tr>
      <w:tr>
        <w:trPr>
          <w:tblHeader w:val="0"/>
          <w:cantSplit w:val="0"/>
          <w:trHeight w:val="0" w:hRule="auto"/>
        </w:trPr>
        <w:tc>
          <w:tcPr>
            <w:tcW w:w="1986" w:type="dxa"/>
            <w:tmTcPr id="1741273347" protected="0"/>
          </w:tcPr>
          <w:p>
            <w:pPr>
              <w:ind w:firstLine="0"/>
            </w:pPr>
            <w:r>
              <w:t>Beneficence</w:t>
            </w:r>
          </w:p>
        </w:tc>
        <w:tc>
          <w:tcPr>
            <w:tcW w:w="2246" w:type="dxa"/>
            <w:tmTcPr id="1741273347" protected="0"/>
          </w:tcPr>
          <w:p>
            <w:pPr>
              <w:ind w:firstLine="0"/>
            </w:pPr>
            <w:r>
              <w:t>Anonymity</w:t>
            </w:r>
          </w:p>
        </w:tc>
        <w:tc>
          <w:tcPr>
            <w:tcW w:w="5398" w:type="dxa"/>
            <w:tmTcPr id="1741273347" protected="0"/>
          </w:tcPr>
          <w:p>
            <w:pPr>
              <w:ind w:firstLine="0"/>
            </w:pPr>
            <w:r>
              <w:t xml:space="preserve">Did students add their name to their questionnaire? </w:t>
            </w:r>
          </w:p>
          <w:p>
            <w:pPr>
              <w:ind w:firstLine="0"/>
            </w:pPr>
            <w:r>
              <w:t>Was there any other identifying demographic data included in the questionnaire?</w:t>
            </w:r>
          </w:p>
        </w:tc>
      </w:tr>
      <w:tr>
        <w:trPr>
          <w:tblHeader w:val="0"/>
          <w:cantSplit w:val="0"/>
          <w:trHeight w:val="0" w:hRule="auto"/>
        </w:trPr>
        <w:tc>
          <w:tcPr>
            <w:tcW w:w="1986" w:type="dxa"/>
            <w:tmTcPr id="1741273347" protected="0"/>
          </w:tcPr>
          <w:p>
            <w:pPr>
              <w:ind w:firstLine="0"/>
            </w:pPr>
            <w:r>
              <w:t>Beneficence</w:t>
            </w:r>
          </w:p>
        </w:tc>
        <w:tc>
          <w:tcPr>
            <w:tcW w:w="2246" w:type="dxa"/>
            <w:tmTcPr id="1741273347" protected="0"/>
          </w:tcPr>
          <w:p>
            <w:pPr>
              <w:ind w:firstLine="0"/>
            </w:pPr>
            <w:r>
              <w:t>Confidentiality</w:t>
            </w:r>
          </w:p>
        </w:tc>
        <w:tc>
          <w:tcPr>
            <w:tcW w:w="5398" w:type="dxa"/>
            <w:tmTcPr id="1741273347" protected="0"/>
          </w:tcPr>
          <w:p>
            <w:pPr>
              <w:ind w:firstLine="0"/>
            </w:pPr>
            <w:r>
              <w:t>Who else was able to see the completed questionnaires?</w:t>
            </w:r>
          </w:p>
          <w:p>
            <w:pPr>
              <w:ind w:firstLine="0"/>
            </w:pPr>
            <w:r>
              <w:t>What happened to the questionnaires after the research project was completed?</w:t>
            </w:r>
          </w:p>
        </w:tc>
      </w:tr>
      <w:tr>
        <w:trPr>
          <w:tblHeader w:val="0"/>
          <w:cantSplit w:val="0"/>
          <w:trHeight w:val="0" w:hRule="auto"/>
        </w:trPr>
        <w:tc>
          <w:tcPr>
            <w:tcW w:w="1986" w:type="dxa"/>
            <w:tmTcPr id="1741273347" protected="0"/>
          </w:tcPr>
          <w:p>
            <w:pPr>
              <w:ind w:firstLine="0"/>
            </w:pPr>
            <w:r>
              <w:t>Justice</w:t>
            </w:r>
          </w:p>
        </w:tc>
        <w:tc>
          <w:tcPr>
            <w:tcW w:w="2246" w:type="dxa"/>
            <w:tmTcPr id="1741273347" protected="0"/>
          </w:tcPr>
          <w:p>
            <w:pPr>
              <w:ind w:firstLine="0"/>
            </w:pPr>
            <w:r/>
          </w:p>
        </w:tc>
        <w:tc>
          <w:tcPr>
            <w:tcW w:w="5398" w:type="dxa"/>
            <w:tmTcPr id="1741273347" protected="0"/>
          </w:tcPr>
          <w:p>
            <w:pPr>
              <w:ind w:firstLine="0"/>
            </w:pPr>
            <w:r>
              <w:t>All attendees in the class appear to have been included, with no exceptions noted in the paper.</w:t>
            </w:r>
          </w:p>
        </w:tc>
      </w:tr>
    </w:tbl>
    <w:p>
      <w:pPr>
        <w:tabs defTabSz="708">
          <w:tab w:val="left" w:pos="510" w:leader="none"/>
        </w:tabs>
      </w:pPr>
      <w:r/>
    </w:p>
    <w:p>
      <w:pPr>
        <w:tabs defTabSz="708">
          <w:tab w:val="left" w:pos="510" w:leader="none"/>
        </w:tabs>
      </w:pPr>
      <w:r>
        <w:t>Walter and Waterhouse’s paper was published in 1999 by which time the United States National Research Act had implemented the National Commission for the Protection of Human Subjects of Biomedical and Behavioral Research and created the Belmont Report. The 1979 report identified three basic principles: 1. Respect for Persons, 2. Beneficence and 3. Justice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4"/>
      </w:r>
      <w:r>
        <w:t>. These three principles are similarly reflected in the recommendations of Monique Hennink et al</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5"/>
      </w:r>
      <w:r>
        <w:t xml:space="preserve"> which include:</w:t>
      </w:r>
    </w:p>
    <w:p>
      <w:pPr>
        <w:numPr>
          <w:ilvl w:val="0"/>
          <w:numId w:val="4"/>
        </w:numPr>
        <w:ind w:left="643" w:hanging="360"/>
      </w:pPr>
      <w:r>
        <w:t>Informed Consent</w:t>
      </w:r>
    </w:p>
    <w:p>
      <w:pPr>
        <w:numPr>
          <w:ilvl w:val="0"/>
          <w:numId w:val="4"/>
        </w:numPr>
        <w:ind w:left="643" w:hanging="360"/>
      </w:pPr>
      <w:r>
        <w:t>Self-determination</w:t>
      </w:r>
    </w:p>
    <w:p>
      <w:pPr>
        <w:numPr>
          <w:ilvl w:val="0"/>
          <w:numId w:val="4"/>
        </w:numPr>
        <w:ind w:left="643" w:hanging="360"/>
        <w:tabs defTabSz="708">
          <w:tab w:val="left" w:pos="510" w:leader="none"/>
        </w:tabs>
      </w:pPr>
      <w:r>
        <w:t>Minimization of harm</w:t>
      </w:r>
    </w:p>
    <w:p>
      <w:pPr>
        <w:numPr>
          <w:ilvl w:val="0"/>
          <w:numId w:val="4"/>
        </w:numPr>
        <w:ind w:left="643" w:hanging="360"/>
        <w:tabs defTabSz="708">
          <w:tab w:val="left" w:pos="510" w:leader="none"/>
        </w:tabs>
      </w:pPr>
      <w:r>
        <w:t>Anonymity</w:t>
      </w:r>
    </w:p>
    <w:p>
      <w:pPr>
        <w:numPr>
          <w:ilvl w:val="0"/>
          <w:numId w:val="4"/>
        </w:numPr>
        <w:ind w:left="643" w:hanging="360"/>
        <w:tabs defTabSz="708">
          <w:tab w:val="left" w:pos="510" w:leader="none"/>
        </w:tabs>
      </w:pPr>
      <w:r>
        <w:t>Confidentiality</w:t>
      </w:r>
    </w:p>
    <w:p>
      <w:r>
        <w:t>As with Brink’s paper there is no specific reference to how ethics were applied by the researchers and a number of questions do arise as a result. For example, whilst the reader is informed that the adult interviews were conducted in the home as a result of an expression of interest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6"/>
      </w:r>
      <w:r>
        <w:t>, thereby indicating consent and self determination, the same cannot be said for the school children which are mentioned but then ignored throughout the rest of the paper</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7"/>
      </w:r>
      <w:r>
        <w:t>. There is no indication made about how informed consent was applied, whether it was in advance or at the time of the interview. Similarly, the reader is left unaware of what happened to the interview recordings. The acquisition of participants might have resulted in some anonymity issues as the researchers indicate that they also benefitted from ‘snowballing as one interviewee led to another’</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8"/>
      </w:r>
      <w:r>
        <w:t>.</w:t>
      </w:r>
    </w:p>
    <w:p>
      <w:pPr>
        <w:pStyle w:val="para3"/>
        <w:tabs defTabSz="708">
          <w:tab w:val="left" w:pos="510" w:leader="none"/>
        </w:tabs>
      </w:pPr>
      <w:r>
        <w:t>Literature Review</w:t>
      </w:r>
    </w:p>
    <w:p>
      <w:r>
        <w:t>Brink offers no clearly defined literature review beyond the sources cited in his introduction. All of these citations are from social scientists who have written papers relating to his opening statement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9"/>
      </w:r>
      <w:r>
        <w:t>. The earliest citation is dated from 1946 and his most recent was from 1965. It lacks literature about beliefs in religion, astrology or reincarnation to evidence the selection of statements used in the questionnaire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0"/>
      </w:r>
      <w:r>
        <w:t>.</w:t>
      </w:r>
    </w:p>
    <w:p>
      <w:r>
        <w:t>Walter and Waterhouse conducted a ‘brief review of the survey data on belief in reincarnation.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1"/>
      </w:r>
      <w:r>
        <w:t>’ The section of the paper titled Survey Data is the outcome and functions as the literature review used to justify the research question and hypothesis ‘whether the twentieth century privatisation of belief makes it easier to hold beliefs not taught by one’s Church’</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2"/>
      </w:r>
      <w:r>
        <w:t>.</w:t>
      </w:r>
    </w:p>
    <w:p>
      <w:r>
        <w:t>Primarily, they referred to six surveys spanning fifty years between 1947 and 1997. However, they state that these surveys give conflicting information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3"/>
      </w:r>
      <w:r>
        <w:t>. Whilst this is not necessarily problematic it might simply indicate differences in methodology as those identified appear to represent the population as a whole, unlike Walter and Waterhouse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4"/>
      </w:r>
      <w:r>
        <w:t>.</w:t>
      </w:r>
    </w:p>
    <w:p>
      <w:pPr>
        <w:pStyle w:val="para3"/>
        <w:tabs defTabSz="708">
          <w:tab w:val="left" w:pos="510" w:leader="none"/>
        </w:tabs>
      </w:pPr>
      <w:r>
        <w:t>Structure</w:t>
      </w:r>
    </w:p>
    <w:p>
      <w:r>
        <w:t>The paper by Brink has a clear structure with abstract, introduction, hypothesis, procedures and results  and discussion and conclusion.</w:t>
      </w:r>
    </w:p>
    <w:p>
      <w:r>
        <w:t>Where the introduction reviews the literature, the abstract sets the tone  and purpose of the paper and a concluding statement ‘These results were held to be inconsistent with cognitive theories which stress the importance of attitude consistency.’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5"/>
      </w:r>
      <w:r>
        <w:t>. His hypothesis explains that ‘Simultaneous belief in Roman Catholic doctrine, astrology and reincarnation is logically incompatible.’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6"/>
      </w:r>
      <w:r>
        <w:t xml:space="preserve"> and where he indicates the expectation his research findings concurs.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7"/>
      </w:r>
      <w:r/>
    </w:p>
    <w:p>
      <w:r>
        <w:t>Each section flows to the next, implying the hypothesis provided the application of the research question, the procedure was designed from the hypothesis, the results were captured from the process and the discussion was connected to the results and the original literature review.</w:t>
      </w:r>
    </w:p>
    <w:p>
      <w:r>
        <w:t xml:space="preserve">The paper by Walter and Waterhouse follows a similar structure to Brink with an abstract, introduction, with hypothesis and research question, data, findings and conclusion. </w:t>
      </w:r>
    </w:p>
    <w:p>
      <w:r>
        <w:t>The biggest difference lies in the extent of the content, particularly in the data and findings sections. Unlike Brink where the data is confined to a table and brief paragraphs and the discussion is focused on content drawn from the introduction rather than his findings, Walter and Woodhouse focus on their own data in both sections, using additional research sources to frame an understanding of their findings. For example, they break down their findings into sections and each nuanced by the inclusion of direct quotations from participants which are informed by references to research literature. This is demonstrated when they connect the statement by one participant that ‘How can so many bad things happen in the world…’ to the notion of suffering with Christianity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8"/>
      </w:r>
      <w:r>
        <w:t>.</w:t>
      </w:r>
    </w:p>
    <w:p>
      <w:pPr>
        <w:pStyle w:val="para2"/>
        <w:tabs defTabSz="708">
          <w:tab w:val="left" w:pos="510" w:leader="none"/>
        </w:tabs>
      </w:pPr>
      <w:r>
        <w:t>Conclusion</w:t>
      </w:r>
    </w:p>
    <w:p>
      <w:r>
        <w:t>At the beginning of this essay I stated I would consider the papers within the context of five headings. These also provide a useful way to structure a conclusion.</w:t>
      </w:r>
    </w:p>
    <w:p>
      <w:pPr>
        <w:rPr>
          <w:color w:val="000000"/>
        </w:rPr>
      </w:pPr>
      <w:r>
        <w:rPr>
          <w:color w:val="000000"/>
        </w:rPr>
        <w:t>Methodology. Each paper represented one approach to research and together they highlighted that in both cases a mixed methods approach might have resulted in better outcomes. For example, Brink was unable to answer the question why students reported as they did, and Walter and Waterhouse had not considered the wider perspective that might have been provided by a more diverse study population. In both cases the reader is left with the question about missing data.</w:t>
      </w:r>
    </w:p>
    <w:p>
      <w:pPr>
        <w:rPr>
          <w:color w:val="000000"/>
        </w:rPr>
      </w:pPr>
      <w:r>
        <w:rPr>
          <w:color w:val="000000"/>
        </w:rPr>
        <w:t xml:space="preserve"> Reflexivity. The issues with methodology arose, in part, due to a lack of reflective practice on the part of the researchers. Brink was unable to provide a clear rationale for his study approach, whilst Walter and Waterhouse did not take into account the effect their exclusion policy might have on the ability of the project to answer their research question. And, whilst each researcher was observed in the introduction to have an interest in the topic under consideration, there is no reference in either paper to their personal perspectives.</w:t>
      </w:r>
    </w:p>
    <w:p>
      <w:pPr>
        <w:rPr>
          <w:color w:val="000000"/>
        </w:rPr>
      </w:pPr>
      <w:r>
        <w:rPr>
          <w:color w:val="000000"/>
        </w:rPr>
        <w:t xml:space="preserve"> Ethical considerations. It appears evident from the publication date of each paper that the understanding of ethics has developed significantly since the original Nuremburg Code was created. Having said that, whilst it might be a useful excuse for Brink to have ignored what is common in contemporary research, that is less the case for Walter and Waterhouse who refer to such topics as informed consent obliquely rather than directly.</w:t>
      </w:r>
    </w:p>
    <w:p>
      <w:pPr>
        <w:rPr>
          <w:color w:val="000000"/>
        </w:rPr>
      </w:pPr>
      <w:r>
        <w:rPr>
          <w:color w:val="000000"/>
        </w:rPr>
        <w:t xml:space="preserve">Literature Search. Both papers contained a literature search although only one, Walter and Waterhouse, appeared to be directly related to the research question being asked. Brink’s seemed tangential at best. </w:t>
      </w:r>
    </w:p>
    <w:p>
      <w:r>
        <w:t>Structure: Both papers have a clear structure allowing the reader to understand its purpose, process and outcomes. Each paper is well-written and easy to follow regardless of a readers interest in the subject. However, a good structure to a research paper does not make up for a lack in any of the four previous areas, instead it inadvertently emphasises those areas that might have been better served.</w:t>
      </w:r>
    </w:p>
    <w:p>
      <w:r>
        <w:t>Overall, these papers demonstrate that it is impossible to fully appreciate a research project without acknowledging that each of these key elements is essential to informing the whole process.</w:t>
      </w:r>
    </w:p>
    <w:p>
      <w:pPr>
        <w:pStyle w:val="para3"/>
      </w:pPr>
      <w:r>
        <w:br w:type="page"/>
      </w:r>
      <w:r>
        <w:t>References:</w:t>
      </w:r>
    </w:p>
    <w:p>
      <w:pPr>
        <w:pStyle w:val="para5"/>
      </w:pPr>
      <w:r>
        <w:t xml:space="preserve">Bell, Judith and Waters, Stephen, </w:t>
      </w:r>
      <w:r>
        <w:rPr>
          <w:i/>
          <w:iCs/>
        </w:rPr>
        <w:t>Doing your Research Project</w:t>
      </w:r>
      <w:r>
        <w:t>, 6</w:t>
      </w:r>
      <w:r>
        <w:rPr>
          <w:vertAlign w:val="superscript"/>
        </w:rPr>
        <w:t>th</w:t>
      </w:r>
      <w:r>
        <w:t xml:space="preserve"> edn. (Maidenhead, Open University Press, 2014).</w:t>
      </w:r>
    </w:p>
    <w:p>
      <w:pPr>
        <w:pStyle w:val="para5"/>
      </w:pPr>
      <w:r>
        <w:t xml:space="preserve">Brink, Terry,  ‘Inconsistency of Belief among Roman Catholic Girls: Concerning Religion, Astrology, Reincarnation.’ </w:t>
      </w:r>
      <w:r>
        <w:rPr>
          <w:i/>
          <w:iCs/>
        </w:rPr>
        <w:t>Review of Religious Research</w:t>
      </w:r>
      <w:r>
        <w:t>, 20, (1978), 82-85.</w:t>
      </w:r>
    </w:p>
    <w:p>
      <w:pPr>
        <w:pStyle w:val="para5"/>
      </w:pPr>
      <w:r>
        <w:t>Bryman, Alan,</w:t>
      </w:r>
      <w:r>
        <w:rPr>
          <w:i/>
          <w:iCs/>
        </w:rPr>
        <w:t xml:space="preserve"> Quantity and Quality in Social Research</w:t>
      </w:r>
      <w:r>
        <w:t>, (London, Routledge, 1996)</w:t>
      </w:r>
    </w:p>
    <w:p>
      <w:pPr>
        <w:pStyle w:val="para5"/>
      </w:pPr>
      <w:r>
        <w:t xml:space="preserve">Craftonhills Academia. </w:t>
      </w:r>
      <w:r>
        <w:rPr>
          <w:i/>
          <w:iCs/>
        </w:rPr>
        <w:t>T.L Brink</w:t>
      </w:r>
      <w:r>
        <w:t xml:space="preserve"> &lt;https://craftonhills.academia.edu/TLBrink/Books&gt;</w:t>
      </w:r>
    </w:p>
    <w:p>
      <w:pPr>
        <w:pStyle w:val="para5"/>
      </w:pPr>
      <w:r>
        <w:t xml:space="preserve">Davies, Martin and Hughes, Nathan </w:t>
      </w:r>
      <w:r>
        <w:rPr>
          <w:i/>
          <w:iCs/>
        </w:rPr>
        <w:t>Doing A Successful Research Project</w:t>
      </w:r>
      <w:r>
        <w:t>, 2</w:t>
      </w:r>
      <w:r>
        <w:rPr>
          <w:vertAlign w:val="superscript"/>
        </w:rPr>
        <w:t>nd</w:t>
      </w:r>
      <w:r>
        <w:t xml:space="preserve"> edn, (Basingstoke, Plagrave Macmillan, 2014).</w:t>
      </w:r>
    </w:p>
    <w:p>
      <w:pPr>
        <w:pStyle w:val="para5"/>
      </w:pPr>
      <w:r>
        <w:t xml:space="preserve">Heider, Fritz ‘Attitudes and Cognitive Organization’. </w:t>
      </w:r>
      <w:r>
        <w:rPr>
          <w:i/>
          <w:iCs/>
        </w:rPr>
        <w:t>The Journal of Psychology</w:t>
      </w:r>
      <w:r>
        <w:t>, 21.1 (1946) 107–112.</w:t>
      </w:r>
    </w:p>
    <w:p>
      <w:pPr>
        <w:pStyle w:val="para5"/>
      </w:pPr>
      <w:r>
        <w:t xml:space="preserve">Hennink, Monique, Hutter, Inge and Bailey, </w:t>
      </w:r>
      <w:r>
        <w:rPr>
          <w:i/>
          <w:iCs/>
        </w:rPr>
        <w:t>Ajay, Qualitative Research Methods</w:t>
      </w:r>
      <w:r>
        <w:t>, (London, Sage Publications Ltd, 2011).</w:t>
      </w:r>
    </w:p>
    <w:p>
      <w:pPr>
        <w:pStyle w:val="para5"/>
      </w:pPr>
      <w:r>
        <w:t xml:space="preserve">Office for Human Research Protections (OHRP), </w:t>
      </w:r>
      <w:r>
        <w:rPr>
          <w:i/>
          <w:iCs/>
        </w:rPr>
        <w:t>Read the Belmont Report</w:t>
      </w:r>
      <w:r>
        <w:t>, &lt;https://www.hhs.gov/ohrp/regulations-and-policy/belmont-report/read-the-belmont-report/index.html&gt;.</w:t>
      </w:r>
    </w:p>
    <w:p>
      <w:pPr>
        <w:pStyle w:val="para5"/>
      </w:pPr>
      <w:r>
        <w:t xml:space="preserve">Walter, Tony, &amp; Waterhouse, Helen, ‘A Very Private Belief: Reincarnation in Contemporary England’. </w:t>
      </w:r>
      <w:r>
        <w:rPr>
          <w:i/>
          <w:iCs/>
        </w:rPr>
        <w:t>Sociology of Religion</w:t>
      </w:r>
      <w:r>
        <w:t>, 60, (1999), 187-197</w:t>
      </w:r>
    </w:p>
    <w:p>
      <w:pPr>
        <w:pStyle w:val="para5"/>
      </w:pPr>
      <w:r>
        <w:t>University of Bath, Tony Walter &lt;https://researchportal.bath.ac.uk/en/persons/tony-walter&gt;</w:t>
      </w:r>
    </w:p>
    <w:p>
      <w:pPr>
        <w:pStyle w:val="para5"/>
      </w:pPr>
      <w:r>
        <w:t xml:space="preserve">University of Nevada, Las Vegas, </w:t>
      </w:r>
      <w:r>
        <w:rPr>
          <w:i/>
          <w:iCs/>
        </w:rPr>
        <w:t>History of Research Ethics</w:t>
      </w:r>
      <w:r>
        <w:t>,  &lt;https://www.unlv.edu/research/ORI-HSR/history-ethics&gt;.</w:t>
      </w:r>
    </w:p>
    <w:p>
      <w:pPr>
        <w:pStyle w:val="para5"/>
      </w:pPr>
      <w:r>
        <w:t xml:space="preserve">YouTube, </w:t>
      </w:r>
      <w:r>
        <w:rPr>
          <w:i/>
          <w:iCs/>
        </w:rPr>
        <w:t xml:space="preserve">Headless Professor </w:t>
      </w:r>
      <w:r>
        <w:t xml:space="preserve">&lt;https://www.youtube.com/@headlessprofessor/playlists&gt; </w:t>
      </w:r>
    </w:p>
    <w:p>
      <w:pPr>
        <w:pStyle w:val="para5"/>
      </w:pPr>
      <w:r>
        <w:t xml:space="preserve">Zahrádková, Lenka, ‘Ethnographer’s Bias: Cultivating Reflexivity’. </w:t>
      </w:r>
      <w:r>
        <w:rPr>
          <w:i/>
          <w:iCs/>
        </w:rPr>
        <w:t>Ibero-Americana Pragensia</w:t>
      </w:r>
      <w:r>
        <w:t>, 49.1 (2024) 69–78.</w:t>
      </w:r>
    </w:p>
    <w:sectPr>
      <w:footnotePr>
        <w:pos w:val="pageBottom"/>
        <w:numFmt w:val="decimal"/>
        <w:numStart w:val="1"/>
        <w:numRestart w:val="continuous"/>
      </w:footnotePr>
      <w:endnotePr>
        <w:pos w:val="docEnd"/>
        <w:numFmt w:val="lowerRoman"/>
        <w:numStart w:val="1"/>
        <w:numRestart w:val="continuous"/>
      </w:endnotePr>
      <w:headerReference w:type="default" r:id="rId10"/>
      <w:type w:val="continuous"/>
      <w:pgSz w:h="16839" w:w="11907"/>
      <w:pgMar w:left="1134" w:top="1134" w:right="1134" w:bottom="1134" w:header="567" w:footer="0"/>
      <w:paperSrc w:first="0" w:other="0" a="0" b="0"/>
      <w:pgNumType w:fmt="decimal"/>
      <w:tmGutter w:val="1"/>
      <w:mirrorMargins w:val="0"/>
      <w:tmSection w:h="-1">
        <w:tmHeader w:id="0" w:h="0" edge="567" text="0">
          <w:shd w:val="none"/>
        </w:tmHeader>
      </w:tmSection>
      <w:guidesAndGridMasterPages Id="0" numberOfVerticalGuides="0" numberOfHorizontalGuides="0"/>
      <w:guidesAndGridMasterPages Id="1" numberOfVerticalGuides="0" numberOfHorizontalGuides="0"/>
      <w:guidesAndGridMasterPages Id="2" numberOfVerticalGuides="0" numberOfHorizontalGuides="0"/>
      <w:foldMark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default"/>
  </w:font>
  <w:font w:name="SimSun">
    <w:panose1 w:val="02010600030101010101"/>
    <w:charset w:val="00"/>
    <w:family w:val="auto"/>
    <w:pitch w:val="default"/>
  </w:font>
  <w:font w:name="Arial">
    <w:panose1 w:val="020B0604020202020204"/>
    <w:charset w:val="00"/>
    <w:family w:val="swiss"/>
    <w:pitch w:val="default"/>
  </w:font>
  <w:font w:name="Calibri">
    <w:panose1 w:val="020F0502020204030204"/>
    <w:charset w:val="00"/>
    <w:family w:val="swiss"/>
    <w:pitch w:val="default"/>
  </w:font>
  <w:font w:name="Cambria">
    <w:panose1 w:val="02040503050406030204"/>
    <w:charset w:val="00"/>
    <w:family w:val="roman"/>
    <w:pitch w:val="default"/>
  </w:font>
  <w:font w:name="Georgia">
    <w:panose1 w:val="02040502050405020303"/>
    <w:charset w:val="00"/>
    <w:family w:val="roman"/>
    <w:pitch w:val="default"/>
  </w:font>
  <w:font w:name="Tahoma">
    <w:panose1 w:val="020B0604030504040204"/>
    <w:charset w:val="00"/>
    <w:family w:val="swiss"/>
    <w:pitch w:val="default"/>
  </w:font>
  <w:font w:name="Trebuchet MS">
    <w:panose1 w:val="020B0603020202020204"/>
    <w:charset w:val="00"/>
    <w:family w:val="swiss"/>
    <w:pitch w:val="default"/>
  </w:font>
  <w:font w:name="Wingdings 2">
    <w:panose1 w:val="05020102010507070707"/>
    <w:charset w:val="02"/>
    <w:family w:val="roman"/>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footnote w:id="7">
    <w:p>
      <w:pPr>
        <w:pStyle w:val="para5"/>
      </w:pPr>
      <w:r>
        <w:rPr>
          <w:rStyle w:val="char1"/>
        </w:rPr>
      </w:r>
      <w:r>
        <w:rPr>
          <w:rStyle w:val="char1"/>
        </w:rPr>
        <w:footnoteRef/>
      </w:r>
      <w:r>
        <w:t xml:space="preserve"> Craftonhills Academia. </w:t>
      </w:r>
      <w:r>
        <w:rPr>
          <w:i/>
          <w:iCs/>
        </w:rPr>
        <w:t>T.L Brink</w:t>
      </w:r>
      <w:r>
        <w:t xml:space="preserve"> &lt;https://craftonhills.academia.edu/TLBrink/Books&gt; [accessed 17</w:t>
      </w:r>
      <w:r>
        <w:rPr>
          <w:vertAlign w:val="superscript"/>
        </w:rPr>
        <w:t>th</w:t>
      </w:r>
      <w:r>
        <w:t xml:space="preserve"> February 2025.</w:t>
      </w:r>
    </w:p>
  </w:footnote>
  <w:footnote w:id="8">
    <w:p>
      <w:pPr>
        <w:pStyle w:val="para5"/>
      </w:pPr>
      <w:r>
        <w:rPr>
          <w:rStyle w:val="char1"/>
        </w:rPr>
      </w:r>
      <w:r>
        <w:rPr>
          <w:rStyle w:val="char1"/>
        </w:rPr>
        <w:footnoteRef/>
      </w:r>
      <w:r>
        <w:t xml:space="preserve"> YouTube, </w:t>
      </w:r>
      <w:r>
        <w:rPr>
          <w:i/>
          <w:iCs/>
        </w:rPr>
        <w:t xml:space="preserve">Headless Professor </w:t>
      </w:r>
      <w:r>
        <w:t>&lt;https://www.youtube.com/@headlessprofessor/playlists&gt; [accessed 17th February 2025].</w:t>
      </w:r>
    </w:p>
  </w:footnote>
  <w:footnote w:id="9">
    <w:p>
      <w:pPr>
        <w:pStyle w:val="para5"/>
      </w:pPr>
      <w:r>
        <w:rPr>
          <w:rStyle w:val="char1"/>
        </w:rPr>
      </w:r>
      <w:r>
        <w:rPr>
          <w:rStyle w:val="char1"/>
        </w:rPr>
        <w:footnoteRef/>
      </w:r>
      <w:r>
        <w:t xml:space="preserve"> Craftonhills Academia, 2025.</w:t>
      </w:r>
    </w:p>
  </w:footnote>
  <w:footnote w:id="10">
    <w:p>
      <w:pPr>
        <w:pStyle w:val="para5"/>
      </w:pPr>
      <w:r>
        <w:rPr>
          <w:rStyle w:val="char1"/>
        </w:rPr>
      </w:r>
      <w:r>
        <w:rPr>
          <w:rStyle w:val="char1"/>
        </w:rPr>
        <w:footnoteRef/>
      </w:r>
      <w:r>
        <w:t xml:space="preserve"> University of Bath, Tony Walter &lt;https://researchportal.bath.ac.uk/en/persons/tony-walter&gt; [accessed 17</w:t>
      </w:r>
      <w:r>
        <w:rPr>
          <w:vertAlign w:val="superscript"/>
        </w:rPr>
        <w:t>th</w:t>
      </w:r>
      <w:r>
        <w:t xml:space="preserve"> February 2025].</w:t>
      </w:r>
    </w:p>
  </w:footnote>
  <w:footnote w:id="11">
    <w:p>
      <w:pPr>
        <w:pStyle w:val="para5"/>
      </w:pPr>
      <w:r>
        <w:rPr>
          <w:rStyle w:val="char1"/>
        </w:rPr>
      </w:r>
      <w:r>
        <w:rPr>
          <w:rStyle w:val="char1"/>
        </w:rPr>
        <w:footnoteRef/>
      </w:r>
      <w:r>
        <w:t xml:space="preserve"> University of Bath, 2025.</w:t>
      </w:r>
    </w:p>
  </w:footnote>
  <w:footnote w:id="12">
    <w:p>
      <w:pPr>
        <w:pStyle w:val="para5"/>
      </w:pPr>
      <w:r>
        <w:rPr>
          <w:rStyle w:val="char1"/>
        </w:rPr>
      </w:r>
      <w:r>
        <w:rPr>
          <w:rStyle w:val="char1"/>
        </w:rPr>
        <w:footnoteRef/>
      </w:r>
      <w:r>
        <w:t xml:space="preserve"> Terry Brink, ‘Inconsistency of Belief among Roman Catholic Girls: Concerning Religion, Astrology, Reincarnation.’ </w:t>
      </w:r>
      <w:r>
        <w:rPr>
          <w:i/>
          <w:iCs/>
        </w:rPr>
        <w:t>Review of Religious Research</w:t>
      </w:r>
      <w:r>
        <w:t>, 20, (1978), 82-85, p. 84</w:t>
      </w:r>
    </w:p>
  </w:footnote>
  <w:footnote w:id="13">
    <w:p>
      <w:pPr>
        <w:pStyle w:val="para5"/>
      </w:pPr>
      <w:r>
        <w:rPr>
          <w:rStyle w:val="char1"/>
        </w:rPr>
      </w:r>
      <w:r>
        <w:rPr>
          <w:rStyle w:val="char1"/>
        </w:rPr>
        <w:footnoteRef/>
      </w:r>
      <w:r>
        <w:t xml:space="preserve"> Brink, ‘Inconsistency of Belief’, p. 192.</w:t>
      </w:r>
    </w:p>
  </w:footnote>
  <w:footnote w:id="14">
    <w:p>
      <w:pPr>
        <w:pStyle w:val="para5"/>
      </w:pPr>
      <w:r>
        <w:rPr>
          <w:rStyle w:val="char1"/>
        </w:rPr>
      </w:r>
      <w:r>
        <w:rPr>
          <w:rStyle w:val="char1"/>
        </w:rPr>
        <w:footnoteRef/>
      </w:r>
      <w:r>
        <w:t xml:space="preserve"> Brink, ‘Inconsistency of Belief’, p. 84</w:t>
      </w:r>
    </w:p>
  </w:footnote>
  <w:footnote w:id="15">
    <w:p>
      <w:pPr>
        <w:pStyle w:val="para5"/>
      </w:pPr>
      <w:r>
        <w:rPr>
          <w:rStyle w:val="char1"/>
        </w:rPr>
      </w:r>
      <w:r>
        <w:rPr>
          <w:rStyle w:val="char1"/>
        </w:rPr>
        <w:footnoteRef/>
      </w:r>
      <w:r>
        <w:t xml:space="preserve"> Tony Walter, &amp; Helen Waterhouse, ‘A Very Private Belief: Reincarnation in Contemporary England’. </w:t>
      </w:r>
      <w:r>
        <w:rPr>
          <w:i/>
          <w:iCs/>
        </w:rPr>
        <w:t>Sociology of Religion</w:t>
      </w:r>
      <w:r>
        <w:t>, 60, (1999), 187-197, p. 192.</w:t>
      </w:r>
    </w:p>
  </w:footnote>
  <w:footnote w:id="16">
    <w:p>
      <w:pPr>
        <w:pStyle w:val="para5"/>
      </w:pPr>
      <w:r>
        <w:rPr>
          <w:rStyle w:val="char1"/>
        </w:rPr>
      </w:r>
      <w:r>
        <w:rPr>
          <w:rStyle w:val="char1"/>
        </w:rPr>
        <w:footnoteRef/>
      </w:r>
      <w:r>
        <w:t xml:space="preserve"> Alan Bryman,</w:t>
      </w:r>
      <w:r>
        <w:rPr>
          <w:i/>
          <w:iCs/>
        </w:rPr>
        <w:t xml:space="preserve"> Quantity and Quality in Social Research</w:t>
      </w:r>
      <w:r>
        <w:t>, (London, Routledge, 1996), p. 14.</w:t>
      </w:r>
    </w:p>
  </w:footnote>
  <w:footnote w:id="17">
    <w:p>
      <w:pPr>
        <w:pStyle w:val="para5"/>
      </w:pPr>
      <w:r>
        <w:rPr>
          <w:rStyle w:val="char1"/>
        </w:rPr>
      </w:r>
      <w:r>
        <w:rPr>
          <w:rStyle w:val="char1"/>
        </w:rPr>
        <w:footnoteRef/>
      </w:r>
      <w:r>
        <w:t xml:space="preserve"> Brink, ‘Inconsistency of Belief’, p. 83</w:t>
      </w:r>
    </w:p>
  </w:footnote>
  <w:footnote w:id="18">
    <w:p>
      <w:pPr>
        <w:pStyle w:val="para5"/>
      </w:pPr>
      <w:r>
        <w:rPr>
          <w:rStyle w:val="char1"/>
        </w:rPr>
      </w:r>
      <w:r>
        <w:rPr>
          <w:rStyle w:val="char1"/>
        </w:rPr>
        <w:footnoteRef/>
      </w:r>
      <w:r>
        <w:t xml:space="preserve"> Brink, ‘Inconsistency of Belief’, p. 83</w:t>
      </w:r>
    </w:p>
  </w:footnote>
  <w:footnote w:id="19">
    <w:p>
      <w:pPr>
        <w:pStyle w:val="para5"/>
      </w:pPr>
      <w:r>
        <w:rPr>
          <w:rStyle w:val="char1"/>
        </w:rPr>
      </w:r>
      <w:r>
        <w:rPr>
          <w:rStyle w:val="char1"/>
        </w:rPr>
        <w:footnoteRef/>
      </w:r>
      <w:r>
        <w:t xml:space="preserve"> Judith Bell and Stephen Waters, </w:t>
      </w:r>
      <w:r>
        <w:rPr>
          <w:i/>
          <w:iCs/>
        </w:rPr>
        <w:t>Doing your Research Project</w:t>
      </w:r>
      <w:r>
        <w:t>, 6</w:t>
      </w:r>
      <w:r>
        <w:rPr>
          <w:vertAlign w:val="superscript"/>
        </w:rPr>
        <w:t>th</w:t>
      </w:r>
      <w:r>
        <w:t xml:space="preserve"> edn. (Maidenhead, Open University Press, 2014), p. 9.</w:t>
      </w:r>
    </w:p>
  </w:footnote>
  <w:footnote w:id="20">
    <w:p>
      <w:pPr>
        <w:pStyle w:val="para5"/>
      </w:pPr>
      <w:r>
        <w:rPr>
          <w:rStyle w:val="char1"/>
        </w:rPr>
      </w:r>
      <w:r>
        <w:rPr>
          <w:rStyle w:val="char1"/>
        </w:rPr>
        <w:footnoteRef/>
      </w:r>
      <w:r>
        <w:t xml:space="preserve"> Walter and Waterhouse, ‘Private Belief’, p. 197.</w:t>
      </w:r>
    </w:p>
  </w:footnote>
  <w:footnote w:id="21">
    <w:p>
      <w:pPr>
        <w:pStyle w:val="para5"/>
      </w:pPr>
      <w:r>
        <w:rPr>
          <w:rStyle w:val="char1"/>
        </w:rPr>
      </w:r>
      <w:r>
        <w:rPr>
          <w:rStyle w:val="char1"/>
        </w:rPr>
        <w:footnoteRef/>
      </w:r>
      <w:r>
        <w:t xml:space="preserve"> Walter and Waterhouse, ‘Private Belief’, p. 189.</w:t>
      </w:r>
    </w:p>
  </w:footnote>
  <w:footnote w:id="22">
    <w:p>
      <w:pPr>
        <w:pStyle w:val="para5"/>
      </w:pPr>
      <w:r>
        <w:rPr>
          <w:rStyle w:val="char1"/>
        </w:rPr>
      </w:r>
      <w:r>
        <w:rPr>
          <w:rStyle w:val="char1"/>
        </w:rPr>
        <w:footnoteRef/>
      </w:r>
      <w:r>
        <w:t xml:space="preserve"> Walter and Waterhouse, ‘Private Belief’, p. 188.</w:t>
      </w:r>
    </w:p>
  </w:footnote>
  <w:footnote w:id="23">
    <w:p>
      <w:pPr>
        <w:pStyle w:val="para5"/>
      </w:pPr>
      <w:r>
        <w:rPr>
          <w:rStyle w:val="char1"/>
        </w:rPr>
      </w:r>
      <w:r>
        <w:rPr>
          <w:rStyle w:val="char1"/>
        </w:rPr>
        <w:footnoteRef/>
      </w:r>
      <w:r>
        <w:t xml:space="preserve"> Walter and Waterhouse, ‘Private Belief’, p. 188.</w:t>
      </w:r>
    </w:p>
  </w:footnote>
  <w:footnote w:id="24">
    <w:p>
      <w:pPr>
        <w:pStyle w:val="para5"/>
      </w:pPr>
      <w:r>
        <w:rPr>
          <w:rStyle w:val="char1"/>
        </w:rPr>
      </w:r>
      <w:r>
        <w:rPr>
          <w:rStyle w:val="char1"/>
        </w:rPr>
        <w:footnoteRef/>
      </w:r>
      <w:r>
        <w:t xml:space="preserve"> Walter and Waterhouse, ‘Private Belief’, p. 189.</w:t>
      </w:r>
    </w:p>
  </w:footnote>
  <w:footnote w:id="25">
    <w:p>
      <w:pPr>
        <w:pStyle w:val="para5"/>
      </w:pPr>
      <w:r>
        <w:rPr>
          <w:rStyle w:val="char1"/>
        </w:rPr>
      </w:r>
      <w:r>
        <w:rPr>
          <w:rStyle w:val="char1"/>
        </w:rPr>
        <w:footnoteRef/>
      </w:r>
      <w:r>
        <w:t xml:space="preserve"> Walter and Waterhouse, ‘Private Belief’, p. 191.</w:t>
      </w:r>
    </w:p>
  </w:footnote>
  <w:footnote w:id="26">
    <w:p>
      <w:pPr>
        <w:pStyle w:val="para5"/>
      </w:pPr>
      <w:r>
        <w:rPr>
          <w:rStyle w:val="char1"/>
        </w:rPr>
      </w:r>
      <w:r>
        <w:rPr>
          <w:rStyle w:val="char1"/>
        </w:rPr>
        <w:footnoteRef/>
      </w:r>
      <w:r>
        <w:t xml:space="preserve"> Walter and Waterhouse, ‘Private Belief’, p. 194.</w:t>
      </w:r>
    </w:p>
  </w:footnote>
  <w:footnote w:id="27">
    <w:p>
      <w:pPr>
        <w:pStyle w:val="para5"/>
      </w:pPr>
      <w:r>
        <w:rPr>
          <w:rStyle w:val="char1"/>
        </w:rPr>
      </w:r>
      <w:r>
        <w:rPr>
          <w:rStyle w:val="char1"/>
        </w:rPr>
        <w:footnoteRef/>
      </w:r>
      <w:r>
        <w:t xml:space="preserve"> Walter and Waterhouse, ‘Private Belief’, p. 194</w:t>
      </w:r>
    </w:p>
  </w:footnote>
  <w:footnote w:id="28">
    <w:p>
      <w:pPr>
        <w:pStyle w:val="para5"/>
      </w:pPr>
      <w:r>
        <w:rPr>
          <w:rStyle w:val="char1"/>
        </w:rPr>
      </w:r>
      <w:r>
        <w:rPr>
          <w:rStyle w:val="char1"/>
        </w:rPr>
        <w:footnoteRef/>
      </w:r>
      <w:r>
        <w:t xml:space="preserve"> Lenka Zahrádková, ‘Ethnographer’s Bias: Cultivating Reflexivity’. </w:t>
      </w:r>
      <w:r>
        <w:rPr>
          <w:i/>
          <w:iCs/>
        </w:rPr>
        <w:t>Ibero-Americana Pragensia</w:t>
      </w:r>
      <w:r>
        <w:t>, 49.1 (2024) 69–78. (p. 71) &lt;DOI:10.14712/24647063.2024.4&gt;</w:t>
      </w:r>
    </w:p>
  </w:footnote>
  <w:footnote w:id="29">
    <w:p>
      <w:pPr>
        <w:pStyle w:val="para5"/>
      </w:pPr>
      <w:r>
        <w:rPr>
          <w:rStyle w:val="char1"/>
        </w:rPr>
      </w:r>
      <w:r>
        <w:rPr>
          <w:rStyle w:val="char1"/>
        </w:rPr>
        <w:footnoteRef/>
      </w:r>
      <w:r>
        <w:t xml:space="preserve"> Monique Hennink, Inge Hutter, and Ajay Bailey, </w:t>
      </w:r>
      <w:r>
        <w:rPr>
          <w:i/>
          <w:iCs/>
        </w:rPr>
        <w:t>Qualitative Research Methods</w:t>
      </w:r>
      <w:r>
        <w:t>, (London, Sage Publications Ltd, 2011), p. 20.</w:t>
      </w:r>
    </w:p>
  </w:footnote>
  <w:footnote w:id="30">
    <w:p>
      <w:pPr>
        <w:pStyle w:val="para5"/>
      </w:pPr>
      <w:r>
        <w:rPr>
          <w:rStyle w:val="char1"/>
        </w:rPr>
      </w:r>
      <w:r>
        <w:rPr>
          <w:rStyle w:val="char1"/>
        </w:rPr>
        <w:footnoteRef/>
      </w:r>
      <w:r>
        <w:t xml:space="preserve"> Brink, ‘Inconsistency of Belief’, p. 84.</w:t>
      </w:r>
    </w:p>
  </w:footnote>
  <w:footnote w:id="31">
    <w:p>
      <w:pPr>
        <w:pStyle w:val="para5"/>
      </w:pPr>
      <w:r>
        <w:rPr>
          <w:rStyle w:val="char1"/>
        </w:rPr>
      </w:r>
      <w:r>
        <w:rPr>
          <w:rStyle w:val="char1"/>
        </w:rPr>
        <w:footnoteRef/>
      </w:r>
      <w:r>
        <w:t xml:space="preserve"> Brink, ‘Inconsistency of Belief’, p. 84.</w:t>
      </w:r>
    </w:p>
  </w:footnote>
  <w:footnote w:id="32">
    <w:p>
      <w:pPr>
        <w:pStyle w:val="para5"/>
      </w:pPr>
      <w:r>
        <w:rPr>
          <w:rStyle w:val="char1"/>
        </w:rPr>
      </w:r>
      <w:r>
        <w:rPr>
          <w:rStyle w:val="char1"/>
        </w:rPr>
        <w:footnoteRef/>
      </w:r>
      <w:r>
        <w:t xml:space="preserve"> Brink, ‘Inconsistency of Belief’, p. 82.</w:t>
      </w:r>
    </w:p>
  </w:footnote>
  <w:footnote w:id="33">
    <w:p>
      <w:pPr>
        <w:pStyle w:val="para5"/>
      </w:pPr>
      <w:r>
        <w:rPr>
          <w:rStyle w:val="char1"/>
        </w:rPr>
      </w:r>
      <w:r>
        <w:rPr>
          <w:rStyle w:val="char1"/>
        </w:rPr>
        <w:footnoteRef/>
      </w:r>
      <w:r>
        <w:t xml:space="preserve"> Brink, ‘Inconsistency of Belief’, p. 82.</w:t>
      </w:r>
    </w:p>
  </w:footnote>
  <w:footnote w:id="34">
    <w:p>
      <w:pPr>
        <w:pStyle w:val="para5"/>
      </w:pPr>
      <w:r>
        <w:rPr>
          <w:rStyle w:val="char1"/>
        </w:rPr>
      </w:r>
      <w:r>
        <w:rPr>
          <w:rStyle w:val="char1"/>
        </w:rPr>
        <w:footnoteRef/>
      </w:r>
      <w:r>
        <w:t xml:space="preserve"> Brink, ‘Inconsistency of Belief’, p. 82.</w:t>
      </w:r>
    </w:p>
  </w:footnote>
  <w:footnote w:id="35">
    <w:p>
      <w:pPr>
        <w:pStyle w:val="para5"/>
      </w:pPr>
      <w:r>
        <w:rPr>
          <w:rStyle w:val="char1"/>
        </w:rPr>
      </w:r>
      <w:r>
        <w:rPr>
          <w:rStyle w:val="char1"/>
        </w:rPr>
        <w:footnoteRef/>
      </w:r>
      <w:r>
        <w:t xml:space="preserve"> Brink, ‘Inconsistency of Belief’, p. 82.</w:t>
      </w:r>
    </w:p>
  </w:footnote>
  <w:footnote w:id="36">
    <w:p>
      <w:pPr>
        <w:pStyle w:val="para5"/>
      </w:pPr>
      <w:r>
        <w:rPr>
          <w:rStyle w:val="char1"/>
        </w:rPr>
      </w:r>
      <w:r>
        <w:rPr>
          <w:rStyle w:val="char1"/>
        </w:rPr>
        <w:footnoteRef/>
      </w:r>
      <w:r>
        <w:t xml:space="preserve"> Fritz Heider, ‘Attitudes and Cognitive Organization’. </w:t>
      </w:r>
      <w:r>
        <w:rPr>
          <w:i/>
          <w:iCs/>
        </w:rPr>
        <w:t>The Journal of Psychology</w:t>
      </w:r>
      <w:r>
        <w:t>, 21.1 (1946) 107–112, (p. 107) &lt;DOI: 10.1080/00223980.1946.9917275&gt;</w:t>
      </w:r>
    </w:p>
  </w:footnote>
  <w:footnote w:id="37">
    <w:p>
      <w:pPr>
        <w:pStyle w:val="para5"/>
      </w:pPr>
      <w:r>
        <w:rPr>
          <w:rStyle w:val="char1"/>
        </w:rPr>
      </w:r>
      <w:r>
        <w:rPr>
          <w:rStyle w:val="char1"/>
        </w:rPr>
        <w:footnoteRef/>
      </w:r>
      <w:r>
        <w:t xml:space="preserve"> Hennink, Hutter, and Bailey, </w:t>
      </w:r>
      <w:r>
        <w:rPr>
          <w:i/>
          <w:iCs/>
        </w:rPr>
        <w:t>Qualitative Research</w:t>
      </w:r>
      <w:r>
        <w:t>, p. 19.</w:t>
      </w:r>
    </w:p>
  </w:footnote>
  <w:footnote w:id="38">
    <w:p>
      <w:pPr>
        <w:pStyle w:val="para5"/>
      </w:pPr>
      <w:r>
        <w:rPr>
          <w:rStyle w:val="char1"/>
        </w:rPr>
      </w:r>
      <w:r>
        <w:rPr>
          <w:rStyle w:val="char1"/>
        </w:rPr>
        <w:footnoteRef/>
      </w:r>
      <w:r>
        <w:t xml:space="preserve"> Walter and Waterhouse, ‘Private Belief’, p. 191.</w:t>
      </w:r>
    </w:p>
  </w:footnote>
  <w:footnote w:id="39">
    <w:p>
      <w:pPr>
        <w:pStyle w:val="para5"/>
        <w:rPr>
          <w:sz w:val="22"/>
          <w:szCs w:val="22"/>
        </w:rPr>
      </w:pPr>
      <w:r>
        <w:rPr>
          <w:rStyle w:val="char1"/>
        </w:rPr>
      </w:r>
      <w:r>
        <w:rPr>
          <w:rStyle w:val="char1"/>
        </w:rPr>
        <w:footnoteRef/>
      </w:r>
      <w:r>
        <w:t xml:space="preserve"> Walter and Waterhouse, ‘Private Belief’, p. </w:t>
      </w:r>
      <w:r>
        <w:rPr>
          <w:sz w:val="22"/>
          <w:szCs w:val="22"/>
        </w:rPr>
        <w:t>189.</w:t>
      </w:r>
      <w:r>
        <w:rPr>
          <w:sz w:val="22"/>
          <w:szCs w:val="22"/>
        </w:rPr>
      </w:r>
    </w:p>
  </w:footnote>
  <w:footnote w:id="40">
    <w:p>
      <w:pPr>
        <w:pStyle w:val="para5"/>
      </w:pPr>
      <w:r>
        <w:rPr>
          <w:rStyle w:val="char1"/>
        </w:rPr>
      </w:r>
      <w:r>
        <w:rPr>
          <w:rStyle w:val="char1"/>
        </w:rPr>
        <w:footnoteRef/>
      </w:r>
      <w:r>
        <w:t xml:space="preserve"> Walter and Waterhouse, ‘Private Belief’, p. 190.</w:t>
      </w:r>
    </w:p>
  </w:footnote>
  <w:footnote w:id="41">
    <w:p>
      <w:pPr>
        <w:pStyle w:val="para5"/>
      </w:pPr>
      <w:r>
        <w:rPr>
          <w:rStyle w:val="char1"/>
        </w:rPr>
      </w:r>
      <w:r>
        <w:rPr>
          <w:rStyle w:val="char1"/>
        </w:rPr>
        <w:footnoteRef/>
      </w:r>
      <w:r>
        <w:t xml:space="preserve"> University of Nevada, Las Vegas, </w:t>
      </w:r>
      <w:r>
        <w:rPr>
          <w:i/>
          <w:iCs/>
        </w:rPr>
        <w:t>History of Research Ethics</w:t>
      </w:r>
      <w:r>
        <w:t>,  &lt;https://www.unlv.edu/research/ORI-HSR/history-ethics&gt; [accessed 28</w:t>
      </w:r>
      <w:r>
        <w:rPr>
          <w:vertAlign w:val="superscript"/>
        </w:rPr>
        <w:t>th</w:t>
      </w:r>
      <w:r>
        <w:t xml:space="preserve"> February 2025]</w:t>
      </w:r>
    </w:p>
  </w:footnote>
  <w:footnote w:id="42">
    <w:p>
      <w:pPr>
        <w:pStyle w:val="para5"/>
      </w:pPr>
      <w:r>
        <w:rPr>
          <w:rStyle w:val="char1"/>
        </w:rPr>
      </w:r>
      <w:r>
        <w:rPr>
          <w:rStyle w:val="char1"/>
        </w:rPr>
        <w:footnoteRef/>
      </w:r>
      <w:r>
        <w:t xml:space="preserve"> Martin Davies and Nathan Hughes, </w:t>
      </w:r>
      <w:r>
        <w:rPr>
          <w:i/>
          <w:iCs/>
        </w:rPr>
        <w:t>Doing A Successful Research Project</w:t>
      </w:r>
      <w:r>
        <w:t>, 2</w:t>
      </w:r>
      <w:r>
        <w:rPr>
          <w:vertAlign w:val="superscript"/>
        </w:rPr>
        <w:t>nd</w:t>
      </w:r>
      <w:r>
        <w:t xml:space="preserve"> edn, (Basingstoke, Plagrave Macmillan, 2014), p. 43.</w:t>
      </w:r>
    </w:p>
  </w:footnote>
  <w:footnote w:id="43">
    <w:p>
      <w:pPr>
        <w:pStyle w:val="para5"/>
      </w:pPr>
      <w:r>
        <w:rPr>
          <w:rStyle w:val="char1"/>
        </w:rPr>
      </w:r>
      <w:r>
        <w:rPr>
          <w:rStyle w:val="char1"/>
        </w:rPr>
        <w:footnoteRef/>
      </w:r>
      <w:r>
        <w:t xml:space="preserve"> Brink, ‘Inconsistency of Belief’, p. 83</w:t>
      </w:r>
    </w:p>
  </w:footnote>
  <w:footnote w:id="44">
    <w:p>
      <w:pPr>
        <w:pStyle w:val="para5"/>
      </w:pPr>
      <w:r>
        <w:rPr>
          <w:rStyle w:val="char1"/>
        </w:rPr>
      </w:r>
      <w:r>
        <w:rPr>
          <w:rStyle w:val="char1"/>
        </w:rPr>
        <w:footnoteRef/>
      </w:r>
      <w:r>
        <w:t xml:space="preserve"> Office for Human Research Protections (OHRP), </w:t>
      </w:r>
      <w:r>
        <w:rPr>
          <w:i/>
          <w:iCs/>
        </w:rPr>
        <w:t>Read the Belmont Report</w:t>
      </w:r>
      <w:r>
        <w:t>, &lt;https://www.hhs.gov/ohrp/regulations-and-policy/belmont-report/read-the-belmont-report/index.html&gt; [accessed 18</w:t>
      </w:r>
      <w:r>
        <w:rPr>
          <w:vertAlign w:val="superscript"/>
        </w:rPr>
        <w:t>th</w:t>
      </w:r>
      <w:r>
        <w:t xml:space="preserve"> February 2025].</w:t>
      </w:r>
    </w:p>
  </w:footnote>
  <w:footnote w:id="45">
    <w:p>
      <w:pPr>
        <w:pStyle w:val="para5"/>
      </w:pPr>
      <w:r>
        <w:rPr>
          <w:rStyle w:val="char1"/>
        </w:rPr>
      </w:r>
      <w:r>
        <w:rPr>
          <w:rStyle w:val="char1"/>
        </w:rPr>
        <w:footnoteRef/>
      </w:r>
      <w:r>
        <w:t xml:space="preserve"> Hennink, Hutter, and Bailey, </w:t>
      </w:r>
      <w:r>
        <w:rPr>
          <w:i/>
          <w:iCs/>
        </w:rPr>
        <w:t>Qualitative Research</w:t>
      </w:r>
      <w:r>
        <w:t xml:space="preserve"> p. 63.</w:t>
      </w:r>
    </w:p>
  </w:footnote>
  <w:footnote w:id="46">
    <w:p>
      <w:pPr>
        <w:pStyle w:val="para5"/>
      </w:pPr>
      <w:r>
        <w:rPr>
          <w:rStyle w:val="char1"/>
        </w:rPr>
      </w:r>
      <w:r>
        <w:rPr>
          <w:rStyle w:val="char1"/>
        </w:rPr>
        <w:footnoteRef/>
      </w:r>
      <w:r>
        <w:t xml:space="preserve"> Walter and Waterhouse, ‘Private Belief’, p. 188.</w:t>
      </w:r>
    </w:p>
  </w:footnote>
  <w:footnote w:id="47">
    <w:p>
      <w:pPr>
        <w:pStyle w:val="para5"/>
      </w:pPr>
      <w:r>
        <w:rPr>
          <w:rStyle w:val="char1"/>
        </w:rPr>
      </w:r>
      <w:r>
        <w:rPr>
          <w:rStyle w:val="char1"/>
        </w:rPr>
        <w:footnoteRef/>
      </w:r>
      <w:r>
        <w:t xml:space="preserve"> Walter and Waterhouse, ‘Private Belief’, p. 189.</w:t>
      </w:r>
    </w:p>
  </w:footnote>
  <w:footnote w:id="48">
    <w:p>
      <w:pPr>
        <w:pStyle w:val="para5"/>
      </w:pPr>
      <w:r>
        <w:rPr>
          <w:rStyle w:val="char1"/>
        </w:rPr>
      </w:r>
      <w:r>
        <w:rPr>
          <w:rStyle w:val="char1"/>
        </w:rPr>
        <w:footnoteRef/>
      </w:r>
      <w:r>
        <w:t xml:space="preserve"> Walter and Waterhouse, ‘Private Belief’, p. 189.</w:t>
      </w:r>
    </w:p>
  </w:footnote>
  <w:footnote w:id="49">
    <w:p>
      <w:pPr>
        <w:pStyle w:val="para5"/>
      </w:pPr>
      <w:r>
        <w:rPr>
          <w:rStyle w:val="char1"/>
        </w:rPr>
      </w:r>
      <w:r>
        <w:rPr>
          <w:rStyle w:val="char1"/>
        </w:rPr>
        <w:footnoteRef/>
      </w:r>
      <w:r>
        <w:t xml:space="preserve"> Brink, ‘Inconsistency of Belief’, p. 82.</w:t>
      </w:r>
    </w:p>
  </w:footnote>
  <w:footnote w:id="50">
    <w:p>
      <w:pPr>
        <w:pStyle w:val="para5"/>
      </w:pPr>
      <w:r>
        <w:rPr>
          <w:rStyle w:val="char1"/>
        </w:rPr>
      </w:r>
      <w:r>
        <w:rPr>
          <w:rStyle w:val="char1"/>
        </w:rPr>
        <w:footnoteRef/>
      </w:r>
      <w:r>
        <w:t xml:space="preserve"> Brink, ‘Inconsistency of Belief’, p. 82.</w:t>
      </w:r>
    </w:p>
  </w:footnote>
  <w:footnote w:id="51">
    <w:p>
      <w:pPr>
        <w:pStyle w:val="para5"/>
      </w:pPr>
      <w:r>
        <w:rPr>
          <w:rStyle w:val="char1"/>
        </w:rPr>
      </w:r>
      <w:r>
        <w:rPr>
          <w:rStyle w:val="char1"/>
        </w:rPr>
        <w:footnoteRef/>
      </w:r>
      <w:r>
        <w:t xml:space="preserve"> Walter and Waterhouse, ‘Private Belief’, p. 188.</w:t>
      </w:r>
    </w:p>
  </w:footnote>
  <w:footnote w:id="52">
    <w:p>
      <w:pPr>
        <w:pStyle w:val="para5"/>
      </w:pPr>
      <w:r>
        <w:rPr>
          <w:rStyle w:val="char1"/>
        </w:rPr>
      </w:r>
      <w:r>
        <w:rPr>
          <w:rStyle w:val="char1"/>
        </w:rPr>
        <w:footnoteRef/>
      </w:r>
      <w:r>
        <w:t xml:space="preserve"> Walter and Waterhouse, ‘Private Belief’, p. 187.</w:t>
      </w:r>
    </w:p>
  </w:footnote>
  <w:footnote w:id="53">
    <w:p>
      <w:pPr>
        <w:pStyle w:val="para5"/>
      </w:pPr>
      <w:r>
        <w:rPr>
          <w:rStyle w:val="char1"/>
        </w:rPr>
      </w:r>
      <w:r>
        <w:rPr>
          <w:rStyle w:val="char1"/>
        </w:rPr>
        <w:footnoteRef/>
      </w:r>
      <w:r>
        <w:t xml:space="preserve"> Walter and Waterhouse, ‘Private Belief’, p. 188.</w:t>
      </w:r>
    </w:p>
  </w:footnote>
  <w:footnote w:id="54">
    <w:p>
      <w:pPr>
        <w:pStyle w:val="para5"/>
      </w:pPr>
      <w:r>
        <w:rPr>
          <w:rStyle w:val="char1"/>
        </w:rPr>
      </w:r>
      <w:r>
        <w:rPr>
          <w:rStyle w:val="char1"/>
        </w:rPr>
        <w:footnoteRef/>
      </w:r>
      <w:r>
        <w:t xml:space="preserve"> Walter and Waterhouse, ‘Private Belief’, p. 189.</w:t>
      </w:r>
    </w:p>
  </w:footnote>
  <w:footnote w:id="55">
    <w:p>
      <w:pPr>
        <w:pStyle w:val="para5"/>
      </w:pPr>
      <w:r>
        <w:rPr>
          <w:rStyle w:val="char1"/>
        </w:rPr>
      </w:r>
      <w:r>
        <w:rPr>
          <w:rStyle w:val="char1"/>
        </w:rPr>
        <w:footnoteRef/>
      </w:r>
      <w:r>
        <w:t xml:space="preserve"> Brink, ‘Inconsistency of Belief’, p. 82</w:t>
      </w:r>
    </w:p>
  </w:footnote>
  <w:footnote w:id="56">
    <w:p>
      <w:pPr>
        <w:pStyle w:val="para5"/>
      </w:pPr>
      <w:r>
        <w:rPr>
          <w:rStyle w:val="char1"/>
        </w:rPr>
      </w:r>
      <w:r>
        <w:rPr>
          <w:rStyle w:val="char1"/>
        </w:rPr>
        <w:footnoteRef/>
      </w:r>
      <w:r>
        <w:t xml:space="preserve"> Brink, ‘Inconsistency of Belief’, p. 82</w:t>
      </w:r>
    </w:p>
  </w:footnote>
  <w:footnote w:id="57">
    <w:p>
      <w:pPr>
        <w:pStyle w:val="para5"/>
      </w:pPr>
      <w:r>
        <w:rPr>
          <w:rStyle w:val="char1"/>
        </w:rPr>
      </w:r>
      <w:r>
        <w:rPr>
          <w:rStyle w:val="char1"/>
        </w:rPr>
        <w:footnoteRef/>
      </w:r>
      <w:r>
        <w:t xml:space="preserve"> Brink, ‘Inconsistency of Belief’, p. 82</w:t>
      </w:r>
    </w:p>
  </w:footnote>
  <w:footnote w:id="58">
    <w:p>
      <w:pPr>
        <w:pStyle w:val="para5"/>
      </w:pPr>
      <w:r>
        <w:rPr>
          <w:rStyle w:val="char1"/>
        </w:rPr>
      </w:r>
      <w:r>
        <w:rPr>
          <w:rStyle w:val="char1"/>
        </w:rPr>
        <w:footnoteRef/>
      </w:r>
      <w:r>
        <w:t xml:space="preserve"> Walter and Waterhouse, ‘Private Belief’, p. 193.</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p>
    <w:pPr>
      <w:pStyle w:val="para6"/>
      <w:tabs defTabSz="708">
        <w:tab w:val="center" w:pos="4819" w:leader="none"/>
        <w:tab w:val="clear" w:pos="9639" w:leader="none"/>
      </w:tabs>
      <w:rPr>
        <w:color w:val="000000"/>
      </w:rPr>
    </w:pPr>
    <w:r>
      <w:tab/>
      <w:t xml:space="preserve">Linda Parkinson-Hardman, </w:t>
    </w:r>
    <w:r>
      <w:rPr>
        <w:color w:val="000000"/>
      </w:rPr>
      <w:t xml:space="preserve">2409122, Page </w:t>
    </w:r>
    <w:r>
      <w:rPr>
        <w:color w:val="000000"/>
      </w:rPr>
    </w:r>
    <w:r>
      <w:rPr>
        <w:color w:val="000000"/>
      </w:rPr>
      <w:fldChar w:fldCharType="begin"/>
      <w:instrText xml:space="preserve"> PAGE </w:instrText>
      <w:fldChar w:fldCharType="separate"/>
      <w:t>1</w:t>
      <w:fldChar w:fldCharType="end"/>
    </w:r>
    <w:r>
      <w:rPr>
        <w:color w:val="000000"/>
      </w:rPr>
      <w:t xml:space="preserve"> of</w:t>
    </w:r>
    <w:r>
      <w:rPr>
        <w:color w:val="000000"/>
      </w:rPr>
      <w:t xml:space="preserve"> </w:t>
    </w:r>
    <w:r>
      <w:rPr>
        <w:color w:val="000000"/>
      </w:rPr>
      <w:t>9</w:t>
    </w:r>
    <w:r>
      <w:rPr>
        <w:color w:val="000000"/>
      </w:rPr>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abstractNum w:abstractNumId="0">
    <w:multiLevelType w:val="hybridMultilevel"/>
    <w:tmNoNumList/>
    <w:lvl w:ilvl="0">
      <w:numFmt w:val="none"/>
      <w:lvlText w:val=""/>
      <w:lvlJc w:val="left"/>
      <w:pPr>
        <w:tabs>
          <w:tab w:val="num" w:pos="360"/>
        </w:tabs>
        <w:ind w:left="360" w:hanging="360"/>
      </w:pPr>
    </w:lvl>
    <w:lvl w:ilvl="1">
      <w:numFmt w:val="none"/>
      <w:lvlText w:val=""/>
      <w:lvlJc w:val="left"/>
      <w:pPr>
        <w:tabs>
          <w:tab w:val="num" w:pos="360"/>
        </w:tabs>
        <w:ind w:left="360" w:hanging="360"/>
      </w:pPr>
    </w:lvl>
    <w:lvl w:ilvl="2">
      <w:numFmt w:val="none"/>
      <w:lvlText w:val=""/>
      <w:lvlJc w:val="left"/>
      <w:pPr>
        <w:tabs>
          <w:tab w:val="num" w:pos="360"/>
        </w:tabs>
        <w:ind w:left="360" w:hanging="360"/>
      </w:pPr>
    </w:lvl>
    <w:lvl w:ilvl="3">
      <w:numFmt w:val="none"/>
      <w:lvlText w:val=""/>
      <w:lvlJc w:val="left"/>
      <w:pPr>
        <w:tabs>
          <w:tab w:val="num" w:pos="360"/>
        </w:tabs>
        <w:ind w:left="360" w:hanging="360"/>
      </w:pPr>
    </w:lvl>
    <w:lvl w:ilvl="4">
      <w:numFmt w:val="none"/>
      <w:lvlText w:val=""/>
      <w:lvlJc w:val="left"/>
      <w:pPr>
        <w:tabs>
          <w:tab w:val="num" w:pos="360"/>
        </w:tabs>
        <w:ind w:left="360" w:hanging="360"/>
      </w:pPr>
    </w:lvl>
    <w:lvl w:ilvl="5">
      <w:numFmt w:val="none"/>
      <w:lvlText w:val=""/>
      <w:lvlJc w:val="left"/>
      <w:pPr>
        <w:tabs>
          <w:tab w:val="num" w:pos="360"/>
        </w:tabs>
        <w:ind w:left="360" w:hanging="360"/>
      </w:pPr>
    </w:lvl>
    <w:lvl w:ilvl="6">
      <w:numFmt w:val="none"/>
      <w:lvlText w:val=""/>
      <w:lvlJc w:val="left"/>
      <w:pPr>
        <w:tabs>
          <w:tab w:val="num" w:pos="360"/>
        </w:tabs>
        <w:ind w:left="360" w:hanging="360"/>
      </w:pPr>
    </w:lvl>
    <w:lvl w:ilvl="7">
      <w:numFmt w:val="none"/>
      <w:lvlText w:val=""/>
      <w:lvlJc w:val="left"/>
      <w:pPr>
        <w:tabs>
          <w:tab w:val="num" w:pos="360"/>
        </w:tabs>
        <w:ind w:left="360" w:hanging="360"/>
      </w:pPr>
    </w:lvl>
    <w:lvl w:ilvl="8">
      <w:numFmt w:val="none"/>
      <w:lvlText w:val=""/>
      <w:lvlJc w:val="left"/>
      <w:pPr>
        <w:tabs>
          <w:tab w:val="num" w:pos="360"/>
        </w:tabs>
        <w:ind w:left="360" w:hanging="360"/>
      </w:pPr>
    </w:lvl>
  </w:abstractNum>
  <w:abstractNum w:abstractNumId="1">
    <w:multiLevelType w:val="singleLevel"/>
    <w:name w:val="Bullet 1"/>
    <w:lvl w:ilvl="0">
      <w:start w:val="1"/>
      <w:numFmt w:val="decimal"/>
      <w:suff w:val="tab"/>
      <w:lvlText w:val="%1."/>
      <w:lvlJc w:val="left"/>
      <w:pPr>
        <w:ind w:left="0" w:hanging="0"/>
      </w:pPr>
    </w:lvl>
  </w:abstractNum>
  <w:abstractNum w:abstractNumId="2">
    <w:multiLevelType w:val="singleLevel"/>
    <w:name w:val="Bullet 2"/>
    <w:lvl w:ilvl="0">
      <w:start w:val="1"/>
      <w:numFmt w:val="decimal"/>
      <w:suff w:val="tab"/>
      <w:lvlText w:val="%1."/>
      <w:lvlJc w:val="left"/>
      <w:pPr>
        <w:ind w:left="0" w:hanging="0"/>
      </w:pPr>
    </w:lvl>
  </w:abstractNum>
  <w:abstractNum w:abstractNumId="3">
    <w:multiLevelType w:val="singleLevel"/>
    <w:name w:val="Bullet 3"/>
    <w:lvl w:ilvl="0">
      <w:start w:val="1"/>
      <w:numFmt w:val="decimal"/>
      <w:suff w:val="tab"/>
      <w:lvlText w:val="%1."/>
      <w:lvlJc w:val="left"/>
      <w:pPr>
        <w:ind w:left="0" w:hanging="0"/>
      </w:pPr>
    </w:lvl>
  </w:abstractNum>
  <w:abstractNum w:abstractNumId="4">
    <w:multiLevelType w:val="singleLevel"/>
    <w:name w:val="Bullet 4"/>
    <w:lvl w:ilvl="0">
      <w:numFmt w:val="bullet"/>
      <w:suff w:val="tab"/>
      <w:lvlText w:val=""/>
      <w:lvlJc w:val="left"/>
      <w:pPr>
        <w:ind w:left="0" w:hanging="0"/>
      </w:pPr>
      <w:rPr>
        <w:rFonts w:ascii="Wingdings" w:hAnsi="Wingdings" w:eastAsia="Wingdings" w:cs="Wingdings"/>
      </w:rPr>
    </w:lvl>
  </w:abstractNum>
  <w:num w:numId="1">
    <w:abstractNumId w:val="1"/>
  </w:num>
  <w:num w:numId="2">
    <w:abstractNumId w:val="2"/>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view w:val="print"/>
  <w:defaultTabStop w:val="708"/>
  <w:autoHyphenation w:val="0"/>
  <w:doNotShadeFormData w:val="1"/>
  <w:captions>
    <w:caption w:name="Table" w:pos="below" w:numFmt="decimal"/>
    <w:caption w:name="Figure" w:pos="below" w:numFmt="decimal"/>
    <w:caption w:name="Picture" w:pos="below" w:numFmt="decimal"/>
  </w:captions>
  <w:drawingGridHorizontalSpacing w:val="283"/>
  <w:drawingGridVerticalSpacing w:val="283"/>
  <w:revisionView w:comments="1" w:markup="1" w:insDel="1" w:formatting="1"/>
  <w:footnotePr>
    <w:pos w:val="pageBottom"/>
    <w:numFmt w:val="decimal"/>
    <w:numStart w:val="1"/>
    <w:numRestart w:val="continuous"/>
  </w:footnotePr>
  <w:endnotePr>
    <w:pos w:val="docEnd"/>
    <w:numFmt w:val="lowerRoman"/>
    <w:numStart w:val="1"/>
    <w:numRestart w:val="continuous"/>
  </w:endnotePr>
  <w:compat>
    <w:suppressSpBfAfterPgBrk w:val="1"/>
    <w:compatSetting w:name="compatibilityMode" w:uri="http://schemas.microsoft.com/office/word" w:val="15"/>
  </w:compat>
  <w:shapeDefaults>
    <o:shapedefaults v:ext="edit" spidmax="2049"/>
    <o:shapelayout v:ext="edit">
      <o:rules v:ext="edit"/>
    </o:shapelayout>
  </w:shapeDefaults>
  <w:tmPrefOne w:val="16"/>
  <w:tmPrefTwo w:val="1"/>
  <w:tmFmtPref w:val="55090283"/>
  <w:tmCommentsPr>
    <w:tmCommentsPlace w:val="0"/>
    <w:tmCommentsWidth w:val="3119"/>
    <w:tmCommentsColor w:val="-1"/>
  </w:tmCommentsPr>
  <w:tmReviewPr>
    <w:tmReviewEnabled w:val="0"/>
    <w:tmReviewShow w:val="1"/>
    <w:tmReviewPrint w:val="0"/>
    <w:tmRevisionNum w:val="28"/>
    <w:tmReviewMarkIns w:val="4"/>
    <w:tmReviewColorIns w:val="-1"/>
    <w:tmReviewMarkDel w:val="6"/>
    <w:tmReviewColorDel w:val="-1"/>
    <w:tmReviewMarkFmt w:val="1"/>
    <w:tmReviewColorFmt w:val="-1"/>
    <w:tmReviewMarkLn w:val="1"/>
    <w:tmReviewColorLn w:val="0"/>
    <w:tmReviewToolTip w:val="1"/>
  </w:tmReviewPr>
  <w:tmLastPos>
    <w:tmLastPosPage w:val="0"/>
    <w:tmLastPosSelect w:val="0"/>
    <w:tmLastPosFrameIdx w:val="6"/>
    <w:tmLastPosCaret>
      <w:tmLastPosPgfIdx w:val="1"/>
      <w:tmLastPosIdx w:val="18"/>
    </w:tmLastPosCaret>
    <w:tmLastPosAnchor>
      <w:tmLastPosPgfIdx w:val="0"/>
      <w:tmLastPosIdx w:val="0"/>
    </w:tmLastPosAnchor>
    <w:tmLastPosTblRect w:left="0" w:top="0" w:right="0" w:bottom="0"/>
  </w:tmLastPos>
  <w:tmAppRevision w:date="1741273347" w:val="1222" w:fileVer="342" w:fileVer64="64" w:fileVerOS="4"/>
  <w:guidesAndGrid showGuides="1" lockGuides="0" snapToGuides="1" snapToPageMargins="0" snapToOtherObjects="1" tolerance="8" gridDistanceHorizontal="283" gridDistanceVertical="283" showGrid="0" snapToGrid="0"/>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hAnsi="Times New Roman" w:eastAsia="SimSun" w:cs="Times New Roman"/>
        <w:kern w:val="1"/>
        <w:sz w:val="20"/>
        <w:szCs w:val="20"/>
        <w:lang w:val="en-gb" w:eastAsia="zh-cn" w:bidi="ar-sa"/>
      </w:rPr>
    </w:rPrDefault>
    <w:pPrDefault>
      <w:pPr>
        <w:ind w:firstLine="283"/>
        <w:spacing w:before="40" w:after="40"/>
        <w:jc w:val="both"/>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rFonts w:ascii="Calibri" w:hAnsi="Calibri" w:eastAsia="Calibri" w:cs="Calibri"/>
      <w:sz w:val="22"/>
      <w:szCs w:val="22"/>
      <w:lang w:eastAsia="en-gb" w:bidi="en-gb"/>
    </w:rPr>
    <w:key w:val="1072"/>
  </w:style>
  <w:style w:type="paragraph" w:styleId="para1">
    <w:name w:val="heading 1"/>
    <w:qFormat/>
    <w:basedOn w:val="para0"/>
    <w:next w:val="para0"/>
    <w:pPr>
      <w:ind w:firstLine="0"/>
      <w:spacing w:before="280" w:after="240" w:beforeAutospacing="1"/>
      <w:keepNext/>
      <w:outlineLvl w:val="0"/>
      <w:keepLines/>
    </w:pPr>
    <w:rPr>
      <w:rFonts w:ascii="Cambria" w:hAnsi="Cambria" w:eastAsia="Cambria" w:cs="Cambria"/>
      <w:b/>
      <w:bCs/>
      <w:sz w:val="36"/>
      <w:szCs w:val="36"/>
    </w:rPr>
    <w:key w:val="1073"/>
  </w:style>
  <w:style w:type="paragraph" w:styleId="para2">
    <w:name w:val="heading 2"/>
    <w:qFormat/>
    <w:basedOn w:val="para1"/>
    <w:next w:val="para0"/>
    <w:pPr>
      <w:outlineLvl w:val="1"/>
    </w:pPr>
    <w:rPr>
      <w:sz w:val="32"/>
      <w:szCs w:val="32"/>
    </w:rPr>
    <w:key w:val="1074"/>
  </w:style>
  <w:style w:type="paragraph" w:styleId="para3">
    <w:name w:val="heading 3"/>
    <w:qFormat/>
    <w:basedOn w:val="para2"/>
    <w:next w:val="para0"/>
    <w:pPr>
      <w:outlineLvl w:val="2"/>
    </w:pPr>
    <w:rPr>
      <w:sz w:val="28"/>
      <w:szCs w:val="28"/>
    </w:rPr>
    <w:key w:val="1075"/>
  </w:style>
  <w:style w:type="paragraph" w:styleId="para4">
    <w:name w:val="Normal (Web)"/>
    <w:qFormat/>
    <w:basedOn w:val="para0"/>
    <w:pPr>
      <w:spacing w:before="100" w:after="100" w:beforeAutospacing="1" w:afterAutospacing="1"/>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pPr>
    <w:rPr>
      <w:rFonts w:ascii="Georgia" w:hAnsi="Georgia" w:eastAsia="SimSun" w:cs="Georgia"/>
      <w:color w:val="000000"/>
      <w:sz w:val="21"/>
      <w:szCs w:val="21"/>
    </w:rPr>
  </w:style>
  <w:style w:type="paragraph" w:styleId="para5">
    <w:name w:val="Footnote Text"/>
    <w:qFormat/>
    <w:basedOn w:val="para0"/>
    <w:pPr>
      <w:ind w:firstLine="0"/>
      <w:spacing/>
      <w:jc w:val="left"/>
    </w:pPr>
    <w:rPr>
      <w:sz w:val="20"/>
      <w:szCs w:val="20"/>
    </w:rPr>
  </w:style>
  <w:style w:type="paragraph" w:styleId="para6">
    <w:name w:val="Header"/>
    <w:qFormat/>
    <w:basedOn w:val="para0"/>
    <w:pPr>
      <w:tabs defTabSz="708">
        <w:tab w:val="center" w:pos="4819" w:leader="none"/>
        <w:tab w:val="right" w:pos="9639" w:leader="none"/>
      </w:tabs>
    </w:pPr>
  </w:style>
  <w:style w:type="paragraph" w:styleId="para7">
    <w:name w:val="caption"/>
    <w:qFormat/>
    <w:basedOn w:val="para0"/>
    <w:next w:val="para0"/>
    <w:rPr>
      <w:b/>
      <w:bCs/>
      <w:sz w:val="20"/>
      <w:szCs w:val="20"/>
    </w:rPr>
  </w:style>
  <w:style w:type="paragraph" w:styleId="para8" w:customStyle="1">
    <w:name w:val="sky-journal"/>
    <w:qFormat/>
    <w:basedOn w:val="para0"/>
    <w:pPr>
      <w:ind w:left="283" w:right="283" w:firstLine="0"/>
      <w:spacing w:before="240" w:after="240"/>
    </w:pPr>
  </w:style>
  <w:style w:type="paragraph" w:styleId="para9">
    <w:name w:val="heading 4"/>
    <w:qFormat/>
    <w:basedOn w:val="para3"/>
    <w:next w:val="para0"/>
    <w:pPr>
      <w:spacing w:after="60"/>
      <w:outlineLvl w:val="3"/>
    </w:pPr>
    <w:rPr>
      <w:sz w:val="24"/>
      <w:szCs w:val="24"/>
    </w:rPr>
    <w:key w:val="1076"/>
  </w:style>
  <w:style w:type="character" w:styleId="char0" w:default="1">
    <w:name w:val="Default Paragraph Font"/>
  </w:style>
  <w:style w:type="character" w:styleId="char1">
    <w:name w:val="Footnote Reference"/>
    <w:rPr>
      <w:vertAlign w:val="superscript"/>
    </w:rPr>
  </w:style>
  <w:style w:type="character" w:styleId="char2">
    <w:name w:val="Hyperlink"/>
    <w:rPr>
      <w:color w:val="0000ff"/>
      <w:u w:color="auto" w:val="single"/>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 w:type="table" w:styleId="TableGrid">
    <w:name w:val="Table Grid"/>
    <w:basedOn w:val="TableNormal"/>
    <w:uiPriority w:val="59"/>
    <w:pPr>
      <w:spacing w:after="0" w:line="240" w:lineRule="auto"/>
    </w:pPr>
    <w:tblPr>
      <w:tblStyleRowBandSize w:val="1"/>
      <w:tblStyleColBandSize w:val="1"/>
      <w:tblBorders>
        <w:top w:val="single" w:sz="4" w:space="0" w:color="000000" tmln="10, 0, 0, 0, 0"/>
        <w:left w:val="single" w:sz="4" w:space="0" w:color="000000" tmln="10, 0, 0, 0, 0"/>
        <w:bottom w:val="single" w:sz="4" w:space="0" w:color="000000" tmln="10, 0, 0, 0, 0"/>
        <w:right w:val="single" w:sz="4" w:space="0" w:color="000000" tmln="10, 0, 0, 0, 0"/>
        <w:insideH w:val="single" w:sz="4" w:space="0" w:color="000000" tmln="10, 0, 0, 0, 0"/>
        <w:insideV w:val="single" w:sz="4" w:space="0" w:color="000000" tmln="10, 0, 0, 0, 0"/>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docDefaults>
    <w:rPrDefault>
      <w:rPr>
        <w:rFonts w:ascii="Times New Roman" w:hAnsi="Times New Roman" w:eastAsia="SimSun" w:cs="Times New Roman"/>
        <w:kern w:val="1"/>
        <w:sz w:val="20"/>
        <w:szCs w:val="20"/>
        <w:lang w:val="en-gb" w:eastAsia="zh-cn" w:bidi="ar-sa"/>
      </w:rPr>
    </w:rPrDefault>
    <w:pPrDefault>
      <w:pPr>
        <w:ind w:firstLine="283"/>
        <w:spacing w:before="40" w:after="40"/>
        <w:jc w:val="both"/>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rFonts w:ascii="Calibri" w:hAnsi="Calibri" w:eastAsia="Calibri" w:cs="Calibri"/>
      <w:sz w:val="22"/>
      <w:szCs w:val="22"/>
      <w:lang w:eastAsia="en-gb" w:bidi="en-gb"/>
    </w:rPr>
    <w:key w:val="1072"/>
  </w:style>
  <w:style w:type="paragraph" w:styleId="para1">
    <w:name w:val="heading 1"/>
    <w:qFormat/>
    <w:basedOn w:val="para0"/>
    <w:next w:val="para0"/>
    <w:pPr>
      <w:ind w:firstLine="0"/>
      <w:spacing w:before="280" w:after="240" w:beforeAutospacing="1"/>
      <w:keepNext/>
      <w:outlineLvl w:val="0"/>
      <w:keepLines/>
    </w:pPr>
    <w:rPr>
      <w:rFonts w:ascii="Cambria" w:hAnsi="Cambria" w:eastAsia="Cambria" w:cs="Cambria"/>
      <w:b/>
      <w:bCs/>
      <w:sz w:val="36"/>
      <w:szCs w:val="36"/>
    </w:rPr>
    <w:key w:val="1073"/>
  </w:style>
  <w:style w:type="paragraph" w:styleId="para2">
    <w:name w:val="heading 2"/>
    <w:qFormat/>
    <w:basedOn w:val="para1"/>
    <w:next w:val="para0"/>
    <w:pPr>
      <w:outlineLvl w:val="1"/>
    </w:pPr>
    <w:rPr>
      <w:sz w:val="32"/>
      <w:szCs w:val="32"/>
    </w:rPr>
    <w:key w:val="1074"/>
  </w:style>
  <w:style w:type="paragraph" w:styleId="para3">
    <w:name w:val="heading 3"/>
    <w:qFormat/>
    <w:basedOn w:val="para2"/>
    <w:next w:val="para0"/>
    <w:pPr>
      <w:outlineLvl w:val="2"/>
    </w:pPr>
    <w:rPr>
      <w:sz w:val="28"/>
      <w:szCs w:val="28"/>
    </w:rPr>
    <w:key w:val="1075"/>
  </w:style>
  <w:style w:type="paragraph" w:styleId="para4">
    <w:name w:val="Normal (Web)"/>
    <w:qFormat/>
    <w:basedOn w:val="para0"/>
    <w:pPr>
      <w:spacing w:before="100" w:after="100" w:beforeAutospacing="1" w:afterAutospacing="1"/>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pPr>
    <w:rPr>
      <w:rFonts w:ascii="Georgia" w:hAnsi="Georgia" w:eastAsia="SimSun" w:cs="Georgia"/>
      <w:color w:val="000000"/>
      <w:sz w:val="21"/>
      <w:szCs w:val="21"/>
    </w:rPr>
  </w:style>
  <w:style w:type="paragraph" w:styleId="para5">
    <w:name w:val="Footnote Text"/>
    <w:qFormat/>
    <w:basedOn w:val="para0"/>
    <w:pPr>
      <w:ind w:firstLine="0"/>
      <w:spacing/>
      <w:jc w:val="left"/>
    </w:pPr>
    <w:rPr>
      <w:sz w:val="20"/>
      <w:szCs w:val="20"/>
    </w:rPr>
  </w:style>
  <w:style w:type="paragraph" w:styleId="para6">
    <w:name w:val="Header"/>
    <w:qFormat/>
    <w:basedOn w:val="para0"/>
    <w:pPr>
      <w:tabs defTabSz="708">
        <w:tab w:val="center" w:pos="4819" w:leader="none"/>
        <w:tab w:val="right" w:pos="9639" w:leader="none"/>
      </w:tabs>
    </w:pPr>
  </w:style>
  <w:style w:type="paragraph" w:styleId="para7">
    <w:name w:val="caption"/>
    <w:qFormat/>
    <w:basedOn w:val="para0"/>
    <w:next w:val="para0"/>
    <w:rPr>
      <w:b/>
      <w:bCs/>
      <w:sz w:val="20"/>
      <w:szCs w:val="20"/>
    </w:rPr>
  </w:style>
  <w:style w:type="paragraph" w:styleId="para8" w:customStyle="1">
    <w:name w:val="sky-journal"/>
    <w:qFormat/>
    <w:basedOn w:val="para0"/>
    <w:pPr>
      <w:ind w:left="283" w:right="283" w:firstLine="0"/>
      <w:spacing w:before="240" w:after="240"/>
    </w:pPr>
  </w:style>
  <w:style w:type="paragraph" w:styleId="para9">
    <w:name w:val="heading 4"/>
    <w:qFormat/>
    <w:basedOn w:val="para3"/>
    <w:next w:val="para0"/>
    <w:pPr>
      <w:spacing w:after="60"/>
      <w:outlineLvl w:val="3"/>
    </w:pPr>
    <w:rPr>
      <w:sz w:val="24"/>
      <w:szCs w:val="24"/>
    </w:rPr>
    <w:key w:val="1076"/>
  </w:style>
  <w:style w:type="character" w:styleId="char0" w:default="1">
    <w:name w:val="Default Paragraph Font"/>
  </w:style>
  <w:style w:type="character" w:styleId="char1">
    <w:name w:val="Footnote Reference"/>
    <w:rPr>
      <w:vertAlign w:val="superscript"/>
    </w:rPr>
  </w:style>
  <w:style w:type="character" w:styleId="char2">
    <w:name w:val="Hyperlink"/>
    <w:rPr>
      <w:color w:val="0000ff"/>
      <w:u w:color="auto" w:val="single"/>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 w:type="table" w:styleId="TableGrid">
    <w:name w:val="Table Grid"/>
    <w:basedOn w:val="TableNormal"/>
    <w:uiPriority w:val="59"/>
    <w:pPr>
      <w:spacing w:after="0" w:line="240" w:lineRule="auto"/>
    </w:pPr>
    <w:tblPr>
      <w:tblStyleRowBandSize w:val="1"/>
      <w:tblStyleColBandSize w:val="1"/>
      <w:tblBorders>
        <w:top w:val="single" w:sz="4" w:space="0" w:color="000000" tmln="10, 0, 0, 0, 0"/>
        <w:left w:val="single" w:sz="4" w:space="0" w:color="000000" tmln="10, 0, 0, 0, 0"/>
        <w:bottom w:val="single" w:sz="4" w:space="0" w:color="000000" tmln="10, 0, 0, 0, 0"/>
        <w:right w:val="single" w:sz="4" w:space="0" w:color="000000" tmln="10, 0, 0, 0, 0"/>
        <w:insideH w:val="single" w:sz="4" w:space="0" w:color="000000" tmln="10, 0, 0, 0, 0"/>
        <w:insideV w:val="single" w:sz="4" w:space="0" w:color="000000" tmln="10, 0, 0, 0, 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
<Relationships xmlns="http://schemas.openxmlformats.org/package/2006/relationships"><Relationship Id="rId1" Type="http://schemas.openxmlformats.org/officeDocument/2006/relationships/webSettings" Target="webSettings.xml"/><Relationship Id="rId2" Type="http://schemas.openxmlformats.org/officeDocument/2006/relationships/settings" Target="settings.xml"/><Relationship Id="rId3" Type="http://schemas.openxmlformats.org/officeDocument/2006/relationships/theme" Target="theme/theme1.xml"/><Relationship Id="rId4" Type="http://schemas.openxmlformats.org/officeDocument/2006/relationships/fontTable" Target="fontTable.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image" Target="media/image1.jpeg"/><Relationship Id="rId9" Type="http://schemas.openxmlformats.org/officeDocument/2006/relationships/footnotes" Target="footnotes.xm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Cambria"/>
        <a:cs typeface="Cambria"/>
      </a:majorFont>
      <a:minorFont>
        <a:latin typeface="Calibri"/>
        <a:ea typeface="Calibri"/>
        <a:cs typeface="Calibri"/>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a:solidFill>
            <a:srgbClr val="000000"/>
          </a:solidFill>
        </a:ln>
      </a:spPr>
      <a:bodyPr spcFirstLastPara="1" vertOverflow="clip" horzOverflow="clip" upright="1">
        <a:prstTxWarp prst="textNoShape">
          <a:avLst/>
        </a:prstTxWarp>
        <a:noAutofit/>
      </a:bodyPr>
      <a:lstStyle/>
      <a:style>
        <a:lnRef idx="0">
          <a:schemeClr val="accent1"/>
        </a:lnRef>
        <a:fillRef idx="0">
          <a:schemeClr val="accent1"/>
        </a:fillRef>
        <a:effectRef idx="0">
          <a:schemeClr val="accent1"/>
        </a:effectRef>
        <a:fontRef idx="minor">
          <a:schemeClr val="lt1"/>
        </a:fontRef>
      </a:style>
    </a:spDef>
  </a:objectDefaults>
  <a:extraClrSchemeLst/>
</a:theme>
</file>

<file path=docProps/app.xml><?xml version="1.0" encoding="utf-8"?>
<Properties xmlns="http://schemas.openxmlformats.org/officeDocument/2006/extended-properties" xmlns:vt="http://schemas.openxmlformats.org/officeDocument/2006/docPropsVTypes">
  <Application>TextMaker 2024 rev.1222</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Linda</cp:lastModifiedBy>
  <cp:revision>28</cp:revision>
  <cp:lastPrinted>2025-03-05T14:20:44Z</cp:lastPrinted>
  <dcterms:created xsi:type="dcterms:W3CDTF">2024-10-02T14:09:39Z</dcterms:created>
  <dcterms:modified xsi:type="dcterms:W3CDTF">2025-03-06T15:02:27Z</dcterms:modified>
</cp:coreProperties>
</file>