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B9D356" w14:textId="1D100754" w:rsidR="00256540" w:rsidRPr="0019444F" w:rsidRDefault="00F70AF9" w:rsidP="0019444F">
      <w:pPr>
        <w:jc w:val="center"/>
        <w:rPr>
          <w:sz w:val="24"/>
          <w:u w:val="single"/>
        </w:rPr>
      </w:pPr>
      <w:r w:rsidRPr="00F70AF9">
        <w:rPr>
          <w:sz w:val="24"/>
          <w:u w:val="single"/>
        </w:rPr>
        <w:t xml:space="preserve">To What Extent Could </w:t>
      </w:r>
      <w:r w:rsidR="00786A0D">
        <w:rPr>
          <w:sz w:val="24"/>
          <w:u w:val="single"/>
        </w:rPr>
        <w:t>t</w:t>
      </w:r>
      <w:r w:rsidRPr="00F70AF9">
        <w:rPr>
          <w:sz w:val="24"/>
          <w:u w:val="single"/>
        </w:rPr>
        <w:t>he Tang Dynasty Be Considered A Golden Age?</w:t>
      </w:r>
    </w:p>
    <w:p w14:paraId="381A0BD8" w14:textId="3AA94D09" w:rsidR="00F72C86" w:rsidRDefault="00D058ED" w:rsidP="00D058ED">
      <w:r>
        <w:t xml:space="preserve">The Tang Dynasty </w:t>
      </w:r>
      <w:r w:rsidR="006D4CEF">
        <w:t xml:space="preserve">was founded </w:t>
      </w:r>
      <w:r>
        <w:t>in 618CE</w:t>
      </w:r>
      <w:r>
        <w:rPr>
          <w:rStyle w:val="FootnoteReference"/>
        </w:rPr>
        <w:footnoteReference w:id="1"/>
      </w:r>
      <w:r w:rsidR="006D4CEF">
        <w:t xml:space="preserve"> </w:t>
      </w:r>
      <w:r>
        <w:t xml:space="preserve">by Li Yuan, a general who </w:t>
      </w:r>
      <w:r w:rsidR="006D4CEF">
        <w:t>oversaw</w:t>
      </w:r>
      <w:r>
        <w:t xml:space="preserve"> </w:t>
      </w:r>
      <w:r w:rsidR="006D4CEF">
        <w:t>the defence of</w:t>
      </w:r>
      <w:r>
        <w:t xml:space="preserve"> the Northwest border</w:t>
      </w:r>
      <w:r>
        <w:rPr>
          <w:rStyle w:val="FootnoteReference"/>
        </w:rPr>
        <w:footnoteReference w:id="2"/>
      </w:r>
      <w:r>
        <w:t xml:space="preserve">. </w:t>
      </w:r>
      <w:r w:rsidR="00F72C86">
        <w:t>After his rebellion against the Sui, he gained the throne and declared sovereignty over China</w:t>
      </w:r>
      <w:r w:rsidR="00F72C86">
        <w:rPr>
          <w:rStyle w:val="FootnoteReference"/>
        </w:rPr>
        <w:footnoteReference w:id="3"/>
      </w:r>
      <w:r w:rsidR="00F72C86">
        <w:t>.</w:t>
      </w:r>
      <w:r w:rsidR="003574FE">
        <w:t xml:space="preserve"> </w:t>
      </w:r>
      <w:r w:rsidR="006D4CEF">
        <w:t>His coming to power created a new empire that is often considered to be the most cosmopolitan empire in Chinese history</w:t>
      </w:r>
      <w:r w:rsidR="006D4CEF">
        <w:rPr>
          <w:rStyle w:val="FootnoteReference"/>
        </w:rPr>
        <w:footnoteReference w:id="4"/>
      </w:r>
      <w:r w:rsidR="006D4CEF">
        <w:t xml:space="preserve">. </w:t>
      </w:r>
      <w:r w:rsidR="003574FE">
        <w:t xml:space="preserve">This, in turn, caused the capital city, </w:t>
      </w:r>
      <w:proofErr w:type="spellStart"/>
      <w:r w:rsidR="003574FE">
        <w:t>Chang’an</w:t>
      </w:r>
      <w:proofErr w:type="spellEnd"/>
      <w:r w:rsidR="003574FE">
        <w:t>, to become the most cosmopolitan city in the world</w:t>
      </w:r>
      <w:r w:rsidR="003574FE">
        <w:rPr>
          <w:rStyle w:val="FootnoteReference"/>
        </w:rPr>
        <w:footnoteReference w:id="5"/>
      </w:r>
      <w:r w:rsidR="003574FE">
        <w:t xml:space="preserve"> with people from across Asia and Europe travelling there to live and trade.</w:t>
      </w:r>
    </w:p>
    <w:p w14:paraId="12890343" w14:textId="7BAAE905" w:rsidR="00124436" w:rsidRDefault="003574FE" w:rsidP="003574FE">
      <w:r>
        <w:t xml:space="preserve">Society in Tang China was different from other times in Chinese history. Although society was </w:t>
      </w:r>
      <w:r w:rsidR="002111DF">
        <w:t>still hierarchical</w:t>
      </w:r>
      <w:r w:rsidR="002111DF">
        <w:rPr>
          <w:rStyle w:val="FootnoteReference"/>
        </w:rPr>
        <w:footnoteReference w:id="6"/>
      </w:r>
      <w:r w:rsidR="002111DF">
        <w:t xml:space="preserve"> there was most acceptance of others from outside the aristocracy within wider society. It is likely that is was caused, in part, by the regulations of the state</w:t>
      </w:r>
      <w:r w:rsidR="002111DF">
        <w:rPr>
          <w:rStyle w:val="FootnoteReference"/>
        </w:rPr>
        <w:footnoteReference w:id="7"/>
      </w:r>
      <w:r w:rsidR="002111DF">
        <w:t xml:space="preserve">. The state regulated everything from education to </w:t>
      </w:r>
      <w:r w:rsidR="00286CDB">
        <w:t>enacting punishment. This meant that the state decided what people were able to do and dictated situations, such as how much tax a person was paying. As a result of this people</w:t>
      </w:r>
      <w:r w:rsidR="00124436">
        <w:t xml:space="preserve"> from different backgrounds were able to access opportunities in education and political office. Another reason for this is that China was no longer isolationist</w:t>
      </w:r>
      <w:r w:rsidR="00124436">
        <w:rPr>
          <w:rStyle w:val="FootnoteReference"/>
        </w:rPr>
        <w:footnoteReference w:id="8"/>
      </w:r>
      <w:r w:rsidR="00C45365">
        <w:t xml:space="preserve">. The change of dynasty had made China a more multicultural country, with people from across Europe and Asia living within its boundaries. </w:t>
      </w:r>
      <w:r w:rsidR="00C82BC3">
        <w:t>This introduction of new cultures into China meant its people were more open towards other people and foreign ideas.</w:t>
      </w:r>
    </w:p>
    <w:p w14:paraId="083F2867" w14:textId="79C51F27" w:rsidR="00C82BC3" w:rsidRDefault="00233CC1" w:rsidP="003574FE">
      <w:proofErr w:type="gramStart"/>
      <w:r>
        <w:t>The majority of</w:t>
      </w:r>
      <w:proofErr w:type="gramEnd"/>
      <w:r w:rsidR="00C82BC3">
        <w:t xml:space="preserve"> China’s population during the Tang dynasty was made up of peasants</w:t>
      </w:r>
      <w:r>
        <w:t xml:space="preserve"> at between 80 and 90%</w:t>
      </w:r>
      <w:r>
        <w:rPr>
          <w:rStyle w:val="FootnoteReference"/>
        </w:rPr>
        <w:footnoteReference w:id="9"/>
      </w:r>
      <w:r>
        <w:t xml:space="preserve">. This meant that of all groups within society, they had the most influence in terms of numbers. If the need got to great, it would have been possible for the peasant population of Tang China to disrupt and overthrow the ruling Emperor. Therefore, it was important for the Emperor to keep the peasant population satisfied, giving them no reason to dispose of him. The Tang Emperors achieved this by having a reasonable tax rate and giving them access to similar opportunities as others in society. This ensured that the peasantry had enough to survive and didn’t feel that they were ignored in any way. </w:t>
      </w:r>
    </w:p>
    <w:p w14:paraId="1A491E4C" w14:textId="337D2926" w:rsidR="00233CC1" w:rsidRDefault="00233CC1" w:rsidP="003574FE">
      <w:r>
        <w:t>Women during the Tang enjoyed an improvement of their day to day lives</w:t>
      </w:r>
      <w:r w:rsidR="008777C9">
        <w:t>. Tang society gave women a higher legal status than other dynasties</w:t>
      </w:r>
      <w:r w:rsidR="008777C9">
        <w:rPr>
          <w:rStyle w:val="FootnoteReference"/>
        </w:rPr>
        <w:footnoteReference w:id="10"/>
      </w:r>
      <w:r w:rsidR="008777C9">
        <w:t>. There were, however, still limitations</w:t>
      </w:r>
      <w:r w:rsidR="008777C9">
        <w:rPr>
          <w:rStyle w:val="FootnoteReference"/>
        </w:rPr>
        <w:footnoteReference w:id="11"/>
      </w:r>
      <w:r w:rsidR="008777C9">
        <w:t xml:space="preserve"> placed upon them and they were still considered second under men.</w:t>
      </w:r>
      <w:r w:rsidR="0019444F">
        <w:t xml:space="preserve"> The position of women improved again under Empress Wu, with women going out in more liberating clothing such as hats instead of veils</w:t>
      </w:r>
      <w:r w:rsidR="0019444F">
        <w:rPr>
          <w:rStyle w:val="FootnoteReference"/>
        </w:rPr>
        <w:footnoteReference w:id="12"/>
      </w:r>
      <w:r w:rsidR="0019444F">
        <w:t>.</w:t>
      </w:r>
    </w:p>
    <w:p w14:paraId="7F783DEE" w14:textId="1B971C0B" w:rsidR="00A26E25" w:rsidRDefault="002D0980" w:rsidP="00A26E25">
      <w:r>
        <w:t xml:space="preserve">Chinese culture during </w:t>
      </w:r>
      <w:r w:rsidR="00A26E25">
        <w:t>The Tang Dynasty was open to many new cultures from across Asia</w:t>
      </w:r>
      <w:r w:rsidR="00A26E25">
        <w:rPr>
          <w:rStyle w:val="FootnoteReference"/>
        </w:rPr>
        <w:footnoteReference w:id="13"/>
      </w:r>
      <w:r w:rsidR="00A26E25">
        <w:t xml:space="preserve">. It absorbed </w:t>
      </w:r>
      <w:r>
        <w:t>aspects</w:t>
      </w:r>
      <w:r w:rsidR="00A26E25">
        <w:t xml:space="preserve"> from these cultures in respect to music, art, fashion and religion</w:t>
      </w:r>
      <w:r w:rsidR="00A26E25">
        <w:rPr>
          <w:rStyle w:val="FootnoteReference"/>
        </w:rPr>
        <w:footnoteReference w:id="14"/>
      </w:r>
      <w:r w:rsidR="00A26E25">
        <w:t>.</w:t>
      </w:r>
      <w:r>
        <w:t xml:space="preserve"> These aspects of culture enhanced Chinese culture and developed the Tang Dynasty into a cosmopolitan state that </w:t>
      </w:r>
      <w:r>
        <w:lastRenderedPageBreak/>
        <w:t>wasn’t seen before in Chinese history.</w:t>
      </w:r>
      <w:r w:rsidR="006E0E06">
        <w:t xml:space="preserve"> At the same time</w:t>
      </w:r>
      <w:r>
        <w:t xml:space="preserve"> as this</w:t>
      </w:r>
      <w:r w:rsidR="006E0E06">
        <w:t>, Chin</w:t>
      </w:r>
      <w:r>
        <w:t xml:space="preserve">a’s own </w:t>
      </w:r>
      <w:r w:rsidR="006E0E06">
        <w:t xml:space="preserve">culture was influencing the cultures of the outside world, spreading what it </w:t>
      </w:r>
      <w:r>
        <w:t>meant</w:t>
      </w:r>
      <w:r w:rsidR="006E0E06">
        <w:t xml:space="preserve"> to be Chinese</w:t>
      </w:r>
      <w:r w:rsidR="006E0E06">
        <w:rPr>
          <w:rStyle w:val="FootnoteReference"/>
        </w:rPr>
        <w:footnoteReference w:id="15"/>
      </w:r>
      <w:r w:rsidR="006E0E06">
        <w:t xml:space="preserve">. </w:t>
      </w:r>
    </w:p>
    <w:p w14:paraId="304F4C43" w14:textId="0F444309" w:rsidR="00114658" w:rsidRDefault="00254436" w:rsidP="00A26E25">
      <w:r>
        <w:t xml:space="preserve">Traders from across Asia and Europe would have brought aspects of their home culture with them as they travelled. Therefore, these aspects would have been seen by the people they interacted with throughout their travelling and wherever they traded. Music, fashion and religion are the aspects most likely to be spread this way. </w:t>
      </w:r>
      <w:r w:rsidR="00066A3B">
        <w:t>It is likely that m</w:t>
      </w:r>
      <w:r>
        <w:t xml:space="preserve">usic would have been spread </w:t>
      </w:r>
      <w:r w:rsidR="00204EA9">
        <w:t xml:space="preserve">by traders and travellers </w:t>
      </w:r>
      <w:r w:rsidR="00066A3B">
        <w:t>bringing instruments with them as a form of entertainment for the journey they had to take. These instruments would have, most likely, been new in Chinese society and thus would people would have been curious about them. As a result, they would have gained popularity and likely been adopted into the culture. In a similar way, fashion would also be moved into Chinese culture with people being curious to try new styles out for themselves.</w:t>
      </w:r>
      <w:r w:rsidR="00114658">
        <w:t xml:space="preserve"> Religion would have been spread through word of mouth from person to person. This would have introduced new religions into China, such as Buddhism</w:t>
      </w:r>
      <w:r w:rsidR="00114658">
        <w:rPr>
          <w:rStyle w:val="FootnoteReference"/>
        </w:rPr>
        <w:footnoteReference w:id="16"/>
      </w:r>
      <w:r w:rsidR="00114658">
        <w:t>.</w:t>
      </w:r>
    </w:p>
    <w:p w14:paraId="48CC5E6D" w14:textId="754CC5F0" w:rsidR="007551E3" w:rsidRDefault="007551E3" w:rsidP="00A26E25">
      <w:r>
        <w:t>There was a new emphasis placed on education during the Tang Dynasty. Old examination systems from the Han were reimplemented and built upon</w:t>
      </w:r>
      <w:r w:rsidR="004C4C8C">
        <w:t xml:space="preserve"> giving a more rounded education and examination system. The primary base for exams was, as in the Han Dynasty, the Confucian Classics</w:t>
      </w:r>
      <w:r w:rsidR="004C4C8C">
        <w:rPr>
          <w:rStyle w:val="FootnoteReference"/>
        </w:rPr>
        <w:footnoteReference w:id="17"/>
      </w:r>
      <w:r w:rsidR="004C4C8C">
        <w:t xml:space="preserve">. There was, however, additions to this in the form of poetry, science and speech writing. This meant that any person who passed the examinations to become an official had a more rounded education and was capable of all aspects needed to be successful within government. During his reign in the early 700’s, Emperor </w:t>
      </w:r>
      <w:proofErr w:type="spellStart"/>
      <w:r w:rsidR="004C4C8C">
        <w:t>Xuanzong</w:t>
      </w:r>
      <w:proofErr w:type="spellEnd"/>
      <w:r w:rsidR="004C4C8C">
        <w:t xml:space="preserve"> created a new academy for poetry and music</w:t>
      </w:r>
      <w:r w:rsidR="004C4C8C">
        <w:rPr>
          <w:rStyle w:val="FootnoteReference"/>
        </w:rPr>
        <w:footnoteReference w:id="18"/>
      </w:r>
      <w:r w:rsidR="004C4C8C">
        <w:t>. This brought more importance to education as people would be able to learn these arts within a top governmental facility and would be able to gain the best education from this.</w:t>
      </w:r>
    </w:p>
    <w:p w14:paraId="06073CAC" w14:textId="30AD2B08" w:rsidR="002D0980" w:rsidRDefault="002D0980" w:rsidP="008C59DC">
      <w:r>
        <w:t xml:space="preserve">In the years leading up to the Tang Dynasty, </w:t>
      </w:r>
      <w:r w:rsidR="008C59DC">
        <w:t>Buddhism came to China</w:t>
      </w:r>
      <w:r w:rsidR="008C59DC">
        <w:rPr>
          <w:rStyle w:val="FootnoteReference"/>
        </w:rPr>
        <w:footnoteReference w:id="19"/>
      </w:r>
      <w:r w:rsidR="008C59DC">
        <w:t xml:space="preserve">. </w:t>
      </w:r>
      <w:r w:rsidR="001611F7">
        <w:t>The addition of Buddhism brought the number of religions in China up to three. Confucianism and Daoism were still more prominent religions in</w:t>
      </w:r>
      <w:r>
        <w:t xml:space="preserve"> relation to the state, but Buddhism was slowly becoming a more influential and popular religion within society. This new religion </w:t>
      </w:r>
      <w:r w:rsidR="00E4227A">
        <w:t>would have first co</w:t>
      </w:r>
      <w:r>
        <w:t xml:space="preserve">me into China through traders from across Asia </w:t>
      </w:r>
      <w:r w:rsidR="00E4227A">
        <w:t xml:space="preserve">travelling </w:t>
      </w:r>
      <w:r>
        <w:t>from places such as India.</w:t>
      </w:r>
      <w:r w:rsidR="00E4227A">
        <w:t xml:space="preserve"> However, its main introduction would have most likely come in the form of monks moving into China to spread scripture. </w:t>
      </w:r>
      <w:r w:rsidR="00CB0AA3">
        <w:t xml:space="preserve">This scripture would have been picked up by Chinese scholars to study. </w:t>
      </w:r>
    </w:p>
    <w:p w14:paraId="7E588F0B" w14:textId="6FACE94A" w:rsidR="00CB0AA3" w:rsidRDefault="00CB0AA3" w:rsidP="008C59DC">
      <w:r>
        <w:t xml:space="preserve">As a result of Buddhism </w:t>
      </w:r>
      <w:r w:rsidR="000F7E70">
        <w:t>coming into the country through people of non-Chinese origin, China became more open and tolerant towards foreign people</w:t>
      </w:r>
      <w:r w:rsidR="000F7E70">
        <w:rPr>
          <w:rStyle w:val="FootnoteReference"/>
        </w:rPr>
        <w:footnoteReference w:id="20"/>
      </w:r>
      <w:r w:rsidR="000F7E70">
        <w:t xml:space="preserve">. This was especially true during the Tang Dynasty. Buddhism spread a message that no matter a person’s age, class or gender they were all equal in Buddhism. This meant that people of non-Chinese origin should be considered as equal within society as they were in Buddhism. This notion made the people of China more open and accepting of new people and ideas. </w:t>
      </w:r>
    </w:p>
    <w:p w14:paraId="577E9D37" w14:textId="76FD3B86" w:rsidR="00D440E4" w:rsidRDefault="00D440E4" w:rsidP="008C59DC">
      <w:r>
        <w:t>Buddhism was the most popular religion within Tang China</w:t>
      </w:r>
      <w:r w:rsidR="00FC2A7D">
        <w:rPr>
          <w:rStyle w:val="FootnoteReference"/>
        </w:rPr>
        <w:footnoteReference w:id="21"/>
      </w:r>
      <w:r>
        <w:t xml:space="preserve">, particularly during the reign of Empress Wu, who used the religion to gain more control over the country and fight against those </w:t>
      </w:r>
      <w:r>
        <w:lastRenderedPageBreak/>
        <w:t>who said a woman couldn’t rule</w:t>
      </w:r>
      <w:r>
        <w:rPr>
          <w:rStyle w:val="FootnoteReference"/>
        </w:rPr>
        <w:footnoteReference w:id="22"/>
      </w:r>
      <w:r w:rsidR="00FC2A7D">
        <w:t>. Its popularity could be used to influence people both within society as well as within the government. Therefore, it could easily be used to hold power over the people of China by ensuring everyone does as they are told and act accordingly. This was, however, only relevant to society. Buddhism may have been the most popular religion within society, but it wasn’t considered the highest state religion. Daoism was still the religion that held that title</w:t>
      </w:r>
      <w:r w:rsidR="00FC2A7D">
        <w:rPr>
          <w:rStyle w:val="FootnoteReference"/>
        </w:rPr>
        <w:footnoteReference w:id="23"/>
      </w:r>
      <w:r w:rsidR="00FC2A7D">
        <w:t xml:space="preserve">. This means that although Buddhism was very popular and followed by a </w:t>
      </w:r>
      <w:r w:rsidR="002E0745">
        <w:t xml:space="preserve">majority </w:t>
      </w:r>
      <w:r w:rsidR="00FC2A7D">
        <w:t xml:space="preserve">of </w:t>
      </w:r>
      <w:r w:rsidR="002E0745">
        <w:t xml:space="preserve">the Chinese </w:t>
      </w:r>
      <w:r w:rsidR="00FC2A7D">
        <w:t xml:space="preserve">people, Daoism was still considered more prominent by the government and therefore was more significant within China. </w:t>
      </w:r>
      <w:r w:rsidR="002E0745">
        <w:t xml:space="preserve">The importance of the two religions can be viewed in the reign of </w:t>
      </w:r>
      <w:proofErr w:type="spellStart"/>
      <w:r w:rsidR="002E0745">
        <w:t>Xuanzong</w:t>
      </w:r>
      <w:proofErr w:type="spellEnd"/>
      <w:r w:rsidR="002E0745">
        <w:t>. He took a mixture of Daoist and Buddhist scholars into his court</w:t>
      </w:r>
      <w:r w:rsidR="002E0745">
        <w:rPr>
          <w:rStyle w:val="FootnoteReference"/>
        </w:rPr>
        <w:footnoteReference w:id="24"/>
      </w:r>
      <w:r w:rsidR="002E0745">
        <w:t xml:space="preserve">. This indicates that the Emperor found both Daoism and Buddhism an important part of Chinese life and considered them both to be part of what it meant to be Chinese. </w:t>
      </w:r>
    </w:p>
    <w:p w14:paraId="42264DF6" w14:textId="2A93F2E8" w:rsidR="002E0745" w:rsidRDefault="002619E6" w:rsidP="002E0745">
      <w:r>
        <w:t>The Tang Dynasty began with a period of strong economic growth</w:t>
      </w:r>
      <w:r>
        <w:rPr>
          <w:rStyle w:val="FootnoteReference"/>
        </w:rPr>
        <w:footnoteReference w:id="25"/>
      </w:r>
      <w:r>
        <w:t>. This first came about by the construction of a grand canal that linked the north and the south of China</w:t>
      </w:r>
      <w:r>
        <w:rPr>
          <w:rStyle w:val="FootnoteReference"/>
        </w:rPr>
        <w:footnoteReference w:id="26"/>
      </w:r>
      <w:r>
        <w:t xml:space="preserve">. This meant that Chinese Empire was connected physically in terms of transport and trade. Merchants and traders could travel across all of China more easily than they were able to do previously. </w:t>
      </w:r>
      <w:r w:rsidR="00A14B2A">
        <w:t>As well as this, China increased its trade links both within China and internationally</w:t>
      </w:r>
      <w:r w:rsidR="00A14B2A">
        <w:rPr>
          <w:rStyle w:val="FootnoteReference"/>
        </w:rPr>
        <w:footnoteReference w:id="27"/>
      </w:r>
      <w:r w:rsidR="00A14B2A">
        <w:t xml:space="preserve">. This increase in trade would </w:t>
      </w:r>
      <w:r w:rsidR="00282C5D">
        <w:t>improve China’s economy as it would support economic growth and provide money for China to become financially stable.</w:t>
      </w:r>
    </w:p>
    <w:p w14:paraId="08DA74CB" w14:textId="1D4DB939" w:rsidR="00282C5D" w:rsidRDefault="00786A0D" w:rsidP="002E0745">
      <w:r>
        <w:t>After these two basic parts of updating the economy, many areas of production improved the way they worked. The mining industry changed so it mined both copper and silver</w:t>
      </w:r>
      <w:r>
        <w:rPr>
          <w:rStyle w:val="FootnoteReference"/>
        </w:rPr>
        <w:footnoteReference w:id="28"/>
      </w:r>
      <w:r>
        <w:t>. This would have meant that there were more material available for use in the production of coinage and weapons. The silk industry also increased the production of its material</w:t>
      </w:r>
      <w:r w:rsidR="00C77EB2">
        <w:rPr>
          <w:rStyle w:val="FootnoteReference"/>
        </w:rPr>
        <w:footnoteReference w:id="29"/>
      </w:r>
      <w:r>
        <w:t xml:space="preserve">. This would have been sold at international markets across Asia and Europe. </w:t>
      </w:r>
      <w:r w:rsidR="00C77EB2">
        <w:t>The major area of production was porcelain production</w:t>
      </w:r>
      <w:r w:rsidR="00C77EB2">
        <w:rPr>
          <w:rStyle w:val="FootnoteReference"/>
        </w:rPr>
        <w:footnoteReference w:id="30"/>
      </w:r>
      <w:r w:rsidR="00C77EB2">
        <w:t>. New forms of porcelain were produced in the Tang Dynasty. The major difference between Tang Dynasty porcelain and porcelain from the previous dynasties was that the Tang discovered a way to use three colours as decoration</w:t>
      </w:r>
      <w:r w:rsidR="00C77EB2">
        <w:rPr>
          <w:rStyle w:val="FootnoteReference"/>
        </w:rPr>
        <w:footnoteReference w:id="31"/>
      </w:r>
      <w:r w:rsidR="00C77EB2">
        <w:t>.</w:t>
      </w:r>
      <w:r w:rsidR="00380884">
        <w:t xml:space="preserve"> This was an important step in the production of porcelain as it allowed the Chinese to develop more complex designs that they would have been able to sell both within the country and internationally.</w:t>
      </w:r>
    </w:p>
    <w:p w14:paraId="1AE05529" w14:textId="77777777" w:rsidR="0067097F" w:rsidRDefault="00380884" w:rsidP="002E0745">
      <w:r>
        <w:t>Another major change made in the Tang Dynasty was the return to the equal field system that was first developed in the Six Dynasties</w:t>
      </w:r>
      <w:r>
        <w:rPr>
          <w:rStyle w:val="FootnoteReference"/>
        </w:rPr>
        <w:footnoteReference w:id="32"/>
      </w:r>
      <w:r>
        <w:t>. They improved the system and applied more effectively to the land. The government owned all the land available in China and would lease it out to family, who would pay tax on the land. This way the government got a regular tax payment for the land, making them able to collect a significant amount of money</w:t>
      </w:r>
      <w:r w:rsidR="0067097F">
        <w:t xml:space="preserve"> for the country’s treasury. At the same time, the people of China were able to own land for a reasonable price which most people were able to afford. </w:t>
      </w:r>
    </w:p>
    <w:p w14:paraId="49C79008" w14:textId="57AD8346" w:rsidR="00380884" w:rsidRDefault="0067097F" w:rsidP="002E0745">
      <w:r>
        <w:lastRenderedPageBreak/>
        <w:t>The tax on land was paid in silk or hemp seeds</w:t>
      </w:r>
      <w:r>
        <w:rPr>
          <w:rStyle w:val="FootnoteReference"/>
        </w:rPr>
        <w:footnoteReference w:id="33"/>
      </w:r>
      <w:r>
        <w:t xml:space="preserve"> with rates changed depending on the financial circumstances of the person. The richer a person was, the more land they could afford to pay tax on. Therefore, the richest people in society paid the most in tax. If the person who was paying tax the land required that land to grow crops there were regulation protecting them in times of crisis. If harvest was disrupted by a bad harvest or natural disaster</w:t>
      </w:r>
      <w:r w:rsidR="00CB5C17">
        <w:t>,</w:t>
      </w:r>
      <w:r>
        <w:t xml:space="preserve"> then tax was reduced or suspended depending on what was more suitable for the time</w:t>
      </w:r>
      <w:r>
        <w:rPr>
          <w:rStyle w:val="FootnoteReference"/>
        </w:rPr>
        <w:footnoteReference w:id="34"/>
      </w:r>
      <w:r w:rsidR="00CB5C17">
        <w:t xml:space="preserve">. </w:t>
      </w:r>
      <w:proofErr w:type="gramStart"/>
      <w:r w:rsidR="00CB5C17">
        <w:t>The majority of</w:t>
      </w:r>
      <w:proofErr w:type="gramEnd"/>
      <w:r w:rsidR="00CB5C17">
        <w:t xml:space="preserve"> tax was taken from merchants</w:t>
      </w:r>
      <w:r w:rsidR="00CB5C17">
        <w:rPr>
          <w:rStyle w:val="FootnoteReference"/>
        </w:rPr>
        <w:footnoteReference w:id="35"/>
      </w:r>
      <w:r w:rsidR="00CB5C17">
        <w:t xml:space="preserve"> who would pay tax on the wares that they sold. Farmers would have to pay a tax of two to three percent of their annual harvest for each adult male in the household and twenty feet of silk or twenty-five feet of linen</w:t>
      </w:r>
      <w:r w:rsidR="00CB5C17">
        <w:rPr>
          <w:rStyle w:val="FootnoteReference"/>
        </w:rPr>
        <w:footnoteReference w:id="36"/>
      </w:r>
      <w:r w:rsidR="00CB5C17">
        <w:t>.</w:t>
      </w:r>
    </w:p>
    <w:p w14:paraId="19B3449E" w14:textId="3B86E1F4" w:rsidR="00CB5C17" w:rsidRDefault="00CB5C17" w:rsidP="00CB5C17">
      <w:r>
        <w:t xml:space="preserve">It is fair to say that the Tang Dynasty does seem like a golden age when looking at these aspects of it. However, these examples all come from between 618 and 756CE. This is a very short period of Tang history in which a lot of beneficial incidents happen to China. Unfortunately, this golden age didn’t last for the whole of the Tang Dynasty. </w:t>
      </w:r>
      <w:proofErr w:type="gramStart"/>
      <w:r>
        <w:t>It can be seen that the</w:t>
      </w:r>
      <w:proofErr w:type="gramEnd"/>
      <w:r>
        <w:t xml:space="preserve"> end of the Tang golden age was around 763</w:t>
      </w:r>
      <w:r w:rsidR="005B0381">
        <w:rPr>
          <w:rStyle w:val="FootnoteReference"/>
        </w:rPr>
        <w:footnoteReference w:id="37"/>
      </w:r>
      <w:r>
        <w:t xml:space="preserve">, when </w:t>
      </w:r>
      <w:r w:rsidR="005B0381">
        <w:t xml:space="preserve">Emperor </w:t>
      </w:r>
      <w:proofErr w:type="spellStart"/>
      <w:r w:rsidR="005B0381">
        <w:t>Daizong</w:t>
      </w:r>
      <w:proofErr w:type="spellEnd"/>
      <w:r w:rsidR="005B0381">
        <w:t xml:space="preserve"> reigned</w:t>
      </w:r>
      <w:r w:rsidR="005B0381">
        <w:rPr>
          <w:rStyle w:val="FootnoteReference"/>
        </w:rPr>
        <w:footnoteReference w:id="38"/>
      </w:r>
      <w:r w:rsidR="005B0381">
        <w:t>. After this time the Tang Dynasty returned to the same state it was before with a major division between the north and the south of the country</w:t>
      </w:r>
      <w:r w:rsidR="005B0381">
        <w:rPr>
          <w:rStyle w:val="FootnoteReference"/>
        </w:rPr>
        <w:footnoteReference w:id="39"/>
      </w:r>
      <w:r w:rsidR="005B0381">
        <w:t>. Many of the cosmopolitan developments that were made within the early Tang Dynasty were reversed and China once again became hostile towards others as it excluded the outside world from its borders</w:t>
      </w:r>
      <w:r w:rsidR="005B0381">
        <w:rPr>
          <w:rStyle w:val="FootnoteReference"/>
        </w:rPr>
        <w:footnoteReference w:id="40"/>
      </w:r>
      <w:r w:rsidR="005B0381">
        <w:t xml:space="preserve">. It can, therefore, be said that although the Tang Dynasty did start off as a cosmopolitan, open, golden age it did not end that way. It went back to China’s old ways and reversed any benefits that had come from its starting years, </w:t>
      </w:r>
      <w:proofErr w:type="gramStart"/>
      <w:r w:rsidR="005B0381">
        <w:t>in essence destroying</w:t>
      </w:r>
      <w:proofErr w:type="gramEnd"/>
      <w:r w:rsidR="005B0381">
        <w:t xml:space="preserve"> all that its golden age had given to it. In the end, Tang China was no different from the other Chinese Dynasties. It fell and lost all it had once owned, leaving China a split state, as it had been.</w:t>
      </w:r>
    </w:p>
    <w:p w14:paraId="41ABCA4A" w14:textId="4E88E70F" w:rsidR="00F94F4F" w:rsidRDefault="00F94F4F" w:rsidP="00F94F4F"/>
    <w:p w14:paraId="7D90F525" w14:textId="18D66073" w:rsidR="00F94F4F" w:rsidRDefault="00F94F4F" w:rsidP="00F94F4F">
      <w:pPr>
        <w:rPr>
          <w:u w:val="single"/>
        </w:rPr>
      </w:pPr>
      <w:r w:rsidRPr="00F94F4F">
        <w:rPr>
          <w:u w:val="single"/>
        </w:rPr>
        <w:t>Bibliography</w:t>
      </w:r>
    </w:p>
    <w:p w14:paraId="2159A7F6" w14:textId="157ACE08" w:rsidR="008E7C55" w:rsidRDefault="008E7C55" w:rsidP="00F94F4F">
      <w:r>
        <w:t xml:space="preserve">Benn, C. (2002) </w:t>
      </w:r>
      <w:r>
        <w:rPr>
          <w:i/>
        </w:rPr>
        <w:t>China’s Golden Age: Everyday Life in The Tang Dynasty</w:t>
      </w:r>
      <w:r>
        <w:t xml:space="preserve"> Oxford: Oxford University Press</w:t>
      </w:r>
    </w:p>
    <w:p w14:paraId="233EC5FA" w14:textId="620337EF" w:rsidR="00C260D6" w:rsidRDefault="00C260D6" w:rsidP="00F94F4F">
      <w:r>
        <w:t xml:space="preserve">Clements, J. (2007) </w:t>
      </w:r>
      <w:r>
        <w:rPr>
          <w:i/>
        </w:rPr>
        <w:t>Wu: The Chinese Empress Who Schemed, Seduced and Murdered Her Way to Becoming A Living God</w:t>
      </w:r>
      <w:r>
        <w:t xml:space="preserve"> Stroud: Sutton Press Ltd</w:t>
      </w:r>
    </w:p>
    <w:p w14:paraId="174D2197" w14:textId="11F6D42F" w:rsidR="00C260D6" w:rsidRDefault="00C260D6" w:rsidP="00C260D6">
      <w:r>
        <w:t>Encyclopaedia Britannica (24/09/2018) Accessed: 13/11/2018</w:t>
      </w:r>
      <w:r>
        <w:br/>
      </w:r>
      <w:hyperlink r:id="rId8" w:anchor="ref283847" w:history="1">
        <w:r w:rsidRPr="00894789">
          <w:rPr>
            <w:rStyle w:val="Hyperlink"/>
          </w:rPr>
          <w:t>https://www.britannica.com/topic/Tang-dynasty#ref283847</w:t>
        </w:r>
      </w:hyperlink>
    </w:p>
    <w:p w14:paraId="4536BD61" w14:textId="3115D25A" w:rsidR="00C260D6" w:rsidRDefault="00C260D6" w:rsidP="00C260D6">
      <w:r>
        <w:t xml:space="preserve">Kerr, G. (2013) </w:t>
      </w:r>
      <w:r>
        <w:rPr>
          <w:i/>
        </w:rPr>
        <w:t>A Short History of China: From Ancient Dynasties to Economic Powerhouse</w:t>
      </w:r>
      <w:r>
        <w:t xml:space="preserve"> Harpenden: Oldcastle Books Ltd</w:t>
      </w:r>
    </w:p>
    <w:p w14:paraId="2D3394FF" w14:textId="7DEFEEB7" w:rsidR="00C260D6" w:rsidRDefault="00C260D6" w:rsidP="00C260D6">
      <w:r>
        <w:t xml:space="preserve">Lewis, M. E. (2009) </w:t>
      </w:r>
      <w:r>
        <w:rPr>
          <w:i/>
        </w:rPr>
        <w:t xml:space="preserve">China’s Cosmopolitan Empire: The Tang Dynasty </w:t>
      </w:r>
      <w:r>
        <w:t>Massachusetts: Harvard University Press</w:t>
      </w:r>
      <w:bookmarkStart w:id="0" w:name="_GoBack"/>
      <w:bookmarkEnd w:id="0"/>
    </w:p>
    <w:p w14:paraId="78A5F03E" w14:textId="0BC89991" w:rsidR="00C260D6" w:rsidRDefault="00C260D6" w:rsidP="00C260D6">
      <w:r>
        <w:lastRenderedPageBreak/>
        <w:t xml:space="preserve">Michael, F. (1986) </w:t>
      </w:r>
      <w:r>
        <w:rPr>
          <w:i/>
        </w:rPr>
        <w:t>China Through the Ages: History of a Civilization</w:t>
      </w:r>
      <w:r>
        <w:t xml:space="preserve"> Colorado: Westview Press</w:t>
      </w:r>
    </w:p>
    <w:p w14:paraId="1D895289" w14:textId="11557840" w:rsidR="008E7C55" w:rsidRDefault="00112465" w:rsidP="00F94F4F">
      <w:r>
        <w:t xml:space="preserve">Rothschild, N. H. (2008) </w:t>
      </w:r>
      <w:r>
        <w:rPr>
          <w:i/>
        </w:rPr>
        <w:t>Wu Zhao: China’s Only Woman Emperor</w:t>
      </w:r>
      <w:r>
        <w:t xml:space="preserve"> London: Pearson Education Inc</w:t>
      </w:r>
    </w:p>
    <w:p w14:paraId="16F2F34A" w14:textId="297B4CC0" w:rsidR="00C260D6" w:rsidRDefault="00C260D6" w:rsidP="00F94F4F">
      <w:proofErr w:type="spellStart"/>
      <w:r>
        <w:t>Wiethoff</w:t>
      </w:r>
      <w:proofErr w:type="spellEnd"/>
      <w:r>
        <w:t xml:space="preserve">, B. (1975) </w:t>
      </w:r>
      <w:r>
        <w:rPr>
          <w:i/>
        </w:rPr>
        <w:t>Introduction to Chinese History: From Ancient Times to 1912</w:t>
      </w:r>
      <w:r>
        <w:t xml:space="preserve"> Colorado: Westview Press</w:t>
      </w:r>
    </w:p>
    <w:p w14:paraId="1A6AFDC4" w14:textId="77777777" w:rsidR="00C77EB2" w:rsidRPr="00D440E4" w:rsidRDefault="00C77EB2" w:rsidP="00F94F4F"/>
    <w:sectPr w:rsidR="00C77EB2" w:rsidRPr="00D440E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B52768" w14:textId="77777777" w:rsidR="00F374AC" w:rsidRDefault="00F374AC" w:rsidP="00167B4D">
      <w:pPr>
        <w:spacing w:after="0" w:line="240" w:lineRule="auto"/>
      </w:pPr>
      <w:r>
        <w:separator/>
      </w:r>
    </w:p>
  </w:endnote>
  <w:endnote w:type="continuationSeparator" w:id="0">
    <w:p w14:paraId="1BC9EA34" w14:textId="77777777" w:rsidR="00F374AC" w:rsidRDefault="00F374AC" w:rsidP="00167B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D34CFE" w14:textId="77777777" w:rsidR="00F374AC" w:rsidRDefault="00F374AC" w:rsidP="00167B4D">
      <w:pPr>
        <w:spacing w:after="0" w:line="240" w:lineRule="auto"/>
      </w:pPr>
      <w:r>
        <w:separator/>
      </w:r>
    </w:p>
  </w:footnote>
  <w:footnote w:type="continuationSeparator" w:id="0">
    <w:p w14:paraId="48D36947" w14:textId="77777777" w:rsidR="00F374AC" w:rsidRDefault="00F374AC" w:rsidP="00167B4D">
      <w:pPr>
        <w:spacing w:after="0" w:line="240" w:lineRule="auto"/>
      </w:pPr>
      <w:r>
        <w:continuationSeparator/>
      </w:r>
    </w:p>
  </w:footnote>
  <w:footnote w:id="1">
    <w:p w14:paraId="5E143024" w14:textId="6D693A18" w:rsidR="00D058ED" w:rsidRDefault="00D058ED">
      <w:pPr>
        <w:pStyle w:val="FootnoteText"/>
      </w:pPr>
      <w:r>
        <w:rPr>
          <w:rStyle w:val="FootnoteReference"/>
        </w:rPr>
        <w:footnoteRef/>
      </w:r>
      <w:r>
        <w:t xml:space="preserve"> Kerr (2013) p.52</w:t>
      </w:r>
    </w:p>
  </w:footnote>
  <w:footnote w:id="2">
    <w:p w14:paraId="7CCE6CDA" w14:textId="499731A1" w:rsidR="00D058ED" w:rsidRDefault="00D058ED">
      <w:pPr>
        <w:pStyle w:val="FootnoteText"/>
      </w:pPr>
      <w:r>
        <w:rPr>
          <w:rStyle w:val="FootnoteReference"/>
        </w:rPr>
        <w:footnoteRef/>
      </w:r>
      <w:r>
        <w:t xml:space="preserve"> Michael (1986) p.105</w:t>
      </w:r>
    </w:p>
  </w:footnote>
  <w:footnote w:id="3">
    <w:p w14:paraId="12EC6432" w14:textId="6CCF7560" w:rsidR="00F72C86" w:rsidRDefault="00F72C86">
      <w:pPr>
        <w:pStyle w:val="FootnoteText"/>
      </w:pPr>
      <w:r>
        <w:rPr>
          <w:rStyle w:val="FootnoteReference"/>
        </w:rPr>
        <w:footnoteRef/>
      </w:r>
      <w:r>
        <w:t xml:space="preserve"> Benn (2002) p.1</w:t>
      </w:r>
    </w:p>
  </w:footnote>
  <w:footnote w:id="4">
    <w:p w14:paraId="2869F2A8" w14:textId="08302F1F" w:rsidR="006D4CEF" w:rsidRDefault="006D4CEF">
      <w:pPr>
        <w:pStyle w:val="FootnoteText"/>
      </w:pPr>
      <w:r>
        <w:rPr>
          <w:rStyle w:val="FootnoteReference"/>
        </w:rPr>
        <w:footnoteRef/>
      </w:r>
      <w:r>
        <w:t xml:space="preserve"> Benn (2002) p. 40</w:t>
      </w:r>
    </w:p>
  </w:footnote>
  <w:footnote w:id="5">
    <w:p w14:paraId="17389634" w14:textId="17F60B7D" w:rsidR="003574FE" w:rsidRDefault="003574FE">
      <w:pPr>
        <w:pStyle w:val="FootnoteText"/>
      </w:pPr>
      <w:r>
        <w:rPr>
          <w:rStyle w:val="FootnoteReference"/>
        </w:rPr>
        <w:footnoteRef/>
      </w:r>
      <w:r>
        <w:t xml:space="preserve"> Kerr (2013) p.52</w:t>
      </w:r>
    </w:p>
  </w:footnote>
  <w:footnote w:id="6">
    <w:p w14:paraId="10FF18F4" w14:textId="6DA3C7F4" w:rsidR="002111DF" w:rsidRDefault="002111DF">
      <w:pPr>
        <w:pStyle w:val="FootnoteText"/>
      </w:pPr>
      <w:r>
        <w:rPr>
          <w:rStyle w:val="FootnoteReference"/>
        </w:rPr>
        <w:footnoteRef/>
      </w:r>
      <w:r>
        <w:t xml:space="preserve"> Benn (2002) p. 19</w:t>
      </w:r>
    </w:p>
  </w:footnote>
  <w:footnote w:id="7">
    <w:p w14:paraId="51080EAA" w14:textId="7661E727" w:rsidR="002111DF" w:rsidRDefault="002111DF">
      <w:pPr>
        <w:pStyle w:val="FootnoteText"/>
      </w:pPr>
      <w:r>
        <w:rPr>
          <w:rStyle w:val="FootnoteReference"/>
        </w:rPr>
        <w:footnoteRef/>
      </w:r>
      <w:r>
        <w:t xml:space="preserve"> Benn (2002) p.19</w:t>
      </w:r>
    </w:p>
  </w:footnote>
  <w:footnote w:id="8">
    <w:p w14:paraId="75842B00" w14:textId="1EAF7E70" w:rsidR="00124436" w:rsidRDefault="00124436">
      <w:pPr>
        <w:pStyle w:val="FootnoteText"/>
      </w:pPr>
      <w:r>
        <w:rPr>
          <w:rStyle w:val="FootnoteReference"/>
        </w:rPr>
        <w:footnoteRef/>
      </w:r>
      <w:r>
        <w:t xml:space="preserve"> </w:t>
      </w:r>
      <w:proofErr w:type="spellStart"/>
      <w:r w:rsidR="00C45365">
        <w:t>Wiethoff</w:t>
      </w:r>
      <w:proofErr w:type="spellEnd"/>
      <w:r w:rsidR="00C45365">
        <w:t xml:space="preserve"> (1975) p. 143</w:t>
      </w:r>
    </w:p>
  </w:footnote>
  <w:footnote w:id="9">
    <w:p w14:paraId="2B0672B9" w14:textId="727BD16B" w:rsidR="00233CC1" w:rsidRDefault="00233CC1">
      <w:pPr>
        <w:pStyle w:val="FootnoteText"/>
      </w:pPr>
      <w:r>
        <w:rPr>
          <w:rStyle w:val="FootnoteReference"/>
        </w:rPr>
        <w:footnoteRef/>
      </w:r>
      <w:r>
        <w:t xml:space="preserve"> Benn (2002) p. 32</w:t>
      </w:r>
    </w:p>
  </w:footnote>
  <w:footnote w:id="10">
    <w:p w14:paraId="2671D02A" w14:textId="08839461" w:rsidR="008777C9" w:rsidRDefault="008777C9">
      <w:pPr>
        <w:pStyle w:val="FootnoteText"/>
      </w:pPr>
      <w:r>
        <w:rPr>
          <w:rStyle w:val="FootnoteReference"/>
        </w:rPr>
        <w:footnoteRef/>
      </w:r>
      <w:r>
        <w:t xml:space="preserve"> Rothschild (2008) p. 12</w:t>
      </w:r>
    </w:p>
  </w:footnote>
  <w:footnote w:id="11">
    <w:p w14:paraId="207B8513" w14:textId="53AA90FC" w:rsidR="008777C9" w:rsidRDefault="008777C9">
      <w:pPr>
        <w:pStyle w:val="FootnoteText"/>
      </w:pPr>
      <w:r>
        <w:rPr>
          <w:rStyle w:val="FootnoteReference"/>
        </w:rPr>
        <w:footnoteRef/>
      </w:r>
      <w:r>
        <w:t xml:space="preserve"> Rothschild (2008) p. 12</w:t>
      </w:r>
    </w:p>
  </w:footnote>
  <w:footnote w:id="12">
    <w:p w14:paraId="628B68E8" w14:textId="481D9F82" w:rsidR="0019444F" w:rsidRDefault="0019444F">
      <w:pPr>
        <w:pStyle w:val="FootnoteText"/>
      </w:pPr>
      <w:r>
        <w:rPr>
          <w:rStyle w:val="FootnoteReference"/>
        </w:rPr>
        <w:footnoteRef/>
      </w:r>
      <w:r>
        <w:t xml:space="preserve"> Rothschild (2008) p. 13</w:t>
      </w:r>
    </w:p>
  </w:footnote>
  <w:footnote w:id="13">
    <w:p w14:paraId="54D95531" w14:textId="27CB9AD0" w:rsidR="00A26E25" w:rsidRDefault="00A26E25">
      <w:pPr>
        <w:pStyle w:val="FootnoteText"/>
      </w:pPr>
      <w:r>
        <w:rPr>
          <w:rStyle w:val="FootnoteReference"/>
        </w:rPr>
        <w:footnoteRef/>
      </w:r>
      <w:r>
        <w:t xml:space="preserve"> Kerr (2013) p. 52</w:t>
      </w:r>
    </w:p>
  </w:footnote>
  <w:footnote w:id="14">
    <w:p w14:paraId="679FABCC" w14:textId="5A070443" w:rsidR="00A26E25" w:rsidRDefault="00A26E25">
      <w:pPr>
        <w:pStyle w:val="FootnoteText"/>
      </w:pPr>
      <w:r>
        <w:rPr>
          <w:rStyle w:val="FootnoteReference"/>
        </w:rPr>
        <w:footnoteRef/>
      </w:r>
      <w:r>
        <w:t xml:space="preserve"> Kerr (2013) p. 52</w:t>
      </w:r>
    </w:p>
  </w:footnote>
  <w:footnote w:id="15">
    <w:p w14:paraId="57435257" w14:textId="30CF2555" w:rsidR="006E0E06" w:rsidRDefault="006E0E06">
      <w:pPr>
        <w:pStyle w:val="FootnoteText"/>
      </w:pPr>
      <w:r>
        <w:rPr>
          <w:rStyle w:val="FootnoteReference"/>
        </w:rPr>
        <w:footnoteRef/>
      </w:r>
      <w:r>
        <w:t xml:space="preserve"> </w:t>
      </w:r>
      <w:proofErr w:type="spellStart"/>
      <w:r>
        <w:t>Wiethoff</w:t>
      </w:r>
      <w:proofErr w:type="spellEnd"/>
      <w:r>
        <w:t xml:space="preserve"> (1975) p. 135</w:t>
      </w:r>
    </w:p>
  </w:footnote>
  <w:footnote w:id="16">
    <w:p w14:paraId="466AA240" w14:textId="052F93F0" w:rsidR="00114658" w:rsidRDefault="00114658">
      <w:pPr>
        <w:pStyle w:val="FootnoteText"/>
      </w:pPr>
      <w:r>
        <w:rPr>
          <w:rStyle w:val="FootnoteReference"/>
        </w:rPr>
        <w:footnoteRef/>
      </w:r>
      <w:r>
        <w:t xml:space="preserve"> Kerr (2013) p. 52</w:t>
      </w:r>
    </w:p>
  </w:footnote>
  <w:footnote w:id="17">
    <w:p w14:paraId="5C153913" w14:textId="162214CF" w:rsidR="004C4C8C" w:rsidRDefault="004C4C8C">
      <w:pPr>
        <w:pStyle w:val="FootnoteText"/>
      </w:pPr>
      <w:r>
        <w:rPr>
          <w:rStyle w:val="FootnoteReference"/>
        </w:rPr>
        <w:footnoteRef/>
      </w:r>
      <w:r>
        <w:t xml:space="preserve"> Kerr (2013) p. 53</w:t>
      </w:r>
    </w:p>
  </w:footnote>
  <w:footnote w:id="18">
    <w:p w14:paraId="3A28FDCD" w14:textId="2BFABDD1" w:rsidR="004C4C8C" w:rsidRDefault="004C4C8C">
      <w:pPr>
        <w:pStyle w:val="FootnoteText"/>
      </w:pPr>
      <w:r>
        <w:rPr>
          <w:rStyle w:val="FootnoteReference"/>
        </w:rPr>
        <w:footnoteRef/>
      </w:r>
      <w:r>
        <w:t xml:space="preserve"> Kerr (2013) p. 55</w:t>
      </w:r>
    </w:p>
  </w:footnote>
  <w:footnote w:id="19">
    <w:p w14:paraId="1BA4DC3D" w14:textId="08727F52" w:rsidR="008C59DC" w:rsidRDefault="008C59DC">
      <w:pPr>
        <w:pStyle w:val="FootnoteText"/>
      </w:pPr>
      <w:r>
        <w:rPr>
          <w:rStyle w:val="FootnoteReference"/>
        </w:rPr>
        <w:footnoteRef/>
      </w:r>
      <w:r>
        <w:t xml:space="preserve"> Kerr (2013) p. 52</w:t>
      </w:r>
    </w:p>
  </w:footnote>
  <w:footnote w:id="20">
    <w:p w14:paraId="7F326CF9" w14:textId="00E3FB99" w:rsidR="000F7E70" w:rsidRDefault="000F7E70">
      <w:pPr>
        <w:pStyle w:val="FootnoteText"/>
      </w:pPr>
      <w:r>
        <w:rPr>
          <w:rStyle w:val="FootnoteReference"/>
        </w:rPr>
        <w:footnoteRef/>
      </w:r>
      <w:r>
        <w:t xml:space="preserve"> Benn (2002) p. 40</w:t>
      </w:r>
    </w:p>
  </w:footnote>
  <w:footnote w:id="21">
    <w:p w14:paraId="235D5BC0" w14:textId="76BF93A7" w:rsidR="00FC2A7D" w:rsidRDefault="00FC2A7D">
      <w:pPr>
        <w:pStyle w:val="FootnoteText"/>
      </w:pPr>
      <w:r>
        <w:rPr>
          <w:rStyle w:val="FootnoteReference"/>
        </w:rPr>
        <w:footnoteRef/>
      </w:r>
      <w:r>
        <w:t xml:space="preserve"> Lewis (2009) p. 214</w:t>
      </w:r>
    </w:p>
  </w:footnote>
  <w:footnote w:id="22">
    <w:p w14:paraId="0019CF69" w14:textId="77F7CBA7" w:rsidR="00D440E4" w:rsidRDefault="00D440E4">
      <w:pPr>
        <w:pStyle w:val="FootnoteText"/>
      </w:pPr>
      <w:r>
        <w:rPr>
          <w:rStyle w:val="FootnoteReference"/>
        </w:rPr>
        <w:footnoteRef/>
      </w:r>
      <w:r>
        <w:t xml:space="preserve"> Clements (2007) p. 8</w:t>
      </w:r>
    </w:p>
  </w:footnote>
  <w:footnote w:id="23">
    <w:p w14:paraId="1C2270C8" w14:textId="470913BF" w:rsidR="00FC2A7D" w:rsidRDefault="00FC2A7D">
      <w:pPr>
        <w:pStyle w:val="FootnoteText"/>
      </w:pPr>
      <w:r>
        <w:rPr>
          <w:rStyle w:val="FootnoteReference"/>
        </w:rPr>
        <w:footnoteRef/>
      </w:r>
      <w:r>
        <w:t xml:space="preserve"> Lewis (2009) p. 214</w:t>
      </w:r>
    </w:p>
  </w:footnote>
  <w:footnote w:id="24">
    <w:p w14:paraId="56E1862D" w14:textId="0A603570" w:rsidR="002E0745" w:rsidRDefault="002E0745">
      <w:pPr>
        <w:pStyle w:val="FootnoteText"/>
      </w:pPr>
      <w:r>
        <w:rPr>
          <w:rStyle w:val="FootnoteReference"/>
        </w:rPr>
        <w:footnoteRef/>
      </w:r>
      <w:r>
        <w:t xml:space="preserve"> Kerr (2013) p. 55</w:t>
      </w:r>
    </w:p>
  </w:footnote>
  <w:footnote w:id="25">
    <w:p w14:paraId="785F373C" w14:textId="42E000CE" w:rsidR="002619E6" w:rsidRDefault="002619E6">
      <w:pPr>
        <w:pStyle w:val="FootnoteText"/>
      </w:pPr>
      <w:r>
        <w:rPr>
          <w:rStyle w:val="FootnoteReference"/>
        </w:rPr>
        <w:footnoteRef/>
      </w:r>
      <w:r>
        <w:t xml:space="preserve"> Kerr (2013) p. 52</w:t>
      </w:r>
    </w:p>
  </w:footnote>
  <w:footnote w:id="26">
    <w:p w14:paraId="75001B3C" w14:textId="572154B8" w:rsidR="002619E6" w:rsidRDefault="002619E6">
      <w:pPr>
        <w:pStyle w:val="FootnoteText"/>
      </w:pPr>
      <w:r>
        <w:rPr>
          <w:rStyle w:val="FootnoteReference"/>
        </w:rPr>
        <w:footnoteRef/>
      </w:r>
      <w:r>
        <w:t xml:space="preserve"> Kerr (2013) p. 52</w:t>
      </w:r>
    </w:p>
  </w:footnote>
  <w:footnote w:id="27">
    <w:p w14:paraId="748C1EC9" w14:textId="645A7243" w:rsidR="00A14B2A" w:rsidRDefault="00A14B2A">
      <w:pPr>
        <w:pStyle w:val="FootnoteText"/>
      </w:pPr>
      <w:r>
        <w:rPr>
          <w:rStyle w:val="FootnoteReference"/>
        </w:rPr>
        <w:footnoteRef/>
      </w:r>
      <w:r>
        <w:t xml:space="preserve"> Kerr (2013) p. 52</w:t>
      </w:r>
    </w:p>
  </w:footnote>
  <w:footnote w:id="28">
    <w:p w14:paraId="56F7873A" w14:textId="14C7CA59" w:rsidR="00786A0D" w:rsidRDefault="00786A0D">
      <w:pPr>
        <w:pStyle w:val="FootnoteText"/>
      </w:pPr>
      <w:r>
        <w:rPr>
          <w:rStyle w:val="FootnoteReference"/>
        </w:rPr>
        <w:footnoteRef/>
      </w:r>
      <w:r>
        <w:t xml:space="preserve"> Kerr (2013) p. 54</w:t>
      </w:r>
    </w:p>
  </w:footnote>
  <w:footnote w:id="29">
    <w:p w14:paraId="0E3B0C75" w14:textId="0B9C15D9" w:rsidR="00C77EB2" w:rsidRDefault="00C77EB2">
      <w:pPr>
        <w:pStyle w:val="FootnoteText"/>
      </w:pPr>
      <w:r>
        <w:rPr>
          <w:rStyle w:val="FootnoteReference"/>
        </w:rPr>
        <w:footnoteRef/>
      </w:r>
      <w:r>
        <w:t xml:space="preserve"> Kerr (2013) p. 54</w:t>
      </w:r>
    </w:p>
  </w:footnote>
  <w:footnote w:id="30">
    <w:p w14:paraId="5DDA5D8D" w14:textId="71388FFF" w:rsidR="00C77EB2" w:rsidRDefault="00C77EB2">
      <w:pPr>
        <w:pStyle w:val="FootnoteText"/>
      </w:pPr>
      <w:r>
        <w:rPr>
          <w:rStyle w:val="FootnoteReference"/>
        </w:rPr>
        <w:footnoteRef/>
      </w:r>
      <w:r>
        <w:t xml:space="preserve"> Kerr (2013) p. 54</w:t>
      </w:r>
    </w:p>
  </w:footnote>
  <w:footnote w:id="31">
    <w:p w14:paraId="7CB2CC53" w14:textId="513B5C7E" w:rsidR="00C77EB2" w:rsidRDefault="00C77EB2">
      <w:pPr>
        <w:pStyle w:val="FootnoteText"/>
      </w:pPr>
      <w:r>
        <w:rPr>
          <w:rStyle w:val="FootnoteReference"/>
        </w:rPr>
        <w:footnoteRef/>
      </w:r>
      <w:r>
        <w:t>Encyclopaedia Britannica, 2018</w:t>
      </w:r>
    </w:p>
  </w:footnote>
  <w:footnote w:id="32">
    <w:p w14:paraId="480E83EE" w14:textId="327B9348" w:rsidR="00380884" w:rsidRDefault="00380884">
      <w:pPr>
        <w:pStyle w:val="FootnoteText"/>
      </w:pPr>
      <w:r>
        <w:rPr>
          <w:rStyle w:val="FootnoteReference"/>
        </w:rPr>
        <w:footnoteRef/>
      </w:r>
      <w:r>
        <w:t xml:space="preserve"> Kerr (20130 p. 53</w:t>
      </w:r>
    </w:p>
  </w:footnote>
  <w:footnote w:id="33">
    <w:p w14:paraId="563B2ECD" w14:textId="151F2669" w:rsidR="0067097F" w:rsidRDefault="0067097F">
      <w:pPr>
        <w:pStyle w:val="FootnoteText"/>
      </w:pPr>
      <w:r>
        <w:rPr>
          <w:rStyle w:val="FootnoteReference"/>
        </w:rPr>
        <w:footnoteRef/>
      </w:r>
      <w:r>
        <w:t xml:space="preserve"> Michael (1986) p. 105</w:t>
      </w:r>
    </w:p>
  </w:footnote>
  <w:footnote w:id="34">
    <w:p w14:paraId="2D0C895B" w14:textId="594F2519" w:rsidR="0067097F" w:rsidRDefault="0067097F">
      <w:pPr>
        <w:pStyle w:val="FootnoteText"/>
      </w:pPr>
      <w:r>
        <w:rPr>
          <w:rStyle w:val="FootnoteReference"/>
        </w:rPr>
        <w:footnoteRef/>
      </w:r>
      <w:r>
        <w:t xml:space="preserve"> Michael (1986) p. 105</w:t>
      </w:r>
    </w:p>
  </w:footnote>
  <w:footnote w:id="35">
    <w:p w14:paraId="5982FE3A" w14:textId="18260558" w:rsidR="00CB5C17" w:rsidRDefault="00CB5C17">
      <w:pPr>
        <w:pStyle w:val="FootnoteText"/>
      </w:pPr>
      <w:r>
        <w:rPr>
          <w:rStyle w:val="FootnoteReference"/>
        </w:rPr>
        <w:footnoteRef/>
      </w:r>
      <w:r>
        <w:t xml:space="preserve"> Kerr (2013) p. 54</w:t>
      </w:r>
    </w:p>
  </w:footnote>
  <w:footnote w:id="36">
    <w:p w14:paraId="6844E8C1" w14:textId="5789AC8D" w:rsidR="00CB5C17" w:rsidRDefault="00CB5C17">
      <w:pPr>
        <w:pStyle w:val="FootnoteText"/>
      </w:pPr>
      <w:r>
        <w:rPr>
          <w:rStyle w:val="FootnoteReference"/>
        </w:rPr>
        <w:footnoteRef/>
      </w:r>
      <w:r>
        <w:t xml:space="preserve"> Benn (2002) p. 3</w:t>
      </w:r>
    </w:p>
  </w:footnote>
  <w:footnote w:id="37">
    <w:p w14:paraId="58A4F261" w14:textId="017AB106" w:rsidR="005B0381" w:rsidRDefault="005B0381">
      <w:pPr>
        <w:pStyle w:val="FootnoteText"/>
      </w:pPr>
      <w:r>
        <w:rPr>
          <w:rStyle w:val="FootnoteReference"/>
        </w:rPr>
        <w:footnoteRef/>
      </w:r>
      <w:r>
        <w:t xml:space="preserve"> Kerr (2013) p. 56</w:t>
      </w:r>
    </w:p>
  </w:footnote>
  <w:footnote w:id="38">
    <w:p w14:paraId="432191EF" w14:textId="043D02FC" w:rsidR="005B0381" w:rsidRDefault="005B0381">
      <w:pPr>
        <w:pStyle w:val="FootnoteText"/>
      </w:pPr>
      <w:r>
        <w:rPr>
          <w:rStyle w:val="FootnoteReference"/>
        </w:rPr>
        <w:footnoteRef/>
      </w:r>
      <w:r>
        <w:t xml:space="preserve"> Benn (2002) p.</w:t>
      </w:r>
      <w:r w:rsidR="005C07BB">
        <w:t xml:space="preserve"> XXI</w:t>
      </w:r>
    </w:p>
  </w:footnote>
  <w:footnote w:id="39">
    <w:p w14:paraId="1EA6938B" w14:textId="38797A51" w:rsidR="005B0381" w:rsidRDefault="005B0381">
      <w:pPr>
        <w:pStyle w:val="FootnoteText"/>
      </w:pPr>
      <w:r>
        <w:rPr>
          <w:rStyle w:val="FootnoteReference"/>
        </w:rPr>
        <w:footnoteRef/>
      </w:r>
      <w:r>
        <w:t xml:space="preserve"> Kerr (2013) p. 56</w:t>
      </w:r>
    </w:p>
  </w:footnote>
  <w:footnote w:id="40">
    <w:p w14:paraId="6F81F1E4" w14:textId="15890E0D" w:rsidR="005B0381" w:rsidRDefault="005B0381">
      <w:pPr>
        <w:pStyle w:val="FootnoteText"/>
      </w:pPr>
      <w:r>
        <w:rPr>
          <w:rStyle w:val="FootnoteReference"/>
        </w:rPr>
        <w:footnoteRef/>
      </w:r>
      <w:r>
        <w:t xml:space="preserve"> </w:t>
      </w:r>
      <w:proofErr w:type="spellStart"/>
      <w:r>
        <w:t>Wiethoff</w:t>
      </w:r>
      <w:proofErr w:type="spellEnd"/>
      <w:r>
        <w:t xml:space="preserve"> (1975) p, 144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23995"/>
    <w:multiLevelType w:val="hybridMultilevel"/>
    <w:tmpl w:val="9D7E89F8"/>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8E5A2D"/>
    <w:multiLevelType w:val="hybridMultilevel"/>
    <w:tmpl w:val="733C3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EB54D2"/>
    <w:multiLevelType w:val="hybridMultilevel"/>
    <w:tmpl w:val="922076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6653C6"/>
    <w:multiLevelType w:val="hybridMultilevel"/>
    <w:tmpl w:val="88B0716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457F57"/>
    <w:multiLevelType w:val="hybridMultilevel"/>
    <w:tmpl w:val="C3F2B0A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401"/>
    <w:rsid w:val="000356FB"/>
    <w:rsid w:val="00066A3B"/>
    <w:rsid w:val="00097E5D"/>
    <w:rsid w:val="000F79BE"/>
    <w:rsid w:val="000F7E70"/>
    <w:rsid w:val="00112465"/>
    <w:rsid w:val="00114658"/>
    <w:rsid w:val="001226E1"/>
    <w:rsid w:val="00124436"/>
    <w:rsid w:val="001611F7"/>
    <w:rsid w:val="00167B4D"/>
    <w:rsid w:val="00194007"/>
    <w:rsid w:val="0019444F"/>
    <w:rsid w:val="00197323"/>
    <w:rsid w:val="00204EA9"/>
    <w:rsid w:val="002111DF"/>
    <w:rsid w:val="00215283"/>
    <w:rsid w:val="002251B9"/>
    <w:rsid w:val="00233CC1"/>
    <w:rsid w:val="00254436"/>
    <w:rsid w:val="00256540"/>
    <w:rsid w:val="002619E6"/>
    <w:rsid w:val="00282C5D"/>
    <w:rsid w:val="00286CDB"/>
    <w:rsid w:val="002D0980"/>
    <w:rsid w:val="002E0745"/>
    <w:rsid w:val="0030236D"/>
    <w:rsid w:val="003574FE"/>
    <w:rsid w:val="0036348C"/>
    <w:rsid w:val="00376F2B"/>
    <w:rsid w:val="0038016D"/>
    <w:rsid w:val="00380884"/>
    <w:rsid w:val="003A3855"/>
    <w:rsid w:val="003B3EDC"/>
    <w:rsid w:val="00420187"/>
    <w:rsid w:val="004C4C8C"/>
    <w:rsid w:val="004E5E85"/>
    <w:rsid w:val="00593D64"/>
    <w:rsid w:val="00596195"/>
    <w:rsid w:val="005B0381"/>
    <w:rsid w:val="005C07BB"/>
    <w:rsid w:val="0067097F"/>
    <w:rsid w:val="006718CE"/>
    <w:rsid w:val="00673C38"/>
    <w:rsid w:val="006D2B42"/>
    <w:rsid w:val="006D459A"/>
    <w:rsid w:val="006D4CEF"/>
    <w:rsid w:val="006E0E06"/>
    <w:rsid w:val="00732046"/>
    <w:rsid w:val="007551E3"/>
    <w:rsid w:val="00786A0D"/>
    <w:rsid w:val="007E3D61"/>
    <w:rsid w:val="00824CBA"/>
    <w:rsid w:val="0086407E"/>
    <w:rsid w:val="008777C9"/>
    <w:rsid w:val="00885F7B"/>
    <w:rsid w:val="008A37C8"/>
    <w:rsid w:val="008C59DC"/>
    <w:rsid w:val="008E7C55"/>
    <w:rsid w:val="009016A3"/>
    <w:rsid w:val="009E7765"/>
    <w:rsid w:val="00A14B2A"/>
    <w:rsid w:val="00A26E25"/>
    <w:rsid w:val="00A51A33"/>
    <w:rsid w:val="00A53516"/>
    <w:rsid w:val="00A53A51"/>
    <w:rsid w:val="00A74BDF"/>
    <w:rsid w:val="00A946A7"/>
    <w:rsid w:val="00AB39BF"/>
    <w:rsid w:val="00AC1DD2"/>
    <w:rsid w:val="00AE4330"/>
    <w:rsid w:val="00BB7492"/>
    <w:rsid w:val="00C260D6"/>
    <w:rsid w:val="00C43E9A"/>
    <w:rsid w:val="00C45365"/>
    <w:rsid w:val="00C45651"/>
    <w:rsid w:val="00C77EB2"/>
    <w:rsid w:val="00C82BC3"/>
    <w:rsid w:val="00CB0AA3"/>
    <w:rsid w:val="00CB32F6"/>
    <w:rsid w:val="00CB5C17"/>
    <w:rsid w:val="00CD6AA7"/>
    <w:rsid w:val="00D058ED"/>
    <w:rsid w:val="00D440E4"/>
    <w:rsid w:val="00D9733D"/>
    <w:rsid w:val="00DA391E"/>
    <w:rsid w:val="00DB54B7"/>
    <w:rsid w:val="00E010DB"/>
    <w:rsid w:val="00E4227A"/>
    <w:rsid w:val="00E72652"/>
    <w:rsid w:val="00F12401"/>
    <w:rsid w:val="00F374AC"/>
    <w:rsid w:val="00F44A78"/>
    <w:rsid w:val="00F54DF7"/>
    <w:rsid w:val="00F70AF9"/>
    <w:rsid w:val="00F72C86"/>
    <w:rsid w:val="00F856DF"/>
    <w:rsid w:val="00F94F4F"/>
    <w:rsid w:val="00FC2A7D"/>
    <w:rsid w:val="00FD510B"/>
    <w:rsid w:val="00FD6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E5DBE"/>
  <w15:chartTrackingRefBased/>
  <w15:docId w15:val="{0D77FF86-793B-4CA7-A528-D9FDE4A02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2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12401"/>
    <w:pPr>
      <w:ind w:left="720"/>
      <w:contextualSpacing/>
    </w:pPr>
  </w:style>
  <w:style w:type="paragraph" w:styleId="FootnoteText">
    <w:name w:val="footnote text"/>
    <w:basedOn w:val="Normal"/>
    <w:link w:val="FootnoteTextChar"/>
    <w:uiPriority w:val="99"/>
    <w:semiHidden/>
    <w:unhideWhenUsed/>
    <w:rsid w:val="00167B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7B4D"/>
    <w:rPr>
      <w:sz w:val="20"/>
      <w:szCs w:val="20"/>
    </w:rPr>
  </w:style>
  <w:style w:type="character" w:styleId="FootnoteReference">
    <w:name w:val="footnote reference"/>
    <w:basedOn w:val="DefaultParagraphFont"/>
    <w:uiPriority w:val="99"/>
    <w:semiHidden/>
    <w:unhideWhenUsed/>
    <w:rsid w:val="00167B4D"/>
    <w:rPr>
      <w:vertAlign w:val="superscript"/>
    </w:rPr>
  </w:style>
  <w:style w:type="character" w:styleId="Hyperlink">
    <w:name w:val="Hyperlink"/>
    <w:basedOn w:val="DefaultParagraphFont"/>
    <w:uiPriority w:val="99"/>
    <w:unhideWhenUsed/>
    <w:rsid w:val="00C77EB2"/>
    <w:rPr>
      <w:color w:val="0563C1" w:themeColor="hyperlink"/>
      <w:u w:val="single"/>
    </w:rPr>
  </w:style>
  <w:style w:type="character" w:styleId="UnresolvedMention">
    <w:name w:val="Unresolved Mention"/>
    <w:basedOn w:val="DefaultParagraphFont"/>
    <w:uiPriority w:val="99"/>
    <w:semiHidden/>
    <w:unhideWhenUsed/>
    <w:rsid w:val="00C77E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Tang-dynast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41F97-3C66-455D-BC78-66B061A94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TotalTime>
  <Pages>5</Pages>
  <Words>1837</Words>
  <Characters>10473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Watts-Robinson</dc:creator>
  <cp:keywords/>
  <dc:description/>
  <cp:lastModifiedBy>Rhiannon Watts-Robinson</cp:lastModifiedBy>
  <cp:revision>13</cp:revision>
  <dcterms:created xsi:type="dcterms:W3CDTF">2018-11-09T14:13:00Z</dcterms:created>
  <dcterms:modified xsi:type="dcterms:W3CDTF">2018-11-14T13:43:00Z</dcterms:modified>
</cp:coreProperties>
</file>