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3C96E" w14:textId="78FCCC3B" w:rsidR="00A5567B" w:rsidRDefault="0056733A" w:rsidP="0056733A">
      <w:pPr>
        <w:pStyle w:val="Textbody"/>
        <w:spacing w:line="360" w:lineRule="auto"/>
        <w:jc w:val="both"/>
        <w:rPr>
          <w:rFonts w:ascii="Times New Roman" w:hAnsi="Times New Roman"/>
          <w:color w:val="1C1C1C"/>
        </w:rPr>
      </w:pPr>
      <w:r>
        <w:rPr>
          <w:rFonts w:ascii="Times New Roman" w:hAnsi="Times New Roman"/>
          <w:noProof/>
          <w:color w:val="1C1C1C"/>
        </w:rPr>
        <w:drawing>
          <wp:anchor distT="0" distB="0" distL="114300" distR="114300" simplePos="0" relativeHeight="251658240" behindDoc="0" locked="0" layoutInCell="1" allowOverlap="1" wp14:anchorId="7EFBBD9E" wp14:editId="31FCAD21">
            <wp:simplePos x="0" y="0"/>
            <wp:positionH relativeFrom="margin">
              <wp:posOffset>-476250</wp:posOffset>
            </wp:positionH>
            <wp:positionV relativeFrom="margin">
              <wp:posOffset>-450850</wp:posOffset>
            </wp:positionV>
            <wp:extent cx="2336800" cy="889000"/>
            <wp:effectExtent l="0" t="0" r="6350" b="6350"/>
            <wp:wrapSquare wrapText="bothSides"/>
            <wp:docPr id="1676740513" name="Picture 1676740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30872" t="37064" r="29816" b="36990"/>
                    <a:stretch/>
                  </pic:blipFill>
                  <pic:spPr bwMode="auto">
                    <a:xfrm>
                      <a:off x="0" y="0"/>
                      <a:ext cx="2336800" cy="889000"/>
                    </a:xfrm>
                    <a:prstGeom prst="rect">
                      <a:avLst/>
                    </a:prstGeom>
                    <a:noFill/>
                    <a:ln>
                      <a:noFill/>
                    </a:ln>
                    <a:extLst>
                      <a:ext uri="{53640926-AAD7-44D8-BBD7-CCE9431645EC}">
                        <a14:shadowObscured xmlns:a14="http://schemas.microsoft.com/office/drawing/2010/main"/>
                      </a:ext>
                    </a:extLst>
                  </pic:spPr>
                </pic:pic>
              </a:graphicData>
            </a:graphic>
          </wp:anchor>
        </w:drawing>
      </w:r>
    </w:p>
    <w:p w14:paraId="45137686" w14:textId="75CF122B" w:rsidR="00A5567B" w:rsidRDefault="00A5567B">
      <w:pPr>
        <w:pStyle w:val="Textbody"/>
        <w:spacing w:line="360" w:lineRule="auto"/>
        <w:jc w:val="both"/>
        <w:rPr>
          <w:rFonts w:ascii="Times New Roman" w:hAnsi="Times New Roman"/>
          <w:color w:val="1C1C1C"/>
        </w:rPr>
      </w:pPr>
    </w:p>
    <w:p w14:paraId="16B6CC5F" w14:textId="77777777" w:rsidR="00A5567B" w:rsidRDefault="00A5567B">
      <w:pPr>
        <w:pStyle w:val="Textbody"/>
        <w:spacing w:line="360" w:lineRule="auto"/>
        <w:jc w:val="both"/>
        <w:rPr>
          <w:rFonts w:ascii="Times New Roman" w:hAnsi="Times New Roman"/>
          <w:color w:val="1C1C1C"/>
        </w:rPr>
      </w:pPr>
    </w:p>
    <w:p w14:paraId="7DCB1C3E" w14:textId="77777777" w:rsidR="00A5567B" w:rsidRDefault="00A5567B">
      <w:pPr>
        <w:pStyle w:val="Textbody"/>
        <w:spacing w:line="360" w:lineRule="auto"/>
        <w:jc w:val="both"/>
        <w:rPr>
          <w:rFonts w:ascii="Times New Roman" w:hAnsi="Times New Roman"/>
          <w:color w:val="1C1C1C"/>
        </w:rPr>
      </w:pPr>
    </w:p>
    <w:p w14:paraId="6DCE4FB4" w14:textId="77777777" w:rsidR="00D352E5" w:rsidRDefault="00DC521A" w:rsidP="00DC521A">
      <w:pPr>
        <w:pStyle w:val="Textbody"/>
        <w:spacing w:line="360" w:lineRule="auto"/>
        <w:rPr>
          <w:rFonts w:ascii="Times New Roman" w:hAnsi="Times New Roman"/>
          <w:color w:val="1C1C1C"/>
          <w:sz w:val="72"/>
          <w:szCs w:val="72"/>
        </w:rPr>
      </w:pPr>
      <w:r w:rsidRPr="00DC521A">
        <w:rPr>
          <w:rFonts w:ascii="Times New Roman" w:hAnsi="Times New Roman"/>
          <w:color w:val="1C1C1C"/>
          <w:sz w:val="72"/>
          <w:szCs w:val="72"/>
        </w:rPr>
        <w:t xml:space="preserve">     </w:t>
      </w:r>
    </w:p>
    <w:p w14:paraId="5E8D81DE" w14:textId="2772BA8B" w:rsidR="00A5567B" w:rsidRDefault="00D352E5" w:rsidP="00DC521A">
      <w:pPr>
        <w:pStyle w:val="Textbody"/>
        <w:spacing w:line="360" w:lineRule="auto"/>
        <w:rPr>
          <w:rFonts w:ascii="Times New Roman" w:hAnsi="Times New Roman"/>
          <w:color w:val="1C1C1C"/>
          <w:sz w:val="72"/>
          <w:szCs w:val="72"/>
        </w:rPr>
      </w:pPr>
      <w:r>
        <w:rPr>
          <w:rFonts w:ascii="Times New Roman" w:hAnsi="Times New Roman"/>
          <w:color w:val="1C1C1C"/>
          <w:sz w:val="72"/>
          <w:szCs w:val="72"/>
        </w:rPr>
        <w:t xml:space="preserve">             </w:t>
      </w:r>
      <w:r w:rsidR="00E744CF" w:rsidRPr="00E744CF">
        <w:rPr>
          <w:rFonts w:ascii="Times New Roman" w:hAnsi="Times New Roman"/>
          <w:color w:val="1C1C1C"/>
          <w:sz w:val="52"/>
          <w:szCs w:val="52"/>
        </w:rPr>
        <w:t xml:space="preserve">Accounting Fundamentals </w:t>
      </w:r>
    </w:p>
    <w:p w14:paraId="47D196E1" w14:textId="77777777" w:rsidR="005B5E95" w:rsidRPr="005B5E95" w:rsidRDefault="005B5E95" w:rsidP="005B5E95"/>
    <w:p w14:paraId="702AD80D" w14:textId="77777777" w:rsidR="005B5E95" w:rsidRPr="005B5E95" w:rsidRDefault="005B5E95" w:rsidP="005B5E95"/>
    <w:p w14:paraId="031312EF" w14:textId="77777777" w:rsidR="005B5E95" w:rsidRPr="005B5E95" w:rsidRDefault="005B5E95" w:rsidP="005B5E95"/>
    <w:p w14:paraId="1C14CBD4" w14:textId="77777777" w:rsidR="005B5E95" w:rsidRPr="005B5E95" w:rsidRDefault="005B5E95" w:rsidP="005B5E95"/>
    <w:p w14:paraId="739F3C86" w14:textId="77777777" w:rsidR="005B5E95" w:rsidRPr="005B5E95" w:rsidRDefault="005B5E95" w:rsidP="005B5E95"/>
    <w:p w14:paraId="77BFAF67" w14:textId="77777777" w:rsidR="005B5E95" w:rsidRPr="005B5E95" w:rsidRDefault="005B5E95" w:rsidP="005B5E95"/>
    <w:p w14:paraId="44172894" w14:textId="77777777" w:rsidR="005B5E95" w:rsidRPr="005B5E95" w:rsidRDefault="005B5E95" w:rsidP="005B5E95"/>
    <w:p w14:paraId="12F10437" w14:textId="77777777" w:rsidR="005B5E95" w:rsidRPr="005B5E95" w:rsidRDefault="005B5E95" w:rsidP="005B5E95"/>
    <w:p w14:paraId="5742FB99" w14:textId="77777777" w:rsidR="005B5E95" w:rsidRPr="005B5E95" w:rsidRDefault="005B5E95" w:rsidP="005B5E95"/>
    <w:p w14:paraId="062CD523" w14:textId="77777777" w:rsidR="005B5E95" w:rsidRPr="005B5E95" w:rsidRDefault="005B5E95" w:rsidP="005B5E95"/>
    <w:p w14:paraId="79A59D33" w14:textId="77777777" w:rsidR="005B5E95" w:rsidRPr="005B5E95" w:rsidRDefault="005B5E95" w:rsidP="005B5E95"/>
    <w:p w14:paraId="6CD7DD4E" w14:textId="77777777" w:rsidR="005B5E95" w:rsidRPr="005B5E95" w:rsidRDefault="005B5E95" w:rsidP="005B5E95"/>
    <w:p w14:paraId="537499BD" w14:textId="77777777" w:rsidR="005B5E95" w:rsidRPr="005B5E95" w:rsidRDefault="005B5E95" w:rsidP="005B5E95"/>
    <w:p w14:paraId="59FE2793" w14:textId="77777777" w:rsidR="005B5E95" w:rsidRPr="005B5E95" w:rsidRDefault="005B5E95" w:rsidP="005B5E95"/>
    <w:p w14:paraId="08C754F7" w14:textId="77777777" w:rsidR="005B5E95" w:rsidRPr="005B5E95" w:rsidRDefault="005B5E95" w:rsidP="005B5E95"/>
    <w:p w14:paraId="33D3C382" w14:textId="77777777" w:rsidR="009B6062" w:rsidRDefault="009B6062" w:rsidP="005B5E95">
      <w:pPr>
        <w:tabs>
          <w:tab w:val="left" w:pos="1360"/>
        </w:tabs>
        <w:rPr>
          <w:rFonts w:ascii="Times New Roman" w:hAnsi="Times New Roman"/>
          <w:color w:val="1C1C1C"/>
          <w:sz w:val="72"/>
          <w:szCs w:val="72"/>
        </w:rPr>
      </w:pPr>
    </w:p>
    <w:p w14:paraId="47961AA0" w14:textId="77777777" w:rsidR="009B6062" w:rsidRDefault="009B6062" w:rsidP="005B5E95">
      <w:pPr>
        <w:tabs>
          <w:tab w:val="left" w:pos="1360"/>
        </w:tabs>
        <w:rPr>
          <w:rFonts w:ascii="Times New Roman" w:hAnsi="Times New Roman"/>
          <w:color w:val="1C1C1C"/>
          <w:sz w:val="72"/>
          <w:szCs w:val="72"/>
        </w:rPr>
      </w:pPr>
    </w:p>
    <w:p w14:paraId="4AD5B5BA" w14:textId="77777777" w:rsidR="00D27355" w:rsidRDefault="00D27355" w:rsidP="00D27355">
      <w:pPr>
        <w:rPr>
          <w:rFonts w:ascii="Times New Roman" w:hAnsi="Times New Roman"/>
          <w:color w:val="1C1C1C"/>
          <w:sz w:val="72"/>
          <w:szCs w:val="72"/>
        </w:rPr>
      </w:pPr>
    </w:p>
    <w:p w14:paraId="71B45844" w14:textId="77777777" w:rsidR="00D352E5" w:rsidRDefault="00D352E5" w:rsidP="00D27355">
      <w:pPr>
        <w:rPr>
          <w:rFonts w:ascii="Times New Roman" w:eastAsia="Calibri" w:hAnsi="Times New Roman" w:cs="Times New Roman"/>
          <w:color w:val="000000"/>
          <w:kern w:val="0"/>
          <w:szCs w:val="22"/>
          <w:lang w:eastAsia="ar-SA" w:bidi="ar-SA"/>
        </w:rPr>
      </w:pPr>
    </w:p>
    <w:p w14:paraId="73172E73" w14:textId="77777777" w:rsidR="00D352E5" w:rsidRDefault="00D352E5" w:rsidP="00D27355">
      <w:pPr>
        <w:rPr>
          <w:rFonts w:ascii="Times New Roman" w:eastAsia="Calibri" w:hAnsi="Times New Roman" w:cs="Times New Roman"/>
          <w:color w:val="000000"/>
          <w:kern w:val="0"/>
          <w:szCs w:val="22"/>
          <w:lang w:eastAsia="ar-SA" w:bidi="ar-SA"/>
        </w:rPr>
      </w:pPr>
    </w:p>
    <w:p w14:paraId="093E159D" w14:textId="10AF6334" w:rsidR="00D27355" w:rsidRPr="00D27355" w:rsidRDefault="00D27355" w:rsidP="00D27355">
      <w:pPr>
        <w:rPr>
          <w:rFonts w:ascii="Times New Roman" w:eastAsia="Calibri" w:hAnsi="Times New Roman" w:cs="Times New Roman"/>
          <w:color w:val="000000"/>
          <w:kern w:val="0"/>
          <w:szCs w:val="22"/>
          <w:lang w:eastAsia="ar-SA" w:bidi="ar-SA"/>
        </w:rPr>
      </w:pPr>
      <w:r w:rsidRPr="00D27355">
        <w:rPr>
          <w:rFonts w:ascii="Times New Roman" w:eastAsia="Calibri" w:hAnsi="Times New Roman" w:cs="Times New Roman"/>
          <w:color w:val="000000"/>
          <w:kern w:val="0"/>
          <w:szCs w:val="22"/>
          <w:lang w:eastAsia="ar-SA" w:bidi="ar-SA"/>
        </w:rPr>
        <w:t>1)</w:t>
      </w:r>
      <w:r w:rsidR="006F3D1B" w:rsidRPr="006F3D1B">
        <w:t xml:space="preserve"> </w:t>
      </w:r>
      <w:r w:rsidR="006F3D1B" w:rsidRPr="006F3D1B">
        <w:rPr>
          <w:rFonts w:ascii="Times New Roman" w:eastAsia="Calibri" w:hAnsi="Times New Roman" w:cs="Times New Roman"/>
          <w:color w:val="000000"/>
          <w:kern w:val="0"/>
          <w:szCs w:val="22"/>
          <w:lang w:eastAsia="ar-SA" w:bidi="ar-SA"/>
        </w:rPr>
        <w:t>Accounting Fundamentals</w:t>
      </w:r>
    </w:p>
    <w:p w14:paraId="2DCFEF71" w14:textId="77777777" w:rsidR="00D27355" w:rsidRPr="00D27355" w:rsidRDefault="00D27355" w:rsidP="00D27355">
      <w:pPr>
        <w:widowControl/>
        <w:autoSpaceDN/>
        <w:spacing w:line="360" w:lineRule="auto"/>
        <w:jc w:val="both"/>
        <w:textAlignment w:val="auto"/>
        <w:rPr>
          <w:rFonts w:ascii="Times New Roman" w:eastAsia="Calibri" w:hAnsi="Times New Roman" w:cs="Times New Roman"/>
          <w:color w:val="000000"/>
          <w:kern w:val="0"/>
          <w:szCs w:val="22"/>
          <w:lang w:eastAsia="ar-SA" w:bidi="ar-SA"/>
        </w:rPr>
      </w:pPr>
      <w:r w:rsidRPr="00D27355">
        <w:rPr>
          <w:rFonts w:ascii="Times New Roman" w:eastAsia="Calibri" w:hAnsi="Times New Roman" w:cs="Times New Roman"/>
          <w:color w:val="000000"/>
          <w:kern w:val="0"/>
          <w:szCs w:val="22"/>
          <w:lang w:eastAsia="ar-SA" w:bidi="ar-SA"/>
        </w:rPr>
        <w:t xml:space="preserve">  BABM</w:t>
      </w:r>
    </w:p>
    <w:p w14:paraId="1D219FDD" w14:textId="051F0F89" w:rsidR="00D27355" w:rsidRPr="00887404" w:rsidRDefault="00D27355" w:rsidP="00D27355">
      <w:pPr>
        <w:widowControl/>
        <w:autoSpaceDN/>
        <w:spacing w:line="360" w:lineRule="auto"/>
        <w:jc w:val="both"/>
        <w:textAlignment w:val="auto"/>
        <w:rPr>
          <w:rFonts w:ascii="Times New Roman" w:eastAsia="Calibri" w:hAnsi="Times New Roman" w:cs="Times New Roman"/>
          <w:color w:val="000000"/>
          <w:kern w:val="0"/>
          <w:szCs w:val="22"/>
          <w:lang w:eastAsia="ar-SA" w:bidi="ar-SA"/>
        </w:rPr>
      </w:pPr>
      <w:r w:rsidRPr="00D27355">
        <w:rPr>
          <w:rFonts w:ascii="Times New Roman" w:eastAsia="Calibri" w:hAnsi="Times New Roman" w:cs="Times New Roman"/>
          <w:color w:val="000000"/>
          <w:kern w:val="0"/>
          <w:szCs w:val="22"/>
          <w:lang w:eastAsia="ar-SA" w:bidi="ar-SA"/>
        </w:rPr>
        <w:t xml:space="preserve"> Lecturer. </w:t>
      </w:r>
      <w:r w:rsidR="00D50940" w:rsidRPr="00D50940">
        <w:rPr>
          <w:rFonts w:ascii="Times New Roman" w:eastAsia="Calibri" w:hAnsi="Times New Roman" w:cs="Times New Roman"/>
          <w:color w:val="000000"/>
          <w:kern w:val="0"/>
          <w:szCs w:val="22"/>
          <w:lang w:eastAsia="ar-SA" w:bidi="ar-SA"/>
        </w:rPr>
        <w:t>Nadeem Mirza</w:t>
      </w:r>
    </w:p>
    <w:p w14:paraId="2DFEA4A6" w14:textId="77777777" w:rsidR="00D27355" w:rsidRPr="00887404" w:rsidRDefault="00D27355" w:rsidP="00D27355">
      <w:pPr>
        <w:widowControl/>
        <w:autoSpaceDN/>
        <w:spacing w:line="360" w:lineRule="auto"/>
        <w:jc w:val="both"/>
        <w:textAlignment w:val="auto"/>
        <w:rPr>
          <w:rFonts w:ascii="Times New Roman" w:eastAsia="Calibri" w:hAnsi="Times New Roman" w:cs="Times New Roman"/>
          <w:color w:val="000000"/>
          <w:kern w:val="0"/>
          <w:szCs w:val="22"/>
          <w:lang w:eastAsia="ar-SA" w:bidi="ar-SA"/>
        </w:rPr>
      </w:pPr>
      <w:r w:rsidRPr="00887404">
        <w:rPr>
          <w:rFonts w:ascii="Times New Roman" w:eastAsia="Calibri" w:hAnsi="Times New Roman" w:cs="Times New Roman"/>
          <w:color w:val="000000"/>
          <w:kern w:val="0"/>
          <w:szCs w:val="22"/>
          <w:lang w:eastAsia="ar-SA" w:bidi="ar-SA"/>
        </w:rPr>
        <w:t>2) Ivan Sendrev (2235334)</w:t>
      </w:r>
    </w:p>
    <w:p w14:paraId="1890BDE2" w14:textId="1CFF3319" w:rsidR="005B5E95" w:rsidRPr="00887404" w:rsidRDefault="005B5E95" w:rsidP="005B5E95">
      <w:pPr>
        <w:tabs>
          <w:tab w:val="left" w:pos="1360"/>
        </w:tabs>
        <w:rPr>
          <w:rFonts w:ascii="Times New Roman" w:hAnsi="Times New Roman"/>
          <w:color w:val="1C1C1C"/>
        </w:rPr>
      </w:pPr>
    </w:p>
    <w:p w14:paraId="0EB25B11" w14:textId="77777777" w:rsidR="005B5E95" w:rsidRPr="00887404" w:rsidRDefault="005B5E95" w:rsidP="005B5E95"/>
    <w:p w14:paraId="75BBFB7C" w14:textId="77777777" w:rsidR="00A5567B" w:rsidRPr="007E4868" w:rsidRDefault="00F63440" w:rsidP="005E7B9D">
      <w:pPr>
        <w:pStyle w:val="ContentsHeading"/>
        <w:pageBreakBefore/>
        <w:tabs>
          <w:tab w:val="right" w:leader="dot" w:pos="9360"/>
        </w:tabs>
        <w:spacing w:line="360" w:lineRule="auto"/>
        <w:rPr>
          <w:rFonts w:ascii="Times New Roman" w:hAnsi="Times New Roman" w:cs="Times New Roman"/>
          <w:b w:val="0"/>
          <w:bCs w:val="0"/>
          <w:sz w:val="24"/>
          <w:szCs w:val="24"/>
        </w:rPr>
      </w:pPr>
      <w:r w:rsidRPr="007E4868">
        <w:rPr>
          <w:rFonts w:ascii="Times New Roman" w:hAnsi="Times New Roman" w:cs="Times New Roman"/>
          <w:b w:val="0"/>
          <w:bCs w:val="0"/>
          <w:sz w:val="24"/>
          <w:szCs w:val="24"/>
        </w:rPr>
        <w:lastRenderedPageBreak/>
        <w:fldChar w:fldCharType="begin"/>
      </w:r>
      <w:r w:rsidRPr="007E4868">
        <w:rPr>
          <w:rFonts w:ascii="Times New Roman" w:hAnsi="Times New Roman" w:cs="Times New Roman"/>
          <w:b w:val="0"/>
          <w:bCs w:val="0"/>
          <w:sz w:val="24"/>
          <w:szCs w:val="24"/>
        </w:rPr>
        <w:instrText xml:space="preserve"> TOC \o "1-9" \u \l 1-9 </w:instrText>
      </w:r>
      <w:r w:rsidRPr="007E4868">
        <w:rPr>
          <w:rFonts w:ascii="Times New Roman" w:hAnsi="Times New Roman" w:cs="Times New Roman"/>
          <w:b w:val="0"/>
          <w:bCs w:val="0"/>
          <w:sz w:val="24"/>
          <w:szCs w:val="24"/>
        </w:rPr>
        <w:fldChar w:fldCharType="separate"/>
      </w:r>
      <w:r w:rsidRPr="007E4868">
        <w:rPr>
          <w:rFonts w:ascii="Times New Roman" w:hAnsi="Times New Roman" w:cs="Times New Roman"/>
          <w:b w:val="0"/>
          <w:bCs w:val="0"/>
          <w:sz w:val="24"/>
          <w:szCs w:val="24"/>
        </w:rPr>
        <w:t>Table of Contents</w:t>
      </w:r>
    </w:p>
    <w:p w14:paraId="47ABBC15" w14:textId="77777777" w:rsidR="00A5567B" w:rsidRPr="007E4868" w:rsidRDefault="00F63440" w:rsidP="005E7B9D">
      <w:pPr>
        <w:pStyle w:val="Contents1"/>
        <w:spacing w:line="360" w:lineRule="auto"/>
        <w:rPr>
          <w:rFonts w:ascii="Times New Roman" w:hAnsi="Times New Roman" w:cs="Times New Roman"/>
        </w:rPr>
      </w:pPr>
      <w:r w:rsidRPr="007E4868">
        <w:rPr>
          <w:rFonts w:ascii="Times New Roman" w:hAnsi="Times New Roman" w:cs="Times New Roman"/>
        </w:rPr>
        <w:t>Introduction</w:t>
      </w:r>
      <w:r w:rsidRPr="007E4868">
        <w:rPr>
          <w:rFonts w:ascii="Times New Roman" w:hAnsi="Times New Roman" w:cs="Times New Roman"/>
        </w:rPr>
        <w:tab/>
        <w:t>3</w:t>
      </w:r>
    </w:p>
    <w:p w14:paraId="225B4B2C" w14:textId="77777777" w:rsidR="00A5567B" w:rsidRPr="007E4868" w:rsidRDefault="00F63440" w:rsidP="005E7B9D">
      <w:pPr>
        <w:pStyle w:val="Contents1"/>
        <w:spacing w:line="360" w:lineRule="auto"/>
        <w:rPr>
          <w:rFonts w:ascii="Times New Roman" w:hAnsi="Times New Roman" w:cs="Times New Roman"/>
        </w:rPr>
      </w:pPr>
      <w:r w:rsidRPr="007E4868">
        <w:rPr>
          <w:rFonts w:ascii="Times New Roman" w:hAnsi="Times New Roman" w:cs="Times New Roman"/>
        </w:rPr>
        <w:t>Main body</w:t>
      </w:r>
      <w:r w:rsidRPr="007E4868">
        <w:rPr>
          <w:rFonts w:ascii="Times New Roman" w:hAnsi="Times New Roman" w:cs="Times New Roman"/>
        </w:rPr>
        <w:tab/>
        <w:t>3</w:t>
      </w:r>
    </w:p>
    <w:p w14:paraId="235F8CC9" w14:textId="77777777" w:rsidR="00A5567B" w:rsidRPr="007E4868" w:rsidRDefault="00F63440" w:rsidP="005E7B9D">
      <w:pPr>
        <w:pStyle w:val="Contents2"/>
        <w:spacing w:line="360" w:lineRule="auto"/>
        <w:ind w:left="0"/>
        <w:rPr>
          <w:rFonts w:ascii="Times New Roman" w:hAnsi="Times New Roman" w:cs="Times New Roman"/>
        </w:rPr>
      </w:pPr>
      <w:r w:rsidRPr="007E4868">
        <w:rPr>
          <w:rFonts w:ascii="Times New Roman" w:hAnsi="Times New Roman" w:cs="Times New Roman"/>
        </w:rPr>
        <w:t>Task 1</w:t>
      </w:r>
      <w:r w:rsidRPr="007E4868">
        <w:rPr>
          <w:rFonts w:ascii="Times New Roman" w:hAnsi="Times New Roman" w:cs="Times New Roman"/>
        </w:rPr>
        <w:tab/>
        <w:t>3</w:t>
      </w:r>
    </w:p>
    <w:p w14:paraId="23A8BE88" w14:textId="77777777" w:rsidR="00A5567B" w:rsidRPr="007E4868" w:rsidRDefault="00F63440" w:rsidP="005E7B9D">
      <w:pPr>
        <w:pStyle w:val="Contents2"/>
        <w:spacing w:line="360" w:lineRule="auto"/>
        <w:ind w:left="0"/>
        <w:rPr>
          <w:rFonts w:ascii="Times New Roman" w:hAnsi="Times New Roman" w:cs="Times New Roman"/>
        </w:rPr>
      </w:pPr>
      <w:r w:rsidRPr="007E4868">
        <w:rPr>
          <w:rFonts w:ascii="Times New Roman" w:hAnsi="Times New Roman" w:cs="Times New Roman"/>
        </w:rPr>
        <w:t>Task 2</w:t>
      </w:r>
      <w:r w:rsidRPr="007E4868">
        <w:rPr>
          <w:rFonts w:ascii="Times New Roman" w:hAnsi="Times New Roman" w:cs="Times New Roman"/>
        </w:rPr>
        <w:tab/>
        <w:t>4</w:t>
      </w:r>
    </w:p>
    <w:p w14:paraId="1BA23423" w14:textId="77777777" w:rsidR="00A5567B" w:rsidRPr="007E4868" w:rsidRDefault="00F63440" w:rsidP="005E7B9D">
      <w:pPr>
        <w:pStyle w:val="Contents2"/>
        <w:spacing w:line="360" w:lineRule="auto"/>
        <w:ind w:left="0"/>
        <w:rPr>
          <w:rFonts w:ascii="Times New Roman" w:hAnsi="Times New Roman" w:cs="Times New Roman"/>
        </w:rPr>
      </w:pPr>
      <w:r w:rsidRPr="007E4868">
        <w:rPr>
          <w:rFonts w:ascii="Times New Roman" w:hAnsi="Times New Roman" w:cs="Times New Roman"/>
        </w:rPr>
        <w:t>Task 3</w:t>
      </w:r>
      <w:r w:rsidRPr="007E4868">
        <w:rPr>
          <w:rFonts w:ascii="Times New Roman" w:hAnsi="Times New Roman" w:cs="Times New Roman"/>
        </w:rPr>
        <w:tab/>
        <w:t>7</w:t>
      </w:r>
    </w:p>
    <w:p w14:paraId="38B6D631" w14:textId="77777777" w:rsidR="00A5567B" w:rsidRPr="007E4868" w:rsidRDefault="00F63440" w:rsidP="005E7B9D">
      <w:pPr>
        <w:pStyle w:val="Contents1"/>
        <w:spacing w:line="360" w:lineRule="auto"/>
        <w:rPr>
          <w:rFonts w:ascii="Times New Roman" w:hAnsi="Times New Roman" w:cs="Times New Roman"/>
        </w:rPr>
      </w:pPr>
      <w:r w:rsidRPr="007E4868">
        <w:rPr>
          <w:rFonts w:ascii="Times New Roman" w:hAnsi="Times New Roman" w:cs="Times New Roman"/>
        </w:rPr>
        <w:t>Conclusion</w:t>
      </w:r>
      <w:r w:rsidRPr="007E4868">
        <w:rPr>
          <w:rFonts w:ascii="Times New Roman" w:hAnsi="Times New Roman" w:cs="Times New Roman"/>
        </w:rPr>
        <w:tab/>
        <w:t>12</w:t>
      </w:r>
    </w:p>
    <w:p w14:paraId="5943E779" w14:textId="77777777" w:rsidR="00A5567B" w:rsidRPr="007E4868" w:rsidRDefault="00F63440" w:rsidP="005E7B9D">
      <w:pPr>
        <w:pStyle w:val="Contents1"/>
        <w:spacing w:line="360" w:lineRule="auto"/>
        <w:rPr>
          <w:rFonts w:ascii="Times New Roman" w:hAnsi="Times New Roman" w:cs="Times New Roman"/>
        </w:rPr>
      </w:pPr>
      <w:r w:rsidRPr="007E4868">
        <w:rPr>
          <w:rFonts w:ascii="Times New Roman" w:hAnsi="Times New Roman" w:cs="Times New Roman"/>
        </w:rPr>
        <w:t>REFERENCES</w:t>
      </w:r>
      <w:r w:rsidRPr="007E4868">
        <w:rPr>
          <w:rFonts w:ascii="Times New Roman" w:hAnsi="Times New Roman" w:cs="Times New Roman"/>
        </w:rPr>
        <w:tab/>
        <w:t>13</w:t>
      </w:r>
    </w:p>
    <w:p w14:paraId="1D13E659" w14:textId="77777777" w:rsidR="00A5567B" w:rsidRPr="007E4868" w:rsidRDefault="00F63440">
      <w:pPr>
        <w:pStyle w:val="Heading1"/>
        <w:spacing w:line="360" w:lineRule="auto"/>
        <w:jc w:val="both"/>
        <w:rPr>
          <w:rFonts w:ascii="Times New Roman" w:hAnsi="Times New Roman" w:cs="Times New Roman"/>
          <w:b w:val="0"/>
          <w:bCs w:val="0"/>
          <w:color w:val="1C1C1C"/>
          <w:sz w:val="24"/>
          <w:szCs w:val="24"/>
        </w:rPr>
      </w:pPr>
      <w:r w:rsidRPr="007E4868">
        <w:rPr>
          <w:rFonts w:ascii="Times New Roman" w:hAnsi="Times New Roman" w:cs="Times New Roman"/>
          <w:b w:val="0"/>
          <w:bCs w:val="0"/>
          <w:sz w:val="24"/>
          <w:szCs w:val="24"/>
        </w:rPr>
        <w:fldChar w:fldCharType="end"/>
      </w:r>
    </w:p>
    <w:p w14:paraId="1F78B28F" w14:textId="77777777" w:rsidR="00A5567B" w:rsidRDefault="00F63440">
      <w:pPr>
        <w:pStyle w:val="Heading1"/>
        <w:pageBreakBefore/>
        <w:spacing w:line="360" w:lineRule="auto"/>
        <w:jc w:val="both"/>
        <w:rPr>
          <w:rFonts w:ascii="Times New Roman" w:hAnsi="Times New Roman"/>
          <w:color w:val="1C1C1C"/>
        </w:rPr>
      </w:pPr>
      <w:r>
        <w:rPr>
          <w:rFonts w:ascii="Times New Roman" w:hAnsi="Times New Roman"/>
          <w:color w:val="1C1C1C"/>
        </w:rPr>
        <w:lastRenderedPageBreak/>
        <w:t>Introduction</w:t>
      </w:r>
    </w:p>
    <w:p w14:paraId="7466E3B3" w14:textId="41233E1C"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This report is the illustration of how businesses evaluate their performance or value using businesses balance sheet, statement of cash flow, and income statement. In this report there is a </w:t>
      </w:r>
      <w:r w:rsidR="00144C2C">
        <w:rPr>
          <w:rFonts w:ascii="Times New Roman" w:hAnsi="Times New Roman"/>
          <w:color w:val="1C1C1C"/>
        </w:rPr>
        <w:t>use</w:t>
      </w:r>
      <w:r>
        <w:rPr>
          <w:rFonts w:ascii="Times New Roman" w:hAnsi="Times New Roman"/>
          <w:color w:val="1C1C1C"/>
        </w:rPr>
        <w:t xml:space="preserve"> of various techniques which includes ratio analysis, vertical, and horizontal which </w:t>
      </w:r>
      <w:r w:rsidR="0092779D">
        <w:rPr>
          <w:rFonts w:ascii="Times New Roman" w:hAnsi="Times New Roman"/>
          <w:color w:val="1C1C1C"/>
        </w:rPr>
        <w:t>help</w:t>
      </w:r>
      <w:r>
        <w:rPr>
          <w:rFonts w:ascii="Times New Roman" w:hAnsi="Times New Roman"/>
          <w:color w:val="1C1C1C"/>
        </w:rPr>
        <w:t xml:space="preserve"> stakeholders to depict the clear picture of the working and financials of the organisation (Zhang and et.al. 2020). In the report there is two Wales Plc and Sweet Plc companies using their financials there is a broad description of this statement.</w:t>
      </w:r>
    </w:p>
    <w:p w14:paraId="2A3A3C5F" w14:textId="77777777" w:rsidR="00A5567B" w:rsidRDefault="00A5567B">
      <w:pPr>
        <w:pStyle w:val="Standard"/>
        <w:widowControl/>
        <w:spacing w:line="360" w:lineRule="auto"/>
        <w:jc w:val="both"/>
        <w:rPr>
          <w:rFonts w:ascii="Times New Roman" w:hAnsi="Times New Roman"/>
          <w:color w:val="1C1C1C"/>
        </w:rPr>
      </w:pPr>
    </w:p>
    <w:p w14:paraId="172AC32F" w14:textId="77777777" w:rsidR="00A5567B" w:rsidRDefault="00A5567B">
      <w:pPr>
        <w:pStyle w:val="Standard"/>
        <w:widowControl/>
        <w:spacing w:line="360" w:lineRule="auto"/>
        <w:jc w:val="both"/>
        <w:rPr>
          <w:rFonts w:ascii="Times New Roman" w:hAnsi="Times New Roman"/>
          <w:color w:val="1C1C1C"/>
        </w:rPr>
      </w:pPr>
    </w:p>
    <w:p w14:paraId="5E8E9E2A" w14:textId="77777777" w:rsidR="00A5567B" w:rsidRDefault="00A5567B">
      <w:pPr>
        <w:pStyle w:val="Standard"/>
        <w:widowControl/>
        <w:spacing w:line="360" w:lineRule="auto"/>
        <w:jc w:val="both"/>
        <w:rPr>
          <w:rFonts w:ascii="Times New Roman" w:hAnsi="Times New Roman"/>
          <w:color w:val="1C1C1C"/>
        </w:rPr>
      </w:pPr>
    </w:p>
    <w:p w14:paraId="2056A506" w14:textId="77777777" w:rsidR="00A5567B" w:rsidRDefault="00F63440">
      <w:pPr>
        <w:pStyle w:val="Heading1"/>
        <w:spacing w:line="360" w:lineRule="auto"/>
        <w:jc w:val="both"/>
        <w:rPr>
          <w:rFonts w:ascii="Times New Roman" w:hAnsi="Times New Roman"/>
          <w:color w:val="1C1C1C"/>
        </w:rPr>
      </w:pPr>
      <w:r>
        <w:rPr>
          <w:rFonts w:ascii="Times New Roman" w:hAnsi="Times New Roman"/>
          <w:color w:val="1C1C1C"/>
        </w:rPr>
        <w:t>Main body</w:t>
      </w:r>
    </w:p>
    <w:p w14:paraId="3705A302" w14:textId="77777777" w:rsidR="00A5567B" w:rsidRPr="00565E3C" w:rsidRDefault="00F63440">
      <w:pPr>
        <w:pStyle w:val="Heading2"/>
        <w:spacing w:line="360" w:lineRule="auto"/>
        <w:jc w:val="both"/>
        <w:rPr>
          <w:rFonts w:ascii="Times New Roman" w:hAnsi="Times New Roman"/>
          <w:i w:val="0"/>
          <w:iCs w:val="0"/>
          <w:color w:val="1C1C1C"/>
          <w:sz w:val="24"/>
          <w:szCs w:val="24"/>
        </w:rPr>
      </w:pPr>
      <w:r w:rsidRPr="00565E3C">
        <w:rPr>
          <w:rFonts w:ascii="Times New Roman" w:hAnsi="Times New Roman"/>
          <w:i w:val="0"/>
          <w:iCs w:val="0"/>
          <w:color w:val="1C1C1C"/>
          <w:sz w:val="24"/>
          <w:szCs w:val="24"/>
        </w:rPr>
        <w:t>Task 1</w:t>
      </w:r>
    </w:p>
    <w:p w14:paraId="6E4B56AB" w14:textId="5B7BCF4C" w:rsidR="00A5567B" w:rsidRDefault="005A0610" w:rsidP="00E5588D">
      <w:pPr>
        <w:pStyle w:val="Standard"/>
        <w:widowControl/>
        <w:spacing w:line="360" w:lineRule="auto"/>
        <w:jc w:val="both"/>
        <w:rPr>
          <w:rFonts w:ascii="Times New Roman" w:hAnsi="Times New Roman"/>
          <w:color w:val="1C1C1C"/>
        </w:rPr>
      </w:pPr>
      <w:r w:rsidRPr="00887404">
        <w:rPr>
          <w:rFonts w:ascii="Times New Roman" w:hAnsi="Times New Roman"/>
          <w:b/>
          <w:bCs/>
          <w:color w:val="1C1C1C"/>
          <w:sz w:val="28"/>
          <w:szCs w:val="28"/>
        </w:rPr>
        <w:t>1</w:t>
      </w:r>
      <w:r w:rsidRPr="00887404">
        <w:rPr>
          <w:rFonts w:ascii="Times New Roman" w:hAnsi="Times New Roman"/>
          <w:b/>
          <w:bCs/>
          <w:color w:val="1C1C1C"/>
        </w:rPr>
        <w:t>.)</w:t>
      </w:r>
      <w:r>
        <w:rPr>
          <w:rFonts w:ascii="Times New Roman" w:hAnsi="Times New Roman"/>
          <w:color w:val="1C1C1C"/>
        </w:rPr>
        <w:t xml:space="preserve"> </w:t>
      </w:r>
      <w:r w:rsidR="006E2670" w:rsidRPr="006E2670">
        <w:rPr>
          <w:rFonts w:ascii="Times New Roman" w:hAnsi="Times New Roman"/>
          <w:color w:val="1C1C1C"/>
        </w:rPr>
        <w:t>The</w:t>
      </w:r>
      <w:r w:rsidR="004322D0">
        <w:rPr>
          <w:rFonts w:ascii="Times New Roman" w:hAnsi="Times New Roman"/>
          <w:color w:val="1C1C1C"/>
        </w:rPr>
        <w:t xml:space="preserve"> </w:t>
      </w:r>
      <w:r w:rsidR="00D87FE5">
        <w:rPr>
          <w:rFonts w:ascii="Times New Roman" w:hAnsi="Times New Roman"/>
          <w:color w:val="1C1C1C"/>
        </w:rPr>
        <w:t>liquidity</w:t>
      </w:r>
      <w:r w:rsidR="006E2670" w:rsidRPr="006E2670">
        <w:rPr>
          <w:rFonts w:ascii="Times New Roman" w:hAnsi="Times New Roman"/>
          <w:color w:val="1C1C1C"/>
        </w:rPr>
        <w:t xml:space="preserve"> </w:t>
      </w:r>
      <w:r w:rsidR="004602EC">
        <w:rPr>
          <w:rFonts w:ascii="Times New Roman" w:hAnsi="Times New Roman"/>
          <w:color w:val="1C1C1C"/>
        </w:rPr>
        <w:t>movements</w:t>
      </w:r>
      <w:r w:rsidR="006E2670" w:rsidRPr="006E2670">
        <w:rPr>
          <w:rFonts w:ascii="Times New Roman" w:hAnsi="Times New Roman"/>
          <w:color w:val="1C1C1C"/>
        </w:rPr>
        <w:t xml:space="preserve"> statement is a financial statement that summarises the </w:t>
      </w:r>
      <w:r w:rsidR="00677586">
        <w:rPr>
          <w:rFonts w:ascii="Times New Roman" w:hAnsi="Times New Roman"/>
          <w:color w:val="1C1C1C"/>
        </w:rPr>
        <w:t>stream</w:t>
      </w:r>
      <w:r w:rsidR="006E2670" w:rsidRPr="006E2670">
        <w:rPr>
          <w:rFonts w:ascii="Times New Roman" w:hAnsi="Times New Roman"/>
          <w:color w:val="1C1C1C"/>
        </w:rPr>
        <w:t xml:space="preserve"> of cash and cash equivalents into and out of the firm over the accounting period.</w:t>
      </w:r>
      <w:r w:rsidR="006E2670">
        <w:rPr>
          <w:rFonts w:ascii="Times New Roman" w:hAnsi="Times New Roman"/>
          <w:color w:val="1C1C1C"/>
        </w:rPr>
        <w:t xml:space="preserve"> This</w:t>
      </w:r>
      <w:r>
        <w:rPr>
          <w:rFonts w:ascii="Times New Roman" w:hAnsi="Times New Roman"/>
          <w:color w:val="1C1C1C"/>
        </w:rPr>
        <w:t xml:space="preserve"> statement evaluate in what manner the companies are </w:t>
      </w:r>
      <w:r w:rsidR="00442A6F">
        <w:rPr>
          <w:rFonts w:ascii="Times New Roman" w:hAnsi="Times New Roman"/>
          <w:color w:val="1C1C1C"/>
        </w:rPr>
        <w:t>manages</w:t>
      </w:r>
      <w:r>
        <w:rPr>
          <w:rFonts w:ascii="Times New Roman" w:hAnsi="Times New Roman"/>
          <w:color w:val="1C1C1C"/>
        </w:rPr>
        <w:t xml:space="preserve"> their cash position (</w:t>
      </w:r>
      <w:proofErr w:type="spellStart"/>
      <w:proofErr w:type="gramStart"/>
      <w:r>
        <w:rPr>
          <w:rFonts w:ascii="Times New Roman" w:hAnsi="Times New Roman"/>
          <w:color w:val="1C1C1C"/>
        </w:rPr>
        <w:t>Payne,and</w:t>
      </w:r>
      <w:proofErr w:type="spellEnd"/>
      <w:proofErr w:type="gramEnd"/>
      <w:r>
        <w:rPr>
          <w:rFonts w:ascii="Times New Roman" w:hAnsi="Times New Roman"/>
          <w:color w:val="1C1C1C"/>
        </w:rPr>
        <w:t xml:space="preserve"> et.al. 2020). It also complements the income statements and balance sheet. The major factors of CFS involve three areas Operating activities, investing activities, and financing activities. And to calculate these factors there are two method which is direct and indirect method. </w:t>
      </w:r>
      <w:r w:rsidR="00817506" w:rsidRPr="00817506">
        <w:rPr>
          <w:rFonts w:ascii="Times New Roman" w:hAnsi="Times New Roman"/>
          <w:color w:val="1C1C1C"/>
        </w:rPr>
        <w:t xml:space="preserve">The resultant balance at the end of the period </w:t>
      </w:r>
      <w:proofErr w:type="gramStart"/>
      <w:r w:rsidR="00817506" w:rsidRPr="00817506">
        <w:rPr>
          <w:rFonts w:ascii="Times New Roman" w:hAnsi="Times New Roman"/>
          <w:color w:val="1C1C1C"/>
        </w:rPr>
        <w:t>determines</w:t>
      </w:r>
      <w:proofErr w:type="gramEnd"/>
      <w:r w:rsidR="00817506" w:rsidRPr="00817506">
        <w:rPr>
          <w:rFonts w:ascii="Times New Roman" w:hAnsi="Times New Roman"/>
          <w:color w:val="1C1C1C"/>
        </w:rPr>
        <w:t xml:space="preserve"> how much cash is available for the organisation to support its operational expenditures and repay its obligations, and the CFS is equally important to stakeholders since it informs them if a firm is in good financial standing or not.</w:t>
      </w:r>
    </w:p>
    <w:p w14:paraId="5B48E13F" w14:textId="77777777" w:rsidR="00A5567B" w:rsidRDefault="00A5567B">
      <w:pPr>
        <w:pStyle w:val="Standard"/>
        <w:widowControl/>
        <w:spacing w:line="360" w:lineRule="auto"/>
        <w:jc w:val="both"/>
        <w:rPr>
          <w:rFonts w:ascii="Times New Roman" w:hAnsi="Times New Roman"/>
          <w:color w:val="1C1C1C"/>
        </w:rPr>
      </w:pPr>
    </w:p>
    <w:p w14:paraId="19DB4486" w14:textId="21B6A402" w:rsidR="00A5567B" w:rsidRDefault="005A0610" w:rsidP="003A777F">
      <w:pPr>
        <w:pStyle w:val="Standard"/>
        <w:widowControl/>
        <w:spacing w:line="360" w:lineRule="auto"/>
        <w:jc w:val="both"/>
        <w:rPr>
          <w:rFonts w:ascii="Times New Roman" w:hAnsi="Times New Roman"/>
          <w:color w:val="1C1C1C"/>
        </w:rPr>
      </w:pPr>
      <w:r w:rsidRPr="00E5588D">
        <w:rPr>
          <w:rFonts w:ascii="Times New Roman" w:hAnsi="Times New Roman"/>
          <w:b/>
          <w:bCs/>
          <w:color w:val="1C1C1C"/>
          <w:sz w:val="28"/>
          <w:szCs w:val="28"/>
        </w:rPr>
        <w:t>2.</w:t>
      </w:r>
      <w:r>
        <w:rPr>
          <w:rFonts w:ascii="Times New Roman" w:hAnsi="Times New Roman"/>
          <w:b/>
          <w:bCs/>
          <w:color w:val="1C1C1C"/>
          <w:sz w:val="28"/>
          <w:szCs w:val="28"/>
        </w:rPr>
        <w:t>)</w:t>
      </w:r>
      <w:r>
        <w:rPr>
          <w:rFonts w:ascii="Times New Roman" w:hAnsi="Times New Roman"/>
          <w:color w:val="1C1C1C"/>
        </w:rPr>
        <w:t xml:space="preserve"> Non</w:t>
      </w:r>
      <w:r w:rsidR="00E5588D">
        <w:rPr>
          <w:rFonts w:ascii="Times New Roman" w:hAnsi="Times New Roman"/>
          <w:color w:val="1C1C1C"/>
        </w:rPr>
        <w:t>-current</w:t>
      </w:r>
      <w:r>
        <w:rPr>
          <w:rFonts w:ascii="Times New Roman" w:hAnsi="Times New Roman"/>
          <w:color w:val="1C1C1C"/>
        </w:rPr>
        <w:t xml:space="preserve"> assets are things that cannot be moved because these are assets and property owned by </w:t>
      </w:r>
      <w:r w:rsidR="00E5588D">
        <w:rPr>
          <w:rFonts w:ascii="Times New Roman" w:hAnsi="Times New Roman"/>
          <w:color w:val="1C1C1C"/>
        </w:rPr>
        <w:t>an</w:t>
      </w:r>
      <w:r>
        <w:rPr>
          <w:rFonts w:ascii="Times New Roman" w:hAnsi="Times New Roman"/>
          <w:color w:val="1C1C1C"/>
        </w:rPr>
        <w:t xml:space="preserve"> enterprise which are not easily regenerate into cash within a year. These assets are for long-term investment which are used by the business and are </w:t>
      </w:r>
      <w:r w:rsidR="00E5588D">
        <w:rPr>
          <w:rFonts w:ascii="Times New Roman" w:hAnsi="Times New Roman"/>
          <w:color w:val="1C1C1C"/>
        </w:rPr>
        <w:t>expected</w:t>
      </w:r>
      <w:r>
        <w:rPr>
          <w:rFonts w:ascii="Times New Roman" w:hAnsi="Times New Roman"/>
          <w:color w:val="1C1C1C"/>
        </w:rPr>
        <w:t xml:space="preserve"> to </w:t>
      </w:r>
      <w:r w:rsidR="00E5588D">
        <w:rPr>
          <w:rFonts w:ascii="Times New Roman" w:hAnsi="Times New Roman"/>
          <w:color w:val="1C1C1C"/>
        </w:rPr>
        <w:t>aid</w:t>
      </w:r>
      <w:r>
        <w:rPr>
          <w:rFonts w:ascii="Times New Roman" w:hAnsi="Times New Roman"/>
          <w:color w:val="1C1C1C"/>
        </w:rPr>
        <w:t xml:space="preserve"> in yield income. </w:t>
      </w:r>
      <w:r w:rsidR="003A777F" w:rsidRPr="003A777F">
        <w:rPr>
          <w:rFonts w:ascii="Times New Roman" w:hAnsi="Times New Roman"/>
          <w:color w:val="1C1C1C"/>
        </w:rPr>
        <w:t xml:space="preserve">It includes immovable assets such as land, office </w:t>
      </w:r>
      <w:r w:rsidR="00DA11D3">
        <w:rPr>
          <w:rFonts w:ascii="Times New Roman" w:hAnsi="Times New Roman"/>
          <w:color w:val="1C1C1C"/>
        </w:rPr>
        <w:t>properties</w:t>
      </w:r>
      <w:r w:rsidR="003A777F" w:rsidRPr="003A777F">
        <w:rPr>
          <w:rFonts w:ascii="Times New Roman" w:hAnsi="Times New Roman"/>
          <w:color w:val="1C1C1C"/>
        </w:rPr>
        <w:t>, manufacturing plants,</w:t>
      </w:r>
      <w:r w:rsidR="007C4287">
        <w:rPr>
          <w:rFonts w:ascii="Times New Roman" w:hAnsi="Times New Roman"/>
          <w:color w:val="1C1C1C"/>
        </w:rPr>
        <w:t xml:space="preserve"> </w:t>
      </w:r>
      <w:r w:rsidR="00952372">
        <w:rPr>
          <w:rFonts w:ascii="Times New Roman" w:hAnsi="Times New Roman"/>
          <w:color w:val="1C1C1C"/>
        </w:rPr>
        <w:t>automobile,</w:t>
      </w:r>
      <w:r w:rsidR="003A777F" w:rsidRPr="003A777F">
        <w:rPr>
          <w:rFonts w:ascii="Times New Roman" w:hAnsi="Times New Roman"/>
          <w:color w:val="1C1C1C"/>
        </w:rPr>
        <w:t xml:space="preserve"> natural resources, </w:t>
      </w:r>
      <w:r w:rsidR="00C33ADE">
        <w:rPr>
          <w:rFonts w:ascii="Times New Roman" w:hAnsi="Times New Roman"/>
          <w:color w:val="1C1C1C"/>
        </w:rPr>
        <w:t xml:space="preserve">some </w:t>
      </w:r>
      <w:r w:rsidR="003A777F" w:rsidRPr="003A777F">
        <w:rPr>
          <w:rFonts w:ascii="Times New Roman" w:hAnsi="Times New Roman"/>
          <w:color w:val="1C1C1C"/>
        </w:rPr>
        <w:t xml:space="preserve">equipment, and investments such as </w:t>
      </w:r>
      <w:r w:rsidR="008C69AF">
        <w:rPr>
          <w:rFonts w:ascii="Times New Roman" w:hAnsi="Times New Roman"/>
          <w:color w:val="1C1C1C"/>
        </w:rPr>
        <w:t>as</w:t>
      </w:r>
      <w:r w:rsidR="002D49AC">
        <w:rPr>
          <w:rFonts w:ascii="Times New Roman" w:hAnsi="Times New Roman"/>
          <w:color w:val="1C1C1C"/>
        </w:rPr>
        <w:t>sets funds</w:t>
      </w:r>
      <w:r w:rsidR="003A777F" w:rsidRPr="003A777F">
        <w:rPr>
          <w:rFonts w:ascii="Times New Roman" w:hAnsi="Times New Roman"/>
          <w:color w:val="1C1C1C"/>
        </w:rPr>
        <w:t xml:space="preserve">, patents, </w:t>
      </w:r>
      <w:r w:rsidR="00E162CC">
        <w:rPr>
          <w:rFonts w:ascii="Times New Roman" w:hAnsi="Times New Roman"/>
          <w:color w:val="1C1C1C"/>
        </w:rPr>
        <w:t>labels</w:t>
      </w:r>
      <w:r w:rsidR="006548DA">
        <w:rPr>
          <w:rFonts w:ascii="Times New Roman" w:hAnsi="Times New Roman"/>
          <w:color w:val="1C1C1C"/>
        </w:rPr>
        <w:t xml:space="preserve"> etc.</w:t>
      </w:r>
    </w:p>
    <w:p w14:paraId="0BE076EA" w14:textId="77777777" w:rsidR="00A5567B" w:rsidRDefault="00A5567B">
      <w:pPr>
        <w:pStyle w:val="Standard"/>
        <w:widowControl/>
        <w:spacing w:line="360" w:lineRule="auto"/>
        <w:jc w:val="both"/>
        <w:rPr>
          <w:rFonts w:ascii="Times New Roman" w:hAnsi="Times New Roman"/>
          <w:color w:val="1C1C1C"/>
        </w:rPr>
      </w:pPr>
    </w:p>
    <w:p w14:paraId="3D3EA542" w14:textId="50AD7F28" w:rsidR="00A5567B" w:rsidRDefault="005A60C0" w:rsidP="00D50940">
      <w:pPr>
        <w:pStyle w:val="Standard"/>
        <w:widowControl/>
        <w:spacing w:line="360" w:lineRule="auto"/>
        <w:jc w:val="both"/>
        <w:rPr>
          <w:rFonts w:ascii="Times New Roman" w:hAnsi="Times New Roman"/>
          <w:color w:val="1C1C1C"/>
        </w:rPr>
      </w:pPr>
      <w:r w:rsidRPr="005A60C0">
        <w:rPr>
          <w:rFonts w:ascii="Times New Roman" w:hAnsi="Times New Roman"/>
          <w:b/>
          <w:bCs/>
          <w:color w:val="1C1C1C"/>
          <w:sz w:val="28"/>
          <w:szCs w:val="28"/>
        </w:rPr>
        <w:t>3)</w:t>
      </w:r>
      <w:r>
        <w:rPr>
          <w:rFonts w:ascii="Times New Roman" w:hAnsi="Times New Roman"/>
          <w:b/>
          <w:bCs/>
          <w:color w:val="1C1C1C"/>
          <w:sz w:val="28"/>
          <w:szCs w:val="28"/>
        </w:rPr>
        <w:t xml:space="preserve"> </w:t>
      </w:r>
      <w:r>
        <w:rPr>
          <w:rFonts w:ascii="Times New Roman" w:hAnsi="Times New Roman"/>
          <w:color w:val="1C1C1C"/>
        </w:rPr>
        <w:t xml:space="preserve">Shareholders wants financial statements to form informed decisions </w:t>
      </w:r>
      <w:r w:rsidR="003A777F">
        <w:rPr>
          <w:rFonts w:ascii="Times New Roman" w:hAnsi="Times New Roman"/>
          <w:color w:val="1C1C1C"/>
        </w:rPr>
        <w:t>about</w:t>
      </w:r>
      <w:r>
        <w:rPr>
          <w:rFonts w:ascii="Times New Roman" w:hAnsi="Times New Roman"/>
          <w:color w:val="1C1C1C"/>
        </w:rPr>
        <w:t xml:space="preserve"> Investments in equity, majorly when the times comes to vote on corporate matters. financial statements </w:t>
      </w:r>
      <w:r w:rsidR="00CE428D">
        <w:rPr>
          <w:rFonts w:ascii="Times New Roman" w:hAnsi="Times New Roman"/>
          <w:color w:val="1C1C1C"/>
        </w:rPr>
        <w:t>play</w:t>
      </w:r>
      <w:r>
        <w:rPr>
          <w:rFonts w:ascii="Times New Roman" w:hAnsi="Times New Roman"/>
          <w:color w:val="1C1C1C"/>
        </w:rPr>
        <w:t xml:space="preserve"> a vital role for shareholders to </w:t>
      </w:r>
      <w:r w:rsidR="00CE428D">
        <w:rPr>
          <w:rFonts w:ascii="Times New Roman" w:hAnsi="Times New Roman"/>
          <w:color w:val="1C1C1C"/>
        </w:rPr>
        <w:t>have their</w:t>
      </w:r>
      <w:r>
        <w:rPr>
          <w:rFonts w:ascii="Times New Roman" w:hAnsi="Times New Roman"/>
          <w:color w:val="1C1C1C"/>
        </w:rPr>
        <w:t xml:space="preserve"> management to make equity measurement. </w:t>
      </w:r>
      <w:r w:rsidR="00CE428D">
        <w:rPr>
          <w:rFonts w:ascii="Times New Roman" w:hAnsi="Times New Roman"/>
          <w:color w:val="1C1C1C"/>
        </w:rPr>
        <w:t>Managers should</w:t>
      </w:r>
      <w:r>
        <w:rPr>
          <w:rFonts w:ascii="Times New Roman" w:hAnsi="Times New Roman"/>
          <w:color w:val="1C1C1C"/>
        </w:rPr>
        <w:t xml:space="preserve"> only supply fiscal content to the current shareholders of companies because as it gives them the knowledge about </w:t>
      </w:r>
      <w:r>
        <w:rPr>
          <w:rFonts w:ascii="Times New Roman" w:hAnsi="Times New Roman"/>
          <w:color w:val="1C1C1C"/>
        </w:rPr>
        <w:lastRenderedPageBreak/>
        <w:t xml:space="preserve">the current statement which shows how much money </w:t>
      </w:r>
      <w:proofErr w:type="spellStart"/>
      <w:proofErr w:type="gramStart"/>
      <w:r>
        <w:rPr>
          <w:rFonts w:ascii="Times New Roman" w:hAnsi="Times New Roman"/>
          <w:color w:val="1C1C1C"/>
        </w:rPr>
        <w:t>a</w:t>
      </w:r>
      <w:proofErr w:type="spellEnd"/>
      <w:proofErr w:type="gramEnd"/>
      <w:r>
        <w:rPr>
          <w:rFonts w:ascii="Times New Roman" w:hAnsi="Times New Roman"/>
          <w:color w:val="1C1C1C"/>
        </w:rPr>
        <w:t xml:space="preserve"> organization made and washed-out over a specific period of time. So, to make them realize about</w:t>
      </w:r>
    </w:p>
    <w:p w14:paraId="27569BEF"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the company and enhance the engagement of them in the working of the company.</w:t>
      </w:r>
    </w:p>
    <w:p w14:paraId="40A8FA30" w14:textId="77777777" w:rsidR="00A5567B" w:rsidRDefault="00A5567B">
      <w:pPr>
        <w:pStyle w:val="Standard"/>
        <w:widowControl/>
        <w:spacing w:line="360" w:lineRule="auto"/>
        <w:jc w:val="both"/>
        <w:rPr>
          <w:rFonts w:ascii="Times New Roman" w:hAnsi="Times New Roman"/>
          <w:color w:val="1C1C1C"/>
        </w:rPr>
      </w:pPr>
    </w:p>
    <w:p w14:paraId="2D92DF87" w14:textId="3D3DAF68" w:rsidR="00A5567B" w:rsidRDefault="00054AA8" w:rsidP="00D50940">
      <w:pPr>
        <w:pStyle w:val="Standard"/>
        <w:widowControl/>
        <w:spacing w:line="360" w:lineRule="auto"/>
        <w:jc w:val="both"/>
        <w:rPr>
          <w:rFonts w:ascii="Times New Roman" w:hAnsi="Times New Roman"/>
          <w:color w:val="1C1C1C"/>
        </w:rPr>
      </w:pPr>
      <w:r w:rsidRPr="00054AA8">
        <w:rPr>
          <w:rFonts w:ascii="Times New Roman" w:hAnsi="Times New Roman"/>
          <w:b/>
          <w:bCs/>
          <w:color w:val="1C1C1C"/>
          <w:sz w:val="28"/>
          <w:szCs w:val="28"/>
        </w:rPr>
        <w:t>4)</w:t>
      </w:r>
      <w:r>
        <w:rPr>
          <w:rFonts w:ascii="Times New Roman" w:hAnsi="Times New Roman"/>
          <w:b/>
          <w:bCs/>
          <w:color w:val="1C1C1C"/>
          <w:sz w:val="28"/>
          <w:szCs w:val="28"/>
        </w:rPr>
        <w:t xml:space="preserve"> </w:t>
      </w:r>
      <w:r w:rsidR="00E5588D">
        <w:rPr>
          <w:rFonts w:ascii="Times New Roman" w:hAnsi="Times New Roman"/>
          <w:color w:val="1C1C1C"/>
        </w:rPr>
        <w:t>No need</w:t>
      </w:r>
      <w:r>
        <w:rPr>
          <w:rFonts w:ascii="Times New Roman" w:hAnsi="Times New Roman"/>
          <w:color w:val="1C1C1C"/>
        </w:rPr>
        <w:t xml:space="preserve"> to include prepayments and accruals on the statement of the financial position. </w:t>
      </w:r>
      <w:r w:rsidR="00E5588D">
        <w:rPr>
          <w:rFonts w:ascii="Times New Roman" w:hAnsi="Times New Roman"/>
          <w:color w:val="1C1C1C"/>
        </w:rPr>
        <w:t>Well,</w:t>
      </w:r>
      <w:r>
        <w:rPr>
          <w:rFonts w:ascii="Times New Roman" w:hAnsi="Times New Roman"/>
          <w:color w:val="1C1C1C"/>
        </w:rPr>
        <w:t xml:space="preserve"> it is necessary to introduce accruals and prepayments </w:t>
      </w:r>
      <w:r w:rsidR="00520E5E">
        <w:rPr>
          <w:rFonts w:ascii="Times New Roman" w:hAnsi="Times New Roman"/>
          <w:color w:val="1C1C1C"/>
        </w:rPr>
        <w:t>must</w:t>
      </w:r>
      <w:r>
        <w:rPr>
          <w:rFonts w:ascii="Times New Roman" w:hAnsi="Times New Roman"/>
          <w:color w:val="1C1C1C"/>
        </w:rPr>
        <w:t xml:space="preserve"> </w:t>
      </w:r>
      <w:r w:rsidR="00E5588D">
        <w:rPr>
          <w:rFonts w:ascii="Times New Roman" w:hAnsi="Times New Roman"/>
          <w:color w:val="1C1C1C"/>
        </w:rPr>
        <w:t>adjust for</w:t>
      </w:r>
      <w:r>
        <w:rPr>
          <w:rFonts w:ascii="Times New Roman" w:hAnsi="Times New Roman"/>
          <w:color w:val="1C1C1C"/>
        </w:rPr>
        <w:t xml:space="preserve"> owed amounts and the amounts cashed that associate to other </w:t>
      </w:r>
      <w:r w:rsidR="00520E5E">
        <w:rPr>
          <w:rFonts w:ascii="Times New Roman" w:hAnsi="Times New Roman"/>
          <w:color w:val="1C1C1C"/>
        </w:rPr>
        <w:t>time</w:t>
      </w:r>
      <w:r>
        <w:rPr>
          <w:rFonts w:ascii="Times New Roman" w:hAnsi="Times New Roman"/>
          <w:color w:val="1C1C1C"/>
        </w:rPr>
        <w:t xml:space="preserve"> to </w:t>
      </w:r>
      <w:r w:rsidR="00520E5E">
        <w:rPr>
          <w:rFonts w:ascii="Times New Roman" w:hAnsi="Times New Roman"/>
          <w:color w:val="1C1C1C"/>
        </w:rPr>
        <w:t>get</w:t>
      </w:r>
      <w:r>
        <w:rPr>
          <w:rFonts w:ascii="Times New Roman" w:hAnsi="Times New Roman"/>
          <w:color w:val="1C1C1C"/>
        </w:rPr>
        <w:t xml:space="preserve"> the </w:t>
      </w:r>
      <w:r w:rsidR="00520E5E">
        <w:rPr>
          <w:rFonts w:ascii="Times New Roman" w:hAnsi="Times New Roman"/>
          <w:color w:val="1C1C1C"/>
        </w:rPr>
        <w:t>correct</w:t>
      </w:r>
      <w:r>
        <w:rPr>
          <w:rFonts w:ascii="Times New Roman" w:hAnsi="Times New Roman"/>
          <w:color w:val="1C1C1C"/>
        </w:rPr>
        <w:t xml:space="preserve"> accusation in the statement of profit or loss (</w:t>
      </w:r>
      <w:proofErr w:type="spellStart"/>
      <w:r>
        <w:rPr>
          <w:rFonts w:ascii="Times New Roman" w:hAnsi="Times New Roman"/>
          <w:color w:val="1C1C1C"/>
        </w:rPr>
        <w:t>Rogošić</w:t>
      </w:r>
      <w:proofErr w:type="spellEnd"/>
      <w:r>
        <w:rPr>
          <w:rFonts w:ascii="Times New Roman" w:hAnsi="Times New Roman"/>
          <w:color w:val="1C1C1C"/>
        </w:rPr>
        <w:t xml:space="preserve">, and </w:t>
      </w:r>
      <w:r w:rsidR="00E5588D">
        <w:rPr>
          <w:rFonts w:ascii="Times New Roman" w:hAnsi="Times New Roman"/>
          <w:color w:val="1C1C1C"/>
        </w:rPr>
        <w:t>Perica, 2023</w:t>
      </w:r>
      <w:r>
        <w:rPr>
          <w:rFonts w:ascii="Times New Roman" w:hAnsi="Times New Roman"/>
          <w:color w:val="1C1C1C"/>
        </w:rPr>
        <w:t xml:space="preserve">). for example: </w:t>
      </w:r>
      <w:r w:rsidR="00E5588D">
        <w:rPr>
          <w:rFonts w:ascii="Times New Roman" w:hAnsi="Times New Roman"/>
          <w:color w:val="1C1C1C"/>
        </w:rPr>
        <w:t>The payment</w:t>
      </w:r>
      <w:r>
        <w:rPr>
          <w:rFonts w:ascii="Times New Roman" w:hAnsi="Times New Roman"/>
          <w:color w:val="1C1C1C"/>
        </w:rPr>
        <w:t xml:space="preserve"> of the bank </w:t>
      </w:r>
      <w:r w:rsidR="00E5588D">
        <w:rPr>
          <w:rFonts w:ascii="Times New Roman" w:hAnsi="Times New Roman"/>
          <w:color w:val="1C1C1C"/>
        </w:rPr>
        <w:t>over the</w:t>
      </w:r>
      <w:r>
        <w:rPr>
          <w:rFonts w:ascii="Times New Roman" w:hAnsi="Times New Roman"/>
          <w:color w:val="1C1C1C"/>
        </w:rPr>
        <w:t xml:space="preserve"> year </w:t>
      </w:r>
      <w:r w:rsidR="00E5588D">
        <w:rPr>
          <w:rFonts w:ascii="Times New Roman" w:hAnsi="Times New Roman"/>
          <w:color w:val="1C1C1C"/>
        </w:rPr>
        <w:t>may associate</w:t>
      </w:r>
      <w:r>
        <w:rPr>
          <w:rFonts w:ascii="Times New Roman" w:hAnsi="Times New Roman"/>
          <w:color w:val="1C1C1C"/>
        </w:rPr>
        <w:t xml:space="preserve"> to 10 months of our accountancy </w:t>
      </w:r>
      <w:r w:rsidR="00520E5E">
        <w:rPr>
          <w:rFonts w:ascii="Times New Roman" w:hAnsi="Times New Roman"/>
          <w:color w:val="1C1C1C"/>
        </w:rPr>
        <w:t>period</w:t>
      </w:r>
      <w:r>
        <w:rPr>
          <w:rFonts w:ascii="Times New Roman" w:hAnsi="Times New Roman"/>
          <w:color w:val="1C1C1C"/>
        </w:rPr>
        <w:t xml:space="preserve"> but there is requirement to record the full 12 months. So, Accruals and prepayments alter in the expense account roughly the bank payments so that precisely 12 months disbursement is transcribed.</w:t>
      </w:r>
    </w:p>
    <w:p w14:paraId="7695FA95" w14:textId="77777777" w:rsidR="00A5567B" w:rsidRDefault="00A5567B">
      <w:pPr>
        <w:pStyle w:val="Standard"/>
        <w:widowControl/>
        <w:spacing w:line="360" w:lineRule="auto"/>
        <w:jc w:val="both"/>
        <w:rPr>
          <w:rFonts w:ascii="Times New Roman" w:hAnsi="Times New Roman"/>
          <w:color w:val="1C1C1C"/>
        </w:rPr>
      </w:pPr>
    </w:p>
    <w:p w14:paraId="72BB1D56" w14:textId="5B9AFEC5" w:rsidR="00A5567B" w:rsidRDefault="00054AA8" w:rsidP="00D50940">
      <w:pPr>
        <w:pStyle w:val="Standard"/>
        <w:widowControl/>
        <w:spacing w:line="360" w:lineRule="auto"/>
        <w:jc w:val="both"/>
        <w:rPr>
          <w:rFonts w:ascii="Times New Roman" w:hAnsi="Times New Roman"/>
          <w:color w:val="1C1C1C"/>
        </w:rPr>
      </w:pPr>
      <w:r w:rsidRPr="00054AA8">
        <w:rPr>
          <w:rFonts w:ascii="Times New Roman" w:hAnsi="Times New Roman"/>
          <w:b/>
          <w:bCs/>
          <w:color w:val="1C1C1C"/>
          <w:sz w:val="28"/>
          <w:szCs w:val="28"/>
        </w:rPr>
        <w:t>5)</w:t>
      </w:r>
      <w:r>
        <w:rPr>
          <w:rFonts w:ascii="Times New Roman" w:hAnsi="Times New Roman"/>
          <w:color w:val="1C1C1C"/>
        </w:rPr>
        <w:t xml:space="preserve"> Regulation over financial account is the artefact and fixture of marketplace which are automatic-regulating and high-risk but avoid safety. Institutionalizing the differentiation among jeopardy and safety is the key to coming together this accusative. Situations of Risky are ambivalent but controllable.</w:t>
      </w:r>
    </w:p>
    <w:p w14:paraId="0F616C26" w14:textId="77777777" w:rsidR="00A5567B" w:rsidRDefault="00A5567B">
      <w:pPr>
        <w:pStyle w:val="Standard"/>
        <w:widowControl/>
        <w:spacing w:line="360" w:lineRule="auto"/>
        <w:jc w:val="both"/>
        <w:rPr>
          <w:rFonts w:ascii="Times New Roman" w:hAnsi="Times New Roman"/>
          <w:color w:val="1C1C1C"/>
        </w:rPr>
      </w:pPr>
    </w:p>
    <w:p w14:paraId="277EA3AE" w14:textId="4D65456F" w:rsidR="00A5567B" w:rsidRDefault="00054AA8" w:rsidP="00D50940">
      <w:pPr>
        <w:pStyle w:val="Standard"/>
        <w:widowControl/>
        <w:spacing w:line="360" w:lineRule="auto"/>
        <w:jc w:val="both"/>
        <w:rPr>
          <w:rFonts w:ascii="Times New Roman" w:hAnsi="Times New Roman"/>
          <w:color w:val="1C1C1C"/>
        </w:rPr>
      </w:pPr>
      <w:r w:rsidRPr="00054AA8">
        <w:rPr>
          <w:rFonts w:ascii="Times New Roman" w:hAnsi="Times New Roman"/>
          <w:b/>
          <w:bCs/>
          <w:color w:val="1C1C1C"/>
          <w:sz w:val="28"/>
          <w:szCs w:val="28"/>
        </w:rPr>
        <w:t>6)</w:t>
      </w:r>
      <w:r>
        <w:rPr>
          <w:rFonts w:ascii="Times New Roman" w:hAnsi="Times New Roman"/>
          <w:color w:val="1C1C1C"/>
        </w:rPr>
        <w:t xml:space="preserve"> Yes. It essential to balance ledger accounts and trial balance before preparing financial statements because </w:t>
      </w:r>
      <w:r w:rsidR="009F26EF">
        <w:rPr>
          <w:rFonts w:ascii="Times New Roman" w:hAnsi="Times New Roman"/>
          <w:color w:val="1C1C1C"/>
        </w:rPr>
        <w:t>to</w:t>
      </w:r>
      <w:r>
        <w:rPr>
          <w:rFonts w:ascii="Times New Roman" w:hAnsi="Times New Roman"/>
          <w:color w:val="1C1C1C"/>
        </w:rPr>
        <w:t xml:space="preserve"> discover any mathematical mistake that have happen in the double entry accounting system. Trial balance is a database of the ledger accounts which includes their debit or credit balances to </w:t>
      </w:r>
      <w:r w:rsidR="009F26EF">
        <w:rPr>
          <w:rFonts w:ascii="Times New Roman" w:hAnsi="Times New Roman"/>
          <w:color w:val="1C1C1C"/>
        </w:rPr>
        <w:t>find</w:t>
      </w:r>
      <w:r>
        <w:rPr>
          <w:rFonts w:ascii="Times New Roman" w:hAnsi="Times New Roman"/>
          <w:color w:val="1C1C1C"/>
        </w:rPr>
        <w:t xml:space="preserve"> the debits equal credits in the transcription activity (</w:t>
      </w:r>
      <w:proofErr w:type="spellStart"/>
      <w:r>
        <w:rPr>
          <w:rFonts w:ascii="Times New Roman" w:hAnsi="Times New Roman"/>
          <w:color w:val="1C1C1C"/>
        </w:rPr>
        <w:t>Fridson</w:t>
      </w:r>
      <w:proofErr w:type="spellEnd"/>
      <w:r>
        <w:rPr>
          <w:rFonts w:ascii="Times New Roman" w:hAnsi="Times New Roman"/>
          <w:color w:val="1C1C1C"/>
        </w:rPr>
        <w:t xml:space="preserve">, and Alvarez, 2022). Set up and </w:t>
      </w:r>
      <w:r w:rsidR="009F26EF">
        <w:rPr>
          <w:rFonts w:ascii="Times New Roman" w:hAnsi="Times New Roman"/>
          <w:color w:val="1C1C1C"/>
        </w:rPr>
        <w:t>change</w:t>
      </w:r>
      <w:r>
        <w:rPr>
          <w:rFonts w:ascii="Times New Roman" w:hAnsi="Times New Roman"/>
          <w:color w:val="1C1C1C"/>
        </w:rPr>
        <w:t xml:space="preserve"> trial balances </w:t>
      </w:r>
      <w:r w:rsidR="009F26EF">
        <w:rPr>
          <w:rFonts w:ascii="Times New Roman" w:hAnsi="Times New Roman"/>
          <w:color w:val="1C1C1C"/>
        </w:rPr>
        <w:t>help</w:t>
      </w:r>
      <w:r>
        <w:rPr>
          <w:rFonts w:ascii="Times New Roman" w:hAnsi="Times New Roman"/>
          <w:color w:val="1C1C1C"/>
        </w:rPr>
        <w:t xml:space="preserve"> in the formulation of </w:t>
      </w:r>
      <w:r w:rsidR="00887404">
        <w:rPr>
          <w:rFonts w:ascii="Times New Roman" w:hAnsi="Times New Roman"/>
          <w:color w:val="1C1C1C"/>
        </w:rPr>
        <w:t>correct</w:t>
      </w:r>
      <w:r>
        <w:rPr>
          <w:rFonts w:ascii="Times New Roman" w:hAnsi="Times New Roman"/>
          <w:color w:val="1C1C1C"/>
        </w:rPr>
        <w:t xml:space="preserve"> fiscal </w:t>
      </w:r>
      <w:r w:rsidR="00520E5E">
        <w:rPr>
          <w:rFonts w:ascii="Times New Roman" w:hAnsi="Times New Roman"/>
          <w:color w:val="1C1C1C"/>
        </w:rPr>
        <w:t>statements.</w:t>
      </w:r>
    </w:p>
    <w:p w14:paraId="405A14B1" w14:textId="77777777" w:rsidR="00A5567B" w:rsidRDefault="00A5567B">
      <w:pPr>
        <w:pStyle w:val="Heading2"/>
        <w:spacing w:line="360" w:lineRule="auto"/>
        <w:jc w:val="both"/>
        <w:rPr>
          <w:rFonts w:ascii="Times New Roman" w:hAnsi="Times New Roman"/>
          <w:color w:val="1C1C1C"/>
          <w:sz w:val="24"/>
          <w:szCs w:val="24"/>
        </w:rPr>
      </w:pPr>
    </w:p>
    <w:p w14:paraId="5AD892E8" w14:textId="77777777" w:rsidR="00A5567B" w:rsidRDefault="00A5567B">
      <w:pPr>
        <w:pStyle w:val="Heading2"/>
        <w:spacing w:line="360" w:lineRule="auto"/>
        <w:jc w:val="both"/>
        <w:rPr>
          <w:rFonts w:ascii="Times New Roman" w:hAnsi="Times New Roman"/>
          <w:color w:val="1C1C1C"/>
          <w:sz w:val="24"/>
          <w:szCs w:val="24"/>
        </w:rPr>
      </w:pPr>
    </w:p>
    <w:p w14:paraId="4188A87F" w14:textId="77777777" w:rsidR="00A5567B" w:rsidRPr="00565E3C" w:rsidRDefault="00F63440">
      <w:pPr>
        <w:pStyle w:val="Heading2"/>
        <w:spacing w:line="360" w:lineRule="auto"/>
        <w:jc w:val="both"/>
        <w:rPr>
          <w:rFonts w:ascii="Times New Roman" w:hAnsi="Times New Roman"/>
          <w:i w:val="0"/>
          <w:iCs w:val="0"/>
          <w:color w:val="1C1C1C"/>
          <w:sz w:val="24"/>
          <w:szCs w:val="24"/>
        </w:rPr>
      </w:pPr>
      <w:r w:rsidRPr="00565E3C">
        <w:rPr>
          <w:rFonts w:ascii="Times New Roman" w:hAnsi="Times New Roman"/>
          <w:i w:val="0"/>
          <w:iCs w:val="0"/>
          <w:color w:val="1C1C1C"/>
          <w:sz w:val="24"/>
          <w:szCs w:val="24"/>
        </w:rPr>
        <w:t>Task 2</w:t>
      </w:r>
    </w:p>
    <w:p w14:paraId="32B4DE4A" w14:textId="77777777" w:rsidR="00A5567B" w:rsidRDefault="00A5567B">
      <w:pPr>
        <w:pStyle w:val="Standard"/>
        <w:widowControl/>
        <w:spacing w:line="360" w:lineRule="auto"/>
        <w:jc w:val="both"/>
        <w:rPr>
          <w:rFonts w:ascii="Times New Roman" w:hAnsi="Times New Roman"/>
          <w:color w:val="1C1C1C"/>
        </w:rPr>
      </w:pPr>
    </w:p>
    <w:p w14:paraId="5FC081AA" w14:textId="77777777" w:rsidR="00A5567B" w:rsidRPr="002471A2" w:rsidRDefault="00F63440">
      <w:pPr>
        <w:pStyle w:val="Standard"/>
        <w:widowControl/>
        <w:spacing w:line="360" w:lineRule="auto"/>
        <w:jc w:val="both"/>
        <w:rPr>
          <w:rFonts w:ascii="Times New Roman" w:hAnsi="Times New Roman"/>
          <w:color w:val="1C1C1C"/>
          <w:sz w:val="28"/>
          <w:szCs w:val="28"/>
        </w:rPr>
      </w:pPr>
      <w:r w:rsidRPr="002471A2">
        <w:rPr>
          <w:rFonts w:ascii="Times New Roman" w:hAnsi="Times New Roman"/>
          <w:color w:val="1C1C1C"/>
          <w:sz w:val="28"/>
          <w:szCs w:val="28"/>
        </w:rPr>
        <w:t xml:space="preserve"> </w:t>
      </w:r>
      <w:r w:rsidRPr="002471A2">
        <w:rPr>
          <w:rFonts w:ascii="Times New Roman" w:hAnsi="Times New Roman"/>
          <w:b/>
          <w:bCs/>
          <w:i/>
          <w:iCs/>
          <w:color w:val="1C1C1C"/>
          <w:sz w:val="28"/>
          <w:szCs w:val="28"/>
        </w:rPr>
        <w:t>Income statement for Wales plc</w:t>
      </w:r>
    </w:p>
    <w:p w14:paraId="773B4D37" w14:textId="77777777" w:rsidR="00A5567B" w:rsidRDefault="00A5567B">
      <w:pPr>
        <w:pStyle w:val="Standard"/>
        <w:widowControl/>
        <w:spacing w:line="360" w:lineRule="auto"/>
        <w:jc w:val="both"/>
        <w:rPr>
          <w:rFonts w:ascii="Times New Roman" w:hAnsi="Times New Roman"/>
          <w:color w:val="1C1C1C"/>
        </w:rPr>
      </w:pPr>
    </w:p>
    <w:tbl>
      <w:tblPr>
        <w:tblW w:w="9638" w:type="dxa"/>
        <w:tblLayout w:type="fixed"/>
        <w:tblCellMar>
          <w:left w:w="10" w:type="dxa"/>
          <w:right w:w="10" w:type="dxa"/>
        </w:tblCellMar>
        <w:tblLook w:val="04A0" w:firstRow="1" w:lastRow="0" w:firstColumn="1" w:lastColumn="0" w:noHBand="0" w:noVBand="1"/>
      </w:tblPr>
      <w:tblGrid>
        <w:gridCol w:w="4819"/>
        <w:gridCol w:w="4819"/>
      </w:tblGrid>
      <w:tr w:rsidR="00A5567B" w14:paraId="0E47640C" w14:textId="77777777">
        <w:tc>
          <w:tcPr>
            <w:tcW w:w="4819" w:type="dxa"/>
            <w:tcBorders>
              <w:top w:val="single" w:sz="2" w:space="0" w:color="000000"/>
              <w:left w:val="single" w:sz="2" w:space="0" w:color="000000"/>
              <w:bottom w:val="single" w:sz="2" w:space="0" w:color="000000"/>
            </w:tcBorders>
            <w:tcMar>
              <w:top w:w="55" w:type="dxa"/>
              <w:left w:w="55" w:type="dxa"/>
              <w:bottom w:w="55" w:type="dxa"/>
              <w:right w:w="55" w:type="dxa"/>
            </w:tcMar>
          </w:tcPr>
          <w:p w14:paraId="390E3DDA"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Particulars</w:t>
            </w:r>
          </w:p>
        </w:tc>
        <w:tc>
          <w:tcPr>
            <w:tcW w:w="4819"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7267AC3C"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Amount</w:t>
            </w:r>
          </w:p>
        </w:tc>
      </w:tr>
      <w:tr w:rsidR="00A5567B" w14:paraId="1917A5F9" w14:textId="77777777">
        <w:tc>
          <w:tcPr>
            <w:tcW w:w="4819" w:type="dxa"/>
            <w:tcBorders>
              <w:left w:val="single" w:sz="2" w:space="0" w:color="000000"/>
              <w:bottom w:val="single" w:sz="2" w:space="0" w:color="000000"/>
            </w:tcBorders>
            <w:tcMar>
              <w:top w:w="55" w:type="dxa"/>
              <w:left w:w="55" w:type="dxa"/>
              <w:bottom w:w="55" w:type="dxa"/>
              <w:right w:w="55" w:type="dxa"/>
            </w:tcMar>
          </w:tcPr>
          <w:p w14:paraId="63D5E9B6"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X Revenue</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2073E4A7"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800,000.00</w:t>
            </w:r>
          </w:p>
        </w:tc>
      </w:tr>
      <w:tr w:rsidR="00A5567B" w14:paraId="37FA8ACE" w14:textId="77777777">
        <w:tc>
          <w:tcPr>
            <w:tcW w:w="4819" w:type="dxa"/>
            <w:tcBorders>
              <w:left w:val="single" w:sz="2" w:space="0" w:color="000000"/>
              <w:bottom w:val="single" w:sz="2" w:space="0" w:color="000000"/>
            </w:tcBorders>
            <w:tcMar>
              <w:top w:w="55" w:type="dxa"/>
              <w:left w:w="55" w:type="dxa"/>
              <w:bottom w:w="55" w:type="dxa"/>
              <w:right w:w="55" w:type="dxa"/>
            </w:tcMar>
          </w:tcPr>
          <w:p w14:paraId="3B4709FD"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Cost of sales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2F570228"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578,650.00</w:t>
            </w:r>
          </w:p>
        </w:tc>
      </w:tr>
      <w:tr w:rsidR="00A5567B" w14:paraId="7B9DAAF9" w14:textId="77777777">
        <w:tc>
          <w:tcPr>
            <w:tcW w:w="4819" w:type="dxa"/>
            <w:tcBorders>
              <w:left w:val="single" w:sz="2" w:space="0" w:color="000000"/>
              <w:bottom w:val="single" w:sz="2" w:space="0" w:color="000000"/>
            </w:tcBorders>
            <w:tcMar>
              <w:top w:w="55" w:type="dxa"/>
              <w:left w:w="55" w:type="dxa"/>
              <w:bottom w:w="55" w:type="dxa"/>
              <w:right w:w="55" w:type="dxa"/>
            </w:tcMar>
          </w:tcPr>
          <w:p w14:paraId="21ABC53F"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lastRenderedPageBreak/>
              <w:t>Gross profit</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5BAD581"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221,350.00</w:t>
            </w:r>
          </w:p>
        </w:tc>
      </w:tr>
      <w:tr w:rsidR="00A5567B" w14:paraId="6A6973A9" w14:textId="77777777">
        <w:tc>
          <w:tcPr>
            <w:tcW w:w="4819" w:type="dxa"/>
            <w:tcBorders>
              <w:left w:val="single" w:sz="2" w:space="0" w:color="000000"/>
              <w:bottom w:val="single" w:sz="2" w:space="0" w:color="000000"/>
            </w:tcBorders>
            <w:tcMar>
              <w:top w:w="55" w:type="dxa"/>
              <w:left w:w="55" w:type="dxa"/>
              <w:bottom w:w="55" w:type="dxa"/>
              <w:right w:w="55" w:type="dxa"/>
            </w:tcMar>
          </w:tcPr>
          <w:p w14:paraId="6AB50EFC"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 Administrative expenses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F0CD58E"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30,000.00</w:t>
            </w:r>
          </w:p>
        </w:tc>
      </w:tr>
      <w:tr w:rsidR="00A5567B" w14:paraId="6A3F37C8" w14:textId="77777777">
        <w:tc>
          <w:tcPr>
            <w:tcW w:w="4819" w:type="dxa"/>
            <w:tcBorders>
              <w:left w:val="single" w:sz="2" w:space="0" w:color="000000"/>
              <w:bottom w:val="single" w:sz="2" w:space="0" w:color="000000"/>
            </w:tcBorders>
            <w:tcMar>
              <w:top w:w="55" w:type="dxa"/>
              <w:left w:w="55" w:type="dxa"/>
              <w:bottom w:w="55" w:type="dxa"/>
              <w:right w:w="55" w:type="dxa"/>
            </w:tcMar>
          </w:tcPr>
          <w:p w14:paraId="6A871ABF"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Interest paid</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C19F0FE"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 2,000.00</w:t>
            </w:r>
          </w:p>
        </w:tc>
      </w:tr>
      <w:tr w:rsidR="00A5567B" w14:paraId="31C27677" w14:textId="77777777">
        <w:tc>
          <w:tcPr>
            <w:tcW w:w="4819" w:type="dxa"/>
            <w:tcBorders>
              <w:left w:val="single" w:sz="2" w:space="0" w:color="000000"/>
              <w:bottom w:val="single" w:sz="2" w:space="0" w:color="000000"/>
            </w:tcBorders>
            <w:tcMar>
              <w:top w:w="55" w:type="dxa"/>
              <w:left w:w="55" w:type="dxa"/>
              <w:bottom w:w="55" w:type="dxa"/>
              <w:right w:w="55" w:type="dxa"/>
            </w:tcMar>
          </w:tcPr>
          <w:p w14:paraId="164BE8FF"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Directors’ </w:t>
            </w:r>
            <w:proofErr w:type="gramStart"/>
            <w:r>
              <w:rPr>
                <w:rFonts w:ascii="Times New Roman" w:hAnsi="Times New Roman"/>
                <w:color w:val="1C1C1C"/>
              </w:rPr>
              <w:t>remuneration</w:t>
            </w:r>
            <w:proofErr w:type="gramEnd"/>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79364358"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5,000.00</w:t>
            </w:r>
          </w:p>
        </w:tc>
      </w:tr>
      <w:tr w:rsidR="00A5567B" w14:paraId="625E623E" w14:textId="77777777">
        <w:tc>
          <w:tcPr>
            <w:tcW w:w="4819" w:type="dxa"/>
            <w:tcBorders>
              <w:left w:val="single" w:sz="2" w:space="0" w:color="000000"/>
              <w:bottom w:val="single" w:sz="2" w:space="0" w:color="000000"/>
            </w:tcBorders>
            <w:tcMar>
              <w:top w:w="55" w:type="dxa"/>
              <w:left w:w="55" w:type="dxa"/>
              <w:bottom w:w="55" w:type="dxa"/>
              <w:right w:w="55" w:type="dxa"/>
            </w:tcMar>
          </w:tcPr>
          <w:p w14:paraId="0C477180"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Distribution costs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2BD9ECCE"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28,000.00</w:t>
            </w:r>
          </w:p>
        </w:tc>
      </w:tr>
      <w:tr w:rsidR="00A5567B" w14:paraId="286E991A" w14:textId="77777777">
        <w:tc>
          <w:tcPr>
            <w:tcW w:w="4819" w:type="dxa"/>
            <w:tcBorders>
              <w:left w:val="single" w:sz="2" w:space="0" w:color="000000"/>
              <w:bottom w:val="single" w:sz="2" w:space="0" w:color="000000"/>
            </w:tcBorders>
            <w:tcMar>
              <w:top w:w="55" w:type="dxa"/>
              <w:left w:w="55" w:type="dxa"/>
              <w:bottom w:w="55" w:type="dxa"/>
              <w:right w:w="55" w:type="dxa"/>
            </w:tcMar>
          </w:tcPr>
          <w:p w14:paraId="59EBC255"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Operating profit</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448B209A"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13,2000.00</w:t>
            </w:r>
          </w:p>
        </w:tc>
      </w:tr>
      <w:tr w:rsidR="00A5567B" w14:paraId="39C95725" w14:textId="77777777">
        <w:tc>
          <w:tcPr>
            <w:tcW w:w="4819" w:type="dxa"/>
            <w:tcBorders>
              <w:left w:val="single" w:sz="2" w:space="0" w:color="000000"/>
              <w:bottom w:val="single" w:sz="2" w:space="0" w:color="000000"/>
            </w:tcBorders>
            <w:tcMar>
              <w:top w:w="55" w:type="dxa"/>
              <w:left w:w="55" w:type="dxa"/>
              <w:bottom w:w="55" w:type="dxa"/>
              <w:right w:w="55" w:type="dxa"/>
            </w:tcMar>
          </w:tcPr>
          <w:p w14:paraId="35F4362A"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Profit before tax</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74CEBA2D"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353,350.00</w:t>
            </w:r>
          </w:p>
        </w:tc>
      </w:tr>
      <w:tr w:rsidR="00A5567B" w14:paraId="4EC2F23D" w14:textId="77777777">
        <w:tc>
          <w:tcPr>
            <w:tcW w:w="4819" w:type="dxa"/>
            <w:tcBorders>
              <w:left w:val="single" w:sz="2" w:space="0" w:color="000000"/>
              <w:bottom w:val="single" w:sz="2" w:space="0" w:color="000000"/>
            </w:tcBorders>
            <w:tcMar>
              <w:top w:w="55" w:type="dxa"/>
              <w:left w:w="55" w:type="dxa"/>
              <w:bottom w:w="55" w:type="dxa"/>
              <w:right w:w="55" w:type="dxa"/>
            </w:tcMar>
          </w:tcPr>
          <w:p w14:paraId="7C20F796"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Taxation</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17C72AD5"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100,000.00</w:t>
            </w:r>
          </w:p>
        </w:tc>
      </w:tr>
      <w:tr w:rsidR="00A5567B" w14:paraId="355066EC" w14:textId="77777777">
        <w:tc>
          <w:tcPr>
            <w:tcW w:w="4819" w:type="dxa"/>
            <w:tcBorders>
              <w:left w:val="single" w:sz="2" w:space="0" w:color="000000"/>
              <w:bottom w:val="single" w:sz="2" w:space="0" w:color="000000"/>
            </w:tcBorders>
            <w:tcMar>
              <w:top w:w="55" w:type="dxa"/>
              <w:left w:w="55" w:type="dxa"/>
              <w:bottom w:w="55" w:type="dxa"/>
              <w:right w:w="55" w:type="dxa"/>
            </w:tcMar>
          </w:tcPr>
          <w:p w14:paraId="27D3E53B"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Profit for the period</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070DBE76"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253,350.00</w:t>
            </w:r>
          </w:p>
        </w:tc>
      </w:tr>
    </w:tbl>
    <w:p w14:paraId="68892C18" w14:textId="77777777" w:rsidR="00A5567B" w:rsidRDefault="00A5567B">
      <w:pPr>
        <w:pStyle w:val="Standard"/>
        <w:widowControl/>
        <w:spacing w:line="360" w:lineRule="auto"/>
        <w:jc w:val="both"/>
        <w:rPr>
          <w:rFonts w:ascii="Times New Roman" w:hAnsi="Times New Roman"/>
          <w:color w:val="1C1C1C"/>
        </w:rPr>
      </w:pPr>
    </w:p>
    <w:p w14:paraId="716D960B" w14:textId="77777777" w:rsidR="00A5567B" w:rsidRDefault="00A5567B">
      <w:pPr>
        <w:pStyle w:val="Standard"/>
        <w:widowControl/>
        <w:spacing w:line="360" w:lineRule="auto"/>
        <w:jc w:val="both"/>
        <w:rPr>
          <w:rFonts w:ascii="Times New Roman" w:hAnsi="Times New Roman"/>
          <w:b/>
          <w:bCs/>
          <w:color w:val="1C1C1C"/>
          <w:u w:val="single"/>
        </w:rPr>
      </w:pPr>
    </w:p>
    <w:p w14:paraId="14221178" w14:textId="77777777" w:rsidR="00A5567B" w:rsidRDefault="00A5567B">
      <w:pPr>
        <w:pStyle w:val="Standard"/>
        <w:spacing w:line="360" w:lineRule="auto"/>
        <w:jc w:val="both"/>
        <w:rPr>
          <w:rFonts w:ascii="Times New Roman" w:hAnsi="Times New Roman"/>
          <w:color w:val="1C1C1C"/>
        </w:rPr>
      </w:pPr>
    </w:p>
    <w:p w14:paraId="29A91720" w14:textId="1890FA9B" w:rsidR="00A5567B" w:rsidRDefault="00A1388A">
      <w:pPr>
        <w:pStyle w:val="Standard"/>
        <w:widowControl/>
        <w:spacing w:line="360" w:lineRule="auto"/>
        <w:jc w:val="both"/>
        <w:rPr>
          <w:rFonts w:ascii="Times New Roman" w:hAnsi="Times New Roman"/>
          <w:color w:val="1C1C1C"/>
        </w:rPr>
      </w:pPr>
      <w:r w:rsidRPr="00A1388A">
        <w:rPr>
          <w:rFonts w:ascii="Times New Roman" w:hAnsi="Times New Roman"/>
          <w:color w:val="1C1C1C"/>
        </w:rPr>
        <w:t>A commission of £3,000 is owing to salesmen and is considered in this statement of financial situation. Goods worth £980 were delivered to consumers on December 31, 2022, and this will be included in the statement of financial situation.</w:t>
      </w:r>
    </w:p>
    <w:p w14:paraId="56E8DFCB" w14:textId="77777777" w:rsidR="00A5567B" w:rsidRDefault="00A5567B">
      <w:pPr>
        <w:pStyle w:val="Standard"/>
        <w:widowControl/>
        <w:spacing w:line="360" w:lineRule="auto"/>
        <w:jc w:val="both"/>
        <w:rPr>
          <w:rFonts w:ascii="Times New Roman" w:hAnsi="Times New Roman"/>
          <w:color w:val="1C1C1C"/>
        </w:rPr>
      </w:pPr>
    </w:p>
    <w:p w14:paraId="73FA6CFA" w14:textId="1AE68E3D" w:rsidR="00A5567B" w:rsidRPr="008C5156" w:rsidRDefault="008C5156">
      <w:pPr>
        <w:pStyle w:val="Standard"/>
        <w:widowControl/>
        <w:spacing w:line="360" w:lineRule="auto"/>
        <w:jc w:val="both"/>
        <w:rPr>
          <w:rFonts w:ascii="Times New Roman" w:hAnsi="Times New Roman"/>
          <w:b/>
          <w:bCs/>
          <w:color w:val="1C1C1C"/>
        </w:rPr>
      </w:pPr>
      <w:r w:rsidRPr="008C5156">
        <w:rPr>
          <w:rFonts w:ascii="Times New Roman" w:hAnsi="Times New Roman"/>
          <w:b/>
          <w:bCs/>
          <w:color w:val="1C1C1C"/>
        </w:rPr>
        <w:t>Wales plc's financial situation for the fiscal year ending December 31, 2022</w:t>
      </w:r>
    </w:p>
    <w:tbl>
      <w:tblPr>
        <w:tblW w:w="9638" w:type="dxa"/>
        <w:tblLayout w:type="fixed"/>
        <w:tblCellMar>
          <w:left w:w="10" w:type="dxa"/>
          <w:right w:w="10" w:type="dxa"/>
        </w:tblCellMar>
        <w:tblLook w:val="04A0" w:firstRow="1" w:lastRow="0" w:firstColumn="1" w:lastColumn="0" w:noHBand="0" w:noVBand="1"/>
      </w:tblPr>
      <w:tblGrid>
        <w:gridCol w:w="4819"/>
        <w:gridCol w:w="4819"/>
      </w:tblGrid>
      <w:tr w:rsidR="00A5567B" w14:paraId="2920D3F7" w14:textId="77777777">
        <w:tc>
          <w:tcPr>
            <w:tcW w:w="4819" w:type="dxa"/>
            <w:tcBorders>
              <w:top w:val="single" w:sz="2" w:space="0" w:color="000000"/>
              <w:left w:val="single" w:sz="2" w:space="0" w:color="000000"/>
              <w:bottom w:val="single" w:sz="2" w:space="0" w:color="000000"/>
            </w:tcBorders>
            <w:tcMar>
              <w:top w:w="55" w:type="dxa"/>
              <w:left w:w="55" w:type="dxa"/>
              <w:bottom w:w="55" w:type="dxa"/>
              <w:right w:w="55" w:type="dxa"/>
            </w:tcMar>
          </w:tcPr>
          <w:p w14:paraId="69339D8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Assets</w:t>
            </w:r>
          </w:p>
        </w:tc>
        <w:tc>
          <w:tcPr>
            <w:tcW w:w="4819"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7C2EC3F7" w14:textId="77777777" w:rsidR="00A5567B" w:rsidRDefault="00A5567B">
            <w:pPr>
              <w:pStyle w:val="TableContents"/>
              <w:spacing w:line="360" w:lineRule="auto"/>
              <w:jc w:val="both"/>
              <w:rPr>
                <w:rFonts w:ascii="Times New Roman" w:hAnsi="Times New Roman"/>
                <w:color w:val="1C1C1C"/>
              </w:rPr>
            </w:pPr>
          </w:p>
        </w:tc>
      </w:tr>
      <w:tr w:rsidR="00A5567B" w14:paraId="1FACEB58" w14:textId="77777777">
        <w:tc>
          <w:tcPr>
            <w:tcW w:w="4819" w:type="dxa"/>
            <w:tcBorders>
              <w:left w:val="single" w:sz="2" w:space="0" w:color="000000"/>
              <w:bottom w:val="single" w:sz="2" w:space="0" w:color="000000"/>
            </w:tcBorders>
            <w:tcMar>
              <w:top w:w="55" w:type="dxa"/>
              <w:left w:w="55" w:type="dxa"/>
              <w:bottom w:w="55" w:type="dxa"/>
              <w:right w:w="55" w:type="dxa"/>
            </w:tcMar>
          </w:tcPr>
          <w:p w14:paraId="6B7080A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Noncurrent assets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6052D6F" w14:textId="77777777" w:rsidR="00A5567B" w:rsidRDefault="00A5567B">
            <w:pPr>
              <w:pStyle w:val="TableContents"/>
              <w:spacing w:line="360" w:lineRule="auto"/>
              <w:jc w:val="both"/>
              <w:rPr>
                <w:rFonts w:ascii="Times New Roman" w:hAnsi="Times New Roman"/>
                <w:color w:val="1C1C1C"/>
              </w:rPr>
            </w:pPr>
          </w:p>
        </w:tc>
      </w:tr>
      <w:tr w:rsidR="00A5567B" w14:paraId="74F0F170" w14:textId="77777777">
        <w:tc>
          <w:tcPr>
            <w:tcW w:w="4819" w:type="dxa"/>
            <w:tcBorders>
              <w:left w:val="single" w:sz="2" w:space="0" w:color="000000"/>
              <w:bottom w:val="single" w:sz="2" w:space="0" w:color="000000"/>
            </w:tcBorders>
            <w:tcMar>
              <w:top w:w="55" w:type="dxa"/>
              <w:left w:w="55" w:type="dxa"/>
              <w:bottom w:w="55" w:type="dxa"/>
              <w:right w:w="55" w:type="dxa"/>
            </w:tcMar>
          </w:tcPr>
          <w:p w14:paraId="47CD57A6"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Property and equipment</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2BA85C7D"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632,730.00</w:t>
            </w:r>
          </w:p>
        </w:tc>
      </w:tr>
      <w:tr w:rsidR="00A5567B" w14:paraId="37B906F0" w14:textId="77777777">
        <w:tc>
          <w:tcPr>
            <w:tcW w:w="4819" w:type="dxa"/>
            <w:tcBorders>
              <w:left w:val="single" w:sz="2" w:space="0" w:color="000000"/>
              <w:bottom w:val="single" w:sz="2" w:space="0" w:color="000000"/>
            </w:tcBorders>
            <w:tcMar>
              <w:top w:w="55" w:type="dxa"/>
              <w:left w:w="55" w:type="dxa"/>
              <w:bottom w:w="55" w:type="dxa"/>
              <w:right w:w="55" w:type="dxa"/>
            </w:tcMar>
          </w:tcPr>
          <w:p w14:paraId="5A6B4135"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Current assets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FB18144" w14:textId="77777777" w:rsidR="00A5567B" w:rsidRDefault="00A5567B">
            <w:pPr>
              <w:pStyle w:val="TableContents"/>
              <w:spacing w:line="360" w:lineRule="auto"/>
              <w:jc w:val="both"/>
              <w:rPr>
                <w:rFonts w:ascii="Times New Roman" w:hAnsi="Times New Roman"/>
                <w:color w:val="1C1C1C"/>
              </w:rPr>
            </w:pPr>
          </w:p>
        </w:tc>
      </w:tr>
      <w:tr w:rsidR="00A5567B" w14:paraId="23269E47" w14:textId="77777777">
        <w:tc>
          <w:tcPr>
            <w:tcW w:w="4819" w:type="dxa"/>
            <w:tcBorders>
              <w:left w:val="single" w:sz="2" w:space="0" w:color="000000"/>
              <w:bottom w:val="single" w:sz="2" w:space="0" w:color="000000"/>
            </w:tcBorders>
            <w:tcMar>
              <w:top w:w="55" w:type="dxa"/>
              <w:left w:w="55" w:type="dxa"/>
              <w:bottom w:w="55" w:type="dxa"/>
              <w:right w:w="55" w:type="dxa"/>
            </w:tcMar>
          </w:tcPr>
          <w:p w14:paraId="504BFAFB"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Inventories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0DE8483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330,600.00</w:t>
            </w:r>
          </w:p>
        </w:tc>
      </w:tr>
      <w:tr w:rsidR="00A5567B" w14:paraId="5B301589" w14:textId="77777777">
        <w:tc>
          <w:tcPr>
            <w:tcW w:w="4819" w:type="dxa"/>
            <w:tcBorders>
              <w:left w:val="single" w:sz="2" w:space="0" w:color="000000"/>
              <w:bottom w:val="single" w:sz="2" w:space="0" w:color="000000"/>
            </w:tcBorders>
            <w:tcMar>
              <w:top w:w="55" w:type="dxa"/>
              <w:left w:w="55" w:type="dxa"/>
              <w:bottom w:w="55" w:type="dxa"/>
              <w:right w:w="55" w:type="dxa"/>
            </w:tcMar>
          </w:tcPr>
          <w:p w14:paraId="1B92C3CA"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Debtors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686DE67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171105.00</w:t>
            </w:r>
          </w:p>
        </w:tc>
      </w:tr>
      <w:tr w:rsidR="00A5567B" w14:paraId="6BDA96BE" w14:textId="77777777">
        <w:tc>
          <w:tcPr>
            <w:tcW w:w="4819" w:type="dxa"/>
            <w:tcBorders>
              <w:left w:val="single" w:sz="2" w:space="0" w:color="000000"/>
              <w:bottom w:val="single" w:sz="2" w:space="0" w:color="000000"/>
            </w:tcBorders>
            <w:tcMar>
              <w:top w:w="55" w:type="dxa"/>
              <w:left w:w="55" w:type="dxa"/>
              <w:bottom w:w="55" w:type="dxa"/>
              <w:right w:w="55" w:type="dxa"/>
            </w:tcMar>
          </w:tcPr>
          <w:p w14:paraId="5EB71796"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Cash and bank</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110C822"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76,250.00</w:t>
            </w:r>
          </w:p>
        </w:tc>
      </w:tr>
      <w:tr w:rsidR="00A5567B" w14:paraId="04951D3C" w14:textId="77777777">
        <w:tc>
          <w:tcPr>
            <w:tcW w:w="4819" w:type="dxa"/>
            <w:tcBorders>
              <w:left w:val="single" w:sz="2" w:space="0" w:color="000000"/>
              <w:bottom w:val="single" w:sz="2" w:space="0" w:color="000000"/>
            </w:tcBorders>
            <w:tcMar>
              <w:top w:w="55" w:type="dxa"/>
              <w:left w:w="55" w:type="dxa"/>
              <w:bottom w:w="55" w:type="dxa"/>
              <w:right w:w="55" w:type="dxa"/>
            </w:tcMar>
          </w:tcPr>
          <w:p w14:paraId="3BD5E16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Total assets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1735C361" w14:textId="77777777" w:rsidR="00A5567B" w:rsidRDefault="00F63440">
            <w:pPr>
              <w:pStyle w:val="Standard"/>
              <w:spacing w:line="360" w:lineRule="auto"/>
              <w:jc w:val="both"/>
              <w:rPr>
                <w:rFonts w:ascii="Times New Roman" w:hAnsi="Times New Roman"/>
                <w:b/>
                <w:bCs/>
                <w:color w:val="1C1C1C"/>
              </w:rPr>
            </w:pPr>
            <w:r>
              <w:rPr>
                <w:rFonts w:ascii="Times New Roman" w:hAnsi="Times New Roman"/>
                <w:b/>
                <w:bCs/>
                <w:color w:val="1C1C1C"/>
              </w:rPr>
              <w:t xml:space="preserve"> 1,210,685.00</w:t>
            </w:r>
          </w:p>
        </w:tc>
      </w:tr>
      <w:tr w:rsidR="00A5567B" w14:paraId="5B2E5FED" w14:textId="77777777">
        <w:tc>
          <w:tcPr>
            <w:tcW w:w="4819" w:type="dxa"/>
            <w:tcBorders>
              <w:left w:val="single" w:sz="2" w:space="0" w:color="000000"/>
              <w:bottom w:val="single" w:sz="2" w:space="0" w:color="000000"/>
            </w:tcBorders>
            <w:tcMar>
              <w:top w:w="55" w:type="dxa"/>
              <w:left w:w="55" w:type="dxa"/>
              <w:bottom w:w="55" w:type="dxa"/>
              <w:right w:w="55" w:type="dxa"/>
            </w:tcMar>
          </w:tcPr>
          <w:p w14:paraId="678F34BA"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Liabilities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7BE6AAAB" w14:textId="77777777" w:rsidR="00A5567B" w:rsidRDefault="00A5567B">
            <w:pPr>
              <w:pStyle w:val="TableContents"/>
              <w:spacing w:line="360" w:lineRule="auto"/>
              <w:jc w:val="both"/>
              <w:rPr>
                <w:rFonts w:ascii="Times New Roman" w:hAnsi="Times New Roman"/>
                <w:color w:val="1C1C1C"/>
              </w:rPr>
            </w:pPr>
          </w:p>
        </w:tc>
      </w:tr>
      <w:tr w:rsidR="00A5567B" w14:paraId="4E0B629F" w14:textId="77777777">
        <w:tc>
          <w:tcPr>
            <w:tcW w:w="4819" w:type="dxa"/>
            <w:tcBorders>
              <w:left w:val="single" w:sz="2" w:space="0" w:color="000000"/>
              <w:bottom w:val="single" w:sz="2" w:space="0" w:color="000000"/>
            </w:tcBorders>
            <w:tcMar>
              <w:top w:w="55" w:type="dxa"/>
              <w:left w:w="55" w:type="dxa"/>
              <w:bottom w:w="55" w:type="dxa"/>
              <w:right w:w="55" w:type="dxa"/>
            </w:tcMar>
          </w:tcPr>
          <w:p w14:paraId="1D22E00A"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Current liabilities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DF9AA69" w14:textId="77777777" w:rsidR="00A5567B" w:rsidRDefault="00A5567B">
            <w:pPr>
              <w:pStyle w:val="TableContents"/>
              <w:spacing w:line="360" w:lineRule="auto"/>
              <w:jc w:val="both"/>
              <w:rPr>
                <w:rFonts w:ascii="Times New Roman" w:hAnsi="Times New Roman"/>
                <w:color w:val="1C1C1C"/>
              </w:rPr>
            </w:pPr>
          </w:p>
        </w:tc>
      </w:tr>
      <w:tr w:rsidR="00A5567B" w14:paraId="622B5050" w14:textId="77777777">
        <w:tc>
          <w:tcPr>
            <w:tcW w:w="4819" w:type="dxa"/>
            <w:tcBorders>
              <w:left w:val="single" w:sz="2" w:space="0" w:color="000000"/>
              <w:bottom w:val="single" w:sz="2" w:space="0" w:color="000000"/>
            </w:tcBorders>
            <w:tcMar>
              <w:top w:w="55" w:type="dxa"/>
              <w:left w:w="55" w:type="dxa"/>
              <w:bottom w:w="55" w:type="dxa"/>
              <w:right w:w="55" w:type="dxa"/>
            </w:tcMar>
          </w:tcPr>
          <w:p w14:paraId="25D35DDB"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Trade payable</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8C46A35"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171,355.00</w:t>
            </w:r>
          </w:p>
        </w:tc>
      </w:tr>
      <w:tr w:rsidR="00A5567B" w14:paraId="4DD9F5CA" w14:textId="77777777">
        <w:tc>
          <w:tcPr>
            <w:tcW w:w="4819" w:type="dxa"/>
            <w:tcBorders>
              <w:left w:val="single" w:sz="2" w:space="0" w:color="000000"/>
              <w:bottom w:val="single" w:sz="2" w:space="0" w:color="000000"/>
            </w:tcBorders>
            <w:tcMar>
              <w:top w:w="55" w:type="dxa"/>
              <w:left w:w="55" w:type="dxa"/>
              <w:bottom w:w="55" w:type="dxa"/>
              <w:right w:w="55" w:type="dxa"/>
            </w:tcMar>
          </w:tcPr>
          <w:p w14:paraId="32B4FDD5"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Ordinary dividend paid</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647A960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20000.00</w:t>
            </w:r>
          </w:p>
        </w:tc>
      </w:tr>
      <w:tr w:rsidR="00A5567B" w14:paraId="4AA5563B" w14:textId="77777777">
        <w:tc>
          <w:tcPr>
            <w:tcW w:w="4819" w:type="dxa"/>
            <w:tcBorders>
              <w:left w:val="single" w:sz="2" w:space="0" w:color="000000"/>
              <w:bottom w:val="single" w:sz="2" w:space="0" w:color="000000"/>
            </w:tcBorders>
            <w:tcMar>
              <w:top w:w="55" w:type="dxa"/>
              <w:left w:w="55" w:type="dxa"/>
              <w:bottom w:w="55" w:type="dxa"/>
              <w:right w:w="55" w:type="dxa"/>
            </w:tcMar>
          </w:tcPr>
          <w:p w14:paraId="3DB7142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lastRenderedPageBreak/>
              <w:t>Preference dividends paid</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38D313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30000.00</w:t>
            </w:r>
          </w:p>
        </w:tc>
      </w:tr>
      <w:tr w:rsidR="00A5567B" w14:paraId="52FC91D6" w14:textId="77777777">
        <w:tc>
          <w:tcPr>
            <w:tcW w:w="4819" w:type="dxa"/>
            <w:tcBorders>
              <w:left w:val="single" w:sz="2" w:space="0" w:color="000000"/>
              <w:bottom w:val="single" w:sz="2" w:space="0" w:color="000000"/>
            </w:tcBorders>
            <w:tcMar>
              <w:top w:w="55" w:type="dxa"/>
              <w:left w:w="55" w:type="dxa"/>
              <w:bottom w:w="55" w:type="dxa"/>
              <w:right w:w="55" w:type="dxa"/>
            </w:tcMar>
          </w:tcPr>
          <w:p w14:paraId="43E9F411"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Commission owed</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014519D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3000.00</w:t>
            </w:r>
          </w:p>
        </w:tc>
      </w:tr>
      <w:tr w:rsidR="00A5567B" w14:paraId="0B82670A" w14:textId="77777777">
        <w:tc>
          <w:tcPr>
            <w:tcW w:w="4819" w:type="dxa"/>
            <w:tcBorders>
              <w:left w:val="single" w:sz="2" w:space="0" w:color="000000"/>
              <w:bottom w:val="single" w:sz="2" w:space="0" w:color="000000"/>
            </w:tcBorders>
            <w:tcMar>
              <w:top w:w="55" w:type="dxa"/>
              <w:left w:w="55" w:type="dxa"/>
              <w:bottom w:w="55" w:type="dxa"/>
              <w:right w:w="55" w:type="dxa"/>
            </w:tcMar>
          </w:tcPr>
          <w:p w14:paraId="3E73A4F2"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Non-current liabilities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758BB3EC" w14:textId="77777777" w:rsidR="00A5567B" w:rsidRDefault="00A5567B">
            <w:pPr>
              <w:pStyle w:val="TableContents"/>
              <w:spacing w:line="360" w:lineRule="auto"/>
              <w:jc w:val="both"/>
              <w:rPr>
                <w:rFonts w:ascii="Times New Roman" w:hAnsi="Times New Roman"/>
                <w:color w:val="1C1C1C"/>
              </w:rPr>
            </w:pPr>
          </w:p>
        </w:tc>
      </w:tr>
      <w:tr w:rsidR="00A5567B" w14:paraId="2B03E3DB" w14:textId="77777777">
        <w:tc>
          <w:tcPr>
            <w:tcW w:w="4819" w:type="dxa"/>
            <w:tcBorders>
              <w:left w:val="single" w:sz="2" w:space="0" w:color="000000"/>
              <w:bottom w:val="single" w:sz="2" w:space="0" w:color="000000"/>
            </w:tcBorders>
            <w:tcMar>
              <w:top w:w="55" w:type="dxa"/>
              <w:left w:w="55" w:type="dxa"/>
              <w:bottom w:w="55" w:type="dxa"/>
              <w:right w:w="55" w:type="dxa"/>
            </w:tcMar>
          </w:tcPr>
          <w:p w14:paraId="24B79951"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4% Debentures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3281721F"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32,980.00</w:t>
            </w:r>
          </w:p>
        </w:tc>
      </w:tr>
      <w:tr w:rsidR="00A5567B" w14:paraId="2CED2AEA" w14:textId="77777777">
        <w:tc>
          <w:tcPr>
            <w:tcW w:w="4819" w:type="dxa"/>
            <w:tcBorders>
              <w:left w:val="single" w:sz="2" w:space="0" w:color="000000"/>
              <w:bottom w:val="single" w:sz="2" w:space="0" w:color="000000"/>
            </w:tcBorders>
            <w:tcMar>
              <w:top w:w="55" w:type="dxa"/>
              <w:left w:w="55" w:type="dxa"/>
              <w:bottom w:w="55" w:type="dxa"/>
              <w:right w:w="55" w:type="dxa"/>
            </w:tcMar>
          </w:tcPr>
          <w:p w14:paraId="4F49252B"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Total liabilities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4423CFF1"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w:t>
            </w:r>
            <w:r>
              <w:rPr>
                <w:rFonts w:ascii="Times New Roman" w:hAnsi="Times New Roman"/>
                <w:b/>
                <w:bCs/>
                <w:color w:val="1C1C1C"/>
              </w:rPr>
              <w:t>257,335.00</w:t>
            </w:r>
          </w:p>
        </w:tc>
      </w:tr>
      <w:tr w:rsidR="00A5567B" w14:paraId="376F60F9" w14:textId="77777777">
        <w:tc>
          <w:tcPr>
            <w:tcW w:w="4819" w:type="dxa"/>
            <w:tcBorders>
              <w:left w:val="single" w:sz="2" w:space="0" w:color="000000"/>
              <w:bottom w:val="single" w:sz="2" w:space="0" w:color="000000"/>
            </w:tcBorders>
            <w:tcMar>
              <w:top w:w="55" w:type="dxa"/>
              <w:left w:w="55" w:type="dxa"/>
              <w:bottom w:w="55" w:type="dxa"/>
              <w:right w:w="55" w:type="dxa"/>
            </w:tcMar>
          </w:tcPr>
          <w:p w14:paraId="21942F1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Equity</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4CDF8EA0" w14:textId="77777777" w:rsidR="00A5567B" w:rsidRDefault="00A5567B">
            <w:pPr>
              <w:pStyle w:val="TableContents"/>
              <w:spacing w:line="360" w:lineRule="auto"/>
              <w:jc w:val="both"/>
              <w:rPr>
                <w:rFonts w:ascii="Times New Roman" w:hAnsi="Times New Roman"/>
                <w:color w:val="1C1C1C"/>
              </w:rPr>
            </w:pPr>
          </w:p>
        </w:tc>
      </w:tr>
      <w:tr w:rsidR="00A5567B" w14:paraId="54F2AD17" w14:textId="77777777">
        <w:tc>
          <w:tcPr>
            <w:tcW w:w="4819" w:type="dxa"/>
            <w:tcBorders>
              <w:left w:val="single" w:sz="2" w:space="0" w:color="000000"/>
              <w:bottom w:val="single" w:sz="2" w:space="0" w:color="000000"/>
            </w:tcBorders>
            <w:tcMar>
              <w:top w:w="55" w:type="dxa"/>
              <w:left w:w="55" w:type="dxa"/>
              <w:bottom w:w="55" w:type="dxa"/>
              <w:right w:w="55" w:type="dxa"/>
            </w:tcMar>
          </w:tcPr>
          <w:p w14:paraId="46E809E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Ordinary shares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4ED177ED"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400,000.00</w:t>
            </w:r>
          </w:p>
        </w:tc>
      </w:tr>
      <w:tr w:rsidR="00A5567B" w14:paraId="4B65FEFB" w14:textId="77777777">
        <w:tc>
          <w:tcPr>
            <w:tcW w:w="4819" w:type="dxa"/>
            <w:tcBorders>
              <w:left w:val="single" w:sz="2" w:space="0" w:color="000000"/>
              <w:bottom w:val="single" w:sz="2" w:space="0" w:color="000000"/>
            </w:tcBorders>
            <w:tcMar>
              <w:top w:w="55" w:type="dxa"/>
              <w:left w:w="55" w:type="dxa"/>
              <w:bottom w:w="55" w:type="dxa"/>
              <w:right w:w="55" w:type="dxa"/>
            </w:tcMar>
          </w:tcPr>
          <w:p w14:paraId="7CE73E11"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Preference shares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4E4515E6"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300000.00</w:t>
            </w:r>
          </w:p>
        </w:tc>
      </w:tr>
      <w:tr w:rsidR="00A5567B" w14:paraId="23DD81A4" w14:textId="77777777">
        <w:tc>
          <w:tcPr>
            <w:tcW w:w="4819" w:type="dxa"/>
            <w:tcBorders>
              <w:left w:val="single" w:sz="2" w:space="0" w:color="000000"/>
              <w:bottom w:val="single" w:sz="2" w:space="0" w:color="000000"/>
            </w:tcBorders>
            <w:tcMar>
              <w:top w:w="55" w:type="dxa"/>
              <w:left w:w="55" w:type="dxa"/>
              <w:bottom w:w="55" w:type="dxa"/>
              <w:right w:w="55" w:type="dxa"/>
            </w:tcMar>
          </w:tcPr>
          <w:p w14:paraId="22F3C8A3"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Retained earnings</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7D64ECCD"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253350.00</w:t>
            </w:r>
          </w:p>
        </w:tc>
      </w:tr>
      <w:tr w:rsidR="00A5567B" w14:paraId="0DD0DE10" w14:textId="77777777">
        <w:tc>
          <w:tcPr>
            <w:tcW w:w="4819" w:type="dxa"/>
            <w:tcBorders>
              <w:left w:val="single" w:sz="2" w:space="0" w:color="000000"/>
              <w:bottom w:val="single" w:sz="2" w:space="0" w:color="000000"/>
            </w:tcBorders>
            <w:tcMar>
              <w:top w:w="55" w:type="dxa"/>
              <w:left w:w="55" w:type="dxa"/>
              <w:bottom w:w="55" w:type="dxa"/>
              <w:right w:w="55" w:type="dxa"/>
            </w:tcMar>
          </w:tcPr>
          <w:p w14:paraId="03C32C26"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Total equity</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718170CA"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 953,350.00</w:t>
            </w:r>
          </w:p>
        </w:tc>
      </w:tr>
      <w:tr w:rsidR="00A5567B" w14:paraId="306D41C1" w14:textId="77777777">
        <w:tc>
          <w:tcPr>
            <w:tcW w:w="4819" w:type="dxa"/>
            <w:tcBorders>
              <w:left w:val="single" w:sz="2" w:space="0" w:color="000000"/>
              <w:bottom w:val="single" w:sz="2" w:space="0" w:color="000000"/>
            </w:tcBorders>
            <w:tcMar>
              <w:top w:w="55" w:type="dxa"/>
              <w:left w:w="55" w:type="dxa"/>
              <w:bottom w:w="55" w:type="dxa"/>
              <w:right w:w="55" w:type="dxa"/>
            </w:tcMar>
          </w:tcPr>
          <w:p w14:paraId="20E3B5D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Total equity and liability</w:t>
            </w:r>
          </w:p>
        </w:tc>
        <w:tc>
          <w:tcPr>
            <w:tcW w:w="4819" w:type="dxa"/>
            <w:tcBorders>
              <w:left w:val="single" w:sz="2" w:space="0" w:color="000000"/>
              <w:bottom w:val="single" w:sz="2" w:space="0" w:color="000000"/>
              <w:right w:val="single" w:sz="2" w:space="0" w:color="000000"/>
            </w:tcBorders>
            <w:tcMar>
              <w:top w:w="55" w:type="dxa"/>
              <w:left w:w="55" w:type="dxa"/>
              <w:bottom w:w="55" w:type="dxa"/>
              <w:right w:w="55" w:type="dxa"/>
            </w:tcMar>
          </w:tcPr>
          <w:p w14:paraId="5AC41BD9" w14:textId="77777777" w:rsidR="00A5567B" w:rsidRDefault="00F63440">
            <w:pPr>
              <w:pStyle w:val="Standard"/>
              <w:spacing w:line="360" w:lineRule="auto"/>
              <w:jc w:val="both"/>
              <w:rPr>
                <w:rFonts w:ascii="Times New Roman" w:hAnsi="Times New Roman"/>
                <w:b/>
                <w:bCs/>
                <w:color w:val="1C1C1C"/>
              </w:rPr>
            </w:pPr>
            <w:r>
              <w:rPr>
                <w:rFonts w:ascii="Times New Roman" w:hAnsi="Times New Roman"/>
                <w:b/>
                <w:bCs/>
                <w:color w:val="1C1C1C"/>
              </w:rPr>
              <w:t>1,210,685.00</w:t>
            </w:r>
          </w:p>
        </w:tc>
      </w:tr>
    </w:tbl>
    <w:p w14:paraId="6A804E7F" w14:textId="77777777" w:rsidR="00A5567B" w:rsidRDefault="00A5567B">
      <w:pPr>
        <w:pStyle w:val="Standard"/>
        <w:widowControl/>
        <w:spacing w:line="360" w:lineRule="auto"/>
        <w:jc w:val="both"/>
        <w:rPr>
          <w:rFonts w:ascii="Times New Roman" w:hAnsi="Times New Roman"/>
          <w:color w:val="1C1C1C"/>
        </w:rPr>
      </w:pPr>
    </w:p>
    <w:p w14:paraId="57503F9E" w14:textId="77777777" w:rsidR="00A5567B" w:rsidRDefault="00A5567B">
      <w:pPr>
        <w:pStyle w:val="Standard"/>
        <w:widowControl/>
        <w:spacing w:line="360" w:lineRule="auto"/>
        <w:jc w:val="both"/>
        <w:rPr>
          <w:rFonts w:ascii="Times New Roman" w:hAnsi="Times New Roman"/>
          <w:color w:val="1C1C1C"/>
        </w:rPr>
      </w:pPr>
    </w:p>
    <w:p w14:paraId="3CA5764D" w14:textId="00D65388" w:rsidR="00A5567B" w:rsidRDefault="008F1AE2">
      <w:pPr>
        <w:pStyle w:val="Standard"/>
        <w:widowControl/>
        <w:spacing w:line="360" w:lineRule="auto"/>
        <w:jc w:val="both"/>
        <w:rPr>
          <w:rFonts w:ascii="Times New Roman" w:hAnsi="Times New Roman"/>
          <w:color w:val="1C1C1C"/>
        </w:rPr>
      </w:pPr>
      <w:r w:rsidRPr="008F1AE2">
        <w:rPr>
          <w:rFonts w:ascii="Times New Roman" w:hAnsi="Times New Roman"/>
          <w:color w:val="1C1C1C"/>
        </w:rPr>
        <w:t>Why is the financial situation statement usually balanced?</w:t>
      </w:r>
    </w:p>
    <w:p w14:paraId="61EF982A" w14:textId="77777777" w:rsidR="00A5567B" w:rsidRDefault="00A5567B">
      <w:pPr>
        <w:pStyle w:val="Standard"/>
        <w:spacing w:line="360" w:lineRule="auto"/>
        <w:jc w:val="both"/>
        <w:rPr>
          <w:rFonts w:ascii="Times New Roman" w:hAnsi="Times New Roman"/>
          <w:color w:val="1C1C1C"/>
        </w:rPr>
      </w:pPr>
    </w:p>
    <w:p w14:paraId="2806129C" w14:textId="052DFA5B" w:rsidR="001322E4" w:rsidRDefault="003E087F">
      <w:pPr>
        <w:pStyle w:val="Standard"/>
        <w:spacing w:line="360" w:lineRule="auto"/>
        <w:jc w:val="both"/>
        <w:rPr>
          <w:rFonts w:ascii="Times New Roman" w:hAnsi="Times New Roman"/>
          <w:color w:val="1C1C1C"/>
        </w:rPr>
      </w:pPr>
      <w:r w:rsidRPr="003E087F">
        <w:rPr>
          <w:rFonts w:ascii="Times New Roman" w:hAnsi="Times New Roman"/>
          <w:color w:val="1C1C1C"/>
        </w:rPr>
        <w:t>When the organization's assets are assessed, the worth of those in charge of a firm that might supply future economic performance of the organisation is figured out</w:t>
      </w:r>
      <w:r w:rsidR="004A2D13">
        <w:rPr>
          <w:rFonts w:ascii="Times New Roman" w:hAnsi="Times New Roman"/>
          <w:color w:val="1C1C1C"/>
        </w:rPr>
        <w:t>.</w:t>
      </w:r>
      <w:r w:rsidR="004A2D13" w:rsidRPr="004A2D13">
        <w:t xml:space="preserve"> </w:t>
      </w:r>
      <w:r w:rsidR="004A2D13" w:rsidRPr="004A2D13">
        <w:rPr>
          <w:rFonts w:ascii="Times New Roman" w:hAnsi="Times New Roman"/>
          <w:color w:val="1C1C1C"/>
        </w:rPr>
        <w:t xml:space="preserve">Existing assets are </w:t>
      </w:r>
      <w:r w:rsidR="004A2D13">
        <w:rPr>
          <w:rFonts w:ascii="Times New Roman" w:hAnsi="Times New Roman"/>
          <w:color w:val="1C1C1C"/>
        </w:rPr>
        <w:t>named</w:t>
      </w:r>
      <w:r w:rsidR="004A2D13" w:rsidRPr="004A2D13">
        <w:rPr>
          <w:rFonts w:ascii="Times New Roman" w:hAnsi="Times New Roman"/>
          <w:color w:val="1C1C1C"/>
        </w:rPr>
        <w:t xml:space="preserve"> as either current or non-current, with the latter separated by the amount of time used during its economic life. Current assets, such as inventory and accounts receivable, can be converted to cash within a year of </w:t>
      </w:r>
      <w:r w:rsidR="004A2D13" w:rsidRPr="004A2D13">
        <w:rPr>
          <w:rFonts w:ascii="Times New Roman" w:hAnsi="Times New Roman"/>
          <w:color w:val="1C1C1C"/>
        </w:rPr>
        <w:t>implementation.</w:t>
      </w:r>
      <w:r w:rsidR="004A2D13" w:rsidRPr="00B51637">
        <w:rPr>
          <w:rFonts w:ascii="Times New Roman" w:hAnsi="Times New Roman"/>
          <w:color w:val="1C1C1C"/>
        </w:rPr>
        <w:t xml:space="preserve"> Assets</w:t>
      </w:r>
      <w:r w:rsidR="00B51637" w:rsidRPr="00B51637">
        <w:rPr>
          <w:rFonts w:ascii="Times New Roman" w:hAnsi="Times New Roman"/>
          <w:color w:val="1C1C1C"/>
        </w:rPr>
        <w:t xml:space="preserve"> are the abbreviations for three fundamental abstractions on a balance sheet that represent the relative amount of the total. </w:t>
      </w:r>
      <w:r w:rsidR="000970CA" w:rsidRPr="000970CA">
        <w:rPr>
          <w:rFonts w:ascii="Times New Roman" w:hAnsi="Times New Roman"/>
          <w:color w:val="1C1C1C"/>
        </w:rPr>
        <w:t xml:space="preserve">Current assets are defined as the total worth of all assets that are reasonably expected to be converted into cash within a year and that the organisation may use to support current initiatives and pay current costs, as the term </w:t>
      </w:r>
      <w:r w:rsidR="000970CA" w:rsidRPr="000970CA">
        <w:rPr>
          <w:rFonts w:ascii="Times New Roman" w:hAnsi="Times New Roman"/>
          <w:color w:val="1C1C1C"/>
        </w:rPr>
        <w:t>shows.</w:t>
      </w:r>
      <w:r w:rsidR="000970CA" w:rsidRPr="001322E4">
        <w:rPr>
          <w:rFonts w:ascii="Times New Roman" w:hAnsi="Times New Roman"/>
          <w:color w:val="1C1C1C"/>
        </w:rPr>
        <w:t xml:space="preserve"> In</w:t>
      </w:r>
      <w:r w:rsidR="001322E4" w:rsidRPr="001322E4">
        <w:rPr>
          <w:rFonts w:ascii="Times New Roman" w:hAnsi="Times New Roman"/>
          <w:color w:val="1C1C1C"/>
        </w:rPr>
        <w:t xml:space="preserve"> general, liabilities are assets that a business firm has </w:t>
      </w:r>
      <w:r w:rsidR="008F1AE2" w:rsidRPr="001322E4">
        <w:rPr>
          <w:rFonts w:ascii="Times New Roman" w:hAnsi="Times New Roman"/>
          <w:color w:val="1C1C1C"/>
        </w:rPr>
        <w:t>because of</w:t>
      </w:r>
      <w:r w:rsidR="001322E4" w:rsidRPr="001322E4">
        <w:rPr>
          <w:rFonts w:ascii="Times New Roman" w:hAnsi="Times New Roman"/>
          <w:color w:val="1C1C1C"/>
        </w:rPr>
        <w:t xml:space="preserve"> past transactions, and the payment of liabilities results in a loss of lucrative value for the organisation. Furthermore, they are classified into two types: current liabilities and long-term obligations. Accounts payable, sometimes known as short-term debt owed to suppliers, is one example of a company's actual obligations.</w:t>
      </w:r>
    </w:p>
    <w:p w14:paraId="3FAD6770" w14:textId="14F3AEE0" w:rsidR="00A5567B" w:rsidRDefault="003D41A0">
      <w:pPr>
        <w:pStyle w:val="Standard"/>
        <w:spacing w:line="360" w:lineRule="auto"/>
        <w:jc w:val="both"/>
        <w:rPr>
          <w:rFonts w:ascii="Times New Roman" w:hAnsi="Times New Roman"/>
          <w:color w:val="1C1C1C"/>
        </w:rPr>
      </w:pPr>
      <w:r w:rsidRPr="003D41A0">
        <w:rPr>
          <w:rFonts w:ascii="Times New Roman" w:hAnsi="Times New Roman"/>
          <w:color w:val="1C1C1C"/>
        </w:rPr>
        <w:t>Non-current liabilities are defined as the total amount owed by the organisation on its balance sheet. Non-current or long-term obligations, as opposed to current liabilities, are long-term or commitments that the firm does not take to be reimbursed within a year of the agreement (</w:t>
      </w:r>
      <w:proofErr w:type="spellStart"/>
      <w:r w:rsidRPr="003D41A0">
        <w:rPr>
          <w:rFonts w:ascii="Times New Roman" w:hAnsi="Times New Roman"/>
          <w:color w:val="1C1C1C"/>
        </w:rPr>
        <w:t>Revsine</w:t>
      </w:r>
      <w:proofErr w:type="spellEnd"/>
      <w:r w:rsidRPr="003D41A0">
        <w:rPr>
          <w:rFonts w:ascii="Times New Roman" w:hAnsi="Times New Roman"/>
          <w:color w:val="1C1C1C"/>
        </w:rPr>
        <w:t xml:space="preserve">, Collins, and Johnson, 2021). The double entry accounting concept </w:t>
      </w:r>
      <w:r w:rsidR="00B7196C" w:rsidRPr="003D41A0">
        <w:rPr>
          <w:rFonts w:ascii="Times New Roman" w:hAnsi="Times New Roman"/>
          <w:color w:val="1C1C1C"/>
        </w:rPr>
        <w:t>handles</w:t>
      </w:r>
      <w:r w:rsidRPr="003D41A0">
        <w:rPr>
          <w:rFonts w:ascii="Times New Roman" w:hAnsi="Times New Roman"/>
          <w:color w:val="1C1C1C"/>
        </w:rPr>
        <w:t xml:space="preserve"> the information that the argument of financial position has a constructive equilibrium in the first place, and the proprietor keeps cracking </w:t>
      </w:r>
      <w:r w:rsidRPr="003D41A0">
        <w:rPr>
          <w:rFonts w:ascii="Times New Roman" w:hAnsi="Times New Roman"/>
          <w:color w:val="1C1C1C"/>
        </w:rPr>
        <w:lastRenderedPageBreak/>
        <w:t>records of the cash and statement written record, that can be agreeable with the argument of fiscal position of the company.</w:t>
      </w:r>
      <w:r>
        <w:rPr>
          <w:rFonts w:ascii="Times New Roman" w:hAnsi="Times New Roman"/>
          <w:color w:val="1C1C1C"/>
        </w:rPr>
        <w:t xml:space="preserve"> </w:t>
      </w:r>
      <w:r w:rsidR="00B7196C" w:rsidRPr="00B7196C">
        <w:rPr>
          <w:rFonts w:ascii="Times New Roman" w:hAnsi="Times New Roman"/>
          <w:color w:val="1C1C1C"/>
        </w:rPr>
        <w:t>The fiscal position evidence also aids businesses in supporting control of their financial resources, which is especially important in terms of their relationships with customers and suppliers. This proposition must be balanced in formulation with the help of the double-entry accounting concept to be reachable for its conscious masses.</w:t>
      </w:r>
    </w:p>
    <w:p w14:paraId="7A6607E7" w14:textId="77777777" w:rsidR="00A5567B" w:rsidRDefault="00A5567B">
      <w:pPr>
        <w:pStyle w:val="Standard"/>
        <w:widowControl/>
        <w:spacing w:line="360" w:lineRule="auto"/>
        <w:jc w:val="both"/>
        <w:rPr>
          <w:rFonts w:ascii="Times New Roman" w:hAnsi="Times New Roman"/>
          <w:color w:val="1C1C1C"/>
        </w:rPr>
      </w:pPr>
    </w:p>
    <w:p w14:paraId="374A2F6A" w14:textId="77777777" w:rsidR="00A5567B" w:rsidRDefault="00A5567B">
      <w:pPr>
        <w:pStyle w:val="Standard"/>
        <w:widowControl/>
        <w:spacing w:line="360" w:lineRule="auto"/>
        <w:jc w:val="both"/>
        <w:rPr>
          <w:rFonts w:ascii="Times New Roman" w:hAnsi="Times New Roman"/>
          <w:color w:val="1C1C1C"/>
        </w:rPr>
      </w:pPr>
    </w:p>
    <w:p w14:paraId="3409D125" w14:textId="77777777" w:rsidR="00A5567B" w:rsidRDefault="00A5567B">
      <w:pPr>
        <w:pStyle w:val="Standard"/>
        <w:widowControl/>
        <w:spacing w:line="360" w:lineRule="auto"/>
        <w:jc w:val="both"/>
        <w:rPr>
          <w:rFonts w:ascii="Times New Roman" w:hAnsi="Times New Roman"/>
          <w:color w:val="1C1C1C"/>
        </w:rPr>
      </w:pPr>
    </w:p>
    <w:p w14:paraId="77A957E6" w14:textId="77777777" w:rsidR="00A5567B" w:rsidRDefault="00A5567B">
      <w:pPr>
        <w:pStyle w:val="Standard"/>
        <w:widowControl/>
        <w:spacing w:line="360" w:lineRule="auto"/>
        <w:jc w:val="both"/>
        <w:rPr>
          <w:rFonts w:ascii="Times New Roman" w:hAnsi="Times New Roman"/>
          <w:color w:val="1C1C1C"/>
        </w:rPr>
      </w:pPr>
    </w:p>
    <w:p w14:paraId="369DFC21" w14:textId="77777777" w:rsidR="00A5567B" w:rsidRPr="00565E3C" w:rsidRDefault="00F63440">
      <w:pPr>
        <w:pStyle w:val="Heading2"/>
        <w:spacing w:line="360" w:lineRule="auto"/>
        <w:jc w:val="both"/>
        <w:rPr>
          <w:rFonts w:ascii="Times New Roman" w:hAnsi="Times New Roman"/>
          <w:i w:val="0"/>
          <w:iCs w:val="0"/>
          <w:color w:val="1C1C1C"/>
          <w:sz w:val="24"/>
          <w:szCs w:val="24"/>
        </w:rPr>
      </w:pPr>
      <w:r w:rsidRPr="00565E3C">
        <w:rPr>
          <w:rFonts w:ascii="Times New Roman" w:hAnsi="Times New Roman"/>
          <w:i w:val="0"/>
          <w:iCs w:val="0"/>
          <w:color w:val="1C1C1C"/>
          <w:sz w:val="24"/>
          <w:szCs w:val="24"/>
        </w:rPr>
        <w:t>Task 3</w:t>
      </w:r>
    </w:p>
    <w:p w14:paraId="65DE5547" w14:textId="77777777" w:rsidR="00A5567B" w:rsidRDefault="00A5567B">
      <w:pPr>
        <w:pStyle w:val="Standard"/>
        <w:widowControl/>
        <w:spacing w:line="360" w:lineRule="auto"/>
        <w:jc w:val="both"/>
        <w:rPr>
          <w:rFonts w:ascii="Times New Roman" w:hAnsi="Times New Roman"/>
          <w:b/>
          <w:bCs/>
          <w:color w:val="1C1C1C"/>
        </w:rPr>
      </w:pPr>
    </w:p>
    <w:p w14:paraId="1D7A7616" w14:textId="169A79EB" w:rsidR="00A5567B" w:rsidRDefault="00F63440">
      <w:pPr>
        <w:pStyle w:val="Standard"/>
        <w:widowControl/>
        <w:spacing w:line="360" w:lineRule="auto"/>
        <w:jc w:val="both"/>
        <w:rPr>
          <w:rFonts w:ascii="Times New Roman" w:hAnsi="Times New Roman"/>
          <w:color w:val="1C1C1C"/>
        </w:rPr>
      </w:pPr>
      <w:r w:rsidRPr="00565E3C">
        <w:rPr>
          <w:rFonts w:ascii="Times New Roman" w:hAnsi="Times New Roman"/>
          <w:b/>
          <w:bCs/>
          <w:color w:val="1C1C1C"/>
          <w:sz w:val="28"/>
          <w:szCs w:val="28"/>
        </w:rPr>
        <w:t>1-</w:t>
      </w:r>
      <w:r>
        <w:rPr>
          <w:rFonts w:ascii="Times New Roman" w:hAnsi="Times New Roman"/>
          <w:color w:val="1C1C1C"/>
        </w:rPr>
        <w:t xml:space="preserve"> </w:t>
      </w:r>
      <w:r>
        <w:rPr>
          <w:rFonts w:ascii="Times New Roman" w:hAnsi="Times New Roman"/>
          <w:b/>
          <w:bCs/>
          <w:color w:val="1C1C1C"/>
        </w:rPr>
        <w:t>ROCE</w:t>
      </w:r>
      <w:r>
        <w:rPr>
          <w:rFonts w:ascii="Times New Roman" w:hAnsi="Times New Roman"/>
          <w:color w:val="1C1C1C"/>
        </w:rPr>
        <w:t xml:space="preserve"> </w:t>
      </w:r>
      <w:r w:rsidR="00DF12B1">
        <w:rPr>
          <w:rFonts w:ascii="Times New Roman" w:hAnsi="Times New Roman"/>
          <w:color w:val="1C1C1C"/>
        </w:rPr>
        <w:t>-</w:t>
      </w:r>
      <w:r w:rsidR="00DF12B1" w:rsidRPr="00DF12B1">
        <w:rPr>
          <w:rFonts w:ascii="Times New Roman" w:hAnsi="Times New Roman"/>
          <w:color w:val="1C1C1C"/>
        </w:rPr>
        <w:t xml:space="preserve"> Return on capital employed (ROCE) is a financial statistic used to assess a company's profitability and capital efficiency. To put it another way. This ratio helps to </w:t>
      </w:r>
      <w:proofErr w:type="gramStart"/>
      <w:r w:rsidR="00DF12B1" w:rsidRPr="00DF12B1">
        <w:rPr>
          <w:rFonts w:ascii="Times New Roman" w:hAnsi="Times New Roman"/>
          <w:color w:val="1C1C1C"/>
        </w:rPr>
        <w:t>determine</w:t>
      </w:r>
      <w:proofErr w:type="gramEnd"/>
      <w:r w:rsidR="00DF12B1" w:rsidRPr="00DF12B1">
        <w:rPr>
          <w:rFonts w:ascii="Times New Roman" w:hAnsi="Times New Roman"/>
          <w:color w:val="1C1C1C"/>
        </w:rPr>
        <w:t xml:space="preserve"> how healthy an organisation is in terms of generating profits from its capital and how it is used. </w:t>
      </w:r>
      <w:r w:rsidR="00DF12B1">
        <w:rPr>
          <w:rFonts w:ascii="Times New Roman" w:hAnsi="Times New Roman"/>
          <w:color w:val="1C1C1C"/>
        </w:rPr>
        <w:t xml:space="preserve"> </w:t>
      </w:r>
      <w:r>
        <w:rPr>
          <w:rFonts w:ascii="Times New Roman" w:hAnsi="Times New Roman"/>
          <w:color w:val="1C1C1C"/>
        </w:rPr>
        <w:t xml:space="preserve">For example, If </w:t>
      </w:r>
      <w:proofErr w:type="spellStart"/>
      <w:proofErr w:type="gramStart"/>
      <w:r>
        <w:rPr>
          <w:rFonts w:ascii="Times New Roman" w:hAnsi="Times New Roman"/>
          <w:color w:val="1C1C1C"/>
        </w:rPr>
        <w:t>a</w:t>
      </w:r>
      <w:proofErr w:type="spellEnd"/>
      <w:proofErr w:type="gramEnd"/>
      <w:r>
        <w:rPr>
          <w:rFonts w:ascii="Times New Roman" w:hAnsi="Times New Roman"/>
          <w:color w:val="1C1C1C"/>
        </w:rPr>
        <w:t xml:space="preserve"> organisation have a ROCE of 20% may look great in comparison to </w:t>
      </w:r>
      <w:r w:rsidR="00EF5E5F">
        <w:rPr>
          <w:rFonts w:ascii="Times New Roman" w:hAnsi="Times New Roman"/>
          <w:color w:val="1C1C1C"/>
        </w:rPr>
        <w:t>an</w:t>
      </w:r>
      <w:r>
        <w:rPr>
          <w:rFonts w:ascii="Times New Roman" w:hAnsi="Times New Roman"/>
          <w:color w:val="1C1C1C"/>
        </w:rPr>
        <w:t xml:space="preserve"> organization with a ROCE of 10%. Nevertheless, if the benchmark of the business enterprise is 35%, both companies are considered to have a poor ROCE. The increase in the ROCE state the sweet plc is performing well from their last year.</w:t>
      </w:r>
    </w:p>
    <w:p w14:paraId="7E10F60A" w14:textId="77777777" w:rsidR="00A5567B" w:rsidRDefault="00A5567B">
      <w:pPr>
        <w:pStyle w:val="Standard"/>
        <w:widowControl/>
        <w:spacing w:line="360" w:lineRule="auto"/>
        <w:jc w:val="both"/>
        <w:rPr>
          <w:rFonts w:ascii="Times New Roman" w:hAnsi="Times New Roman"/>
          <w:color w:val="1C1C1C"/>
        </w:rPr>
      </w:pPr>
    </w:p>
    <w:p w14:paraId="6BBBEBD8"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Calculation of ROCE:</w:t>
      </w:r>
    </w:p>
    <w:p w14:paraId="2353B462"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Total assets - current liabilities</w:t>
      </w:r>
    </w:p>
    <w:p w14:paraId="5D3BD144" w14:textId="6B1EF513"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2</w:t>
      </w:r>
    </w:p>
    <w:p w14:paraId="5AD80A5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805/9736 − 2303 = 0.108</w:t>
      </w:r>
    </w:p>
    <w:p w14:paraId="2D11E0B5" w14:textId="234A5931" w:rsidR="00A5567B" w:rsidRDefault="00F63440">
      <w:pPr>
        <w:pStyle w:val="Standard"/>
        <w:spacing w:line="360" w:lineRule="auto"/>
        <w:jc w:val="both"/>
        <w:rPr>
          <w:rFonts w:ascii="Times New Roman" w:hAnsi="Times New Roman"/>
          <w:color w:val="1C1C1C"/>
        </w:rPr>
      </w:pPr>
      <w:r>
        <w:rPr>
          <w:rFonts w:ascii="Times New Roman" w:hAnsi="Times New Roman"/>
          <w:color w:val="1C1C1C"/>
          <w:u w:val="single"/>
        </w:rPr>
        <w:t>Year. 202</w:t>
      </w:r>
      <w:r w:rsidR="00F06C43">
        <w:rPr>
          <w:rFonts w:ascii="Times New Roman" w:hAnsi="Times New Roman"/>
          <w:color w:val="1C1C1C"/>
          <w:u w:val="single"/>
        </w:rPr>
        <w:t>1</w:t>
      </w:r>
      <w:r>
        <w:rPr>
          <w:rFonts w:ascii="Times New Roman" w:hAnsi="Times New Roman"/>
          <w:color w:val="1C1C1C"/>
          <w:u w:val="single"/>
        </w:rPr>
        <w:t>:</w:t>
      </w:r>
      <w:r>
        <w:rPr>
          <w:rFonts w:ascii="Times New Roman" w:hAnsi="Times New Roman"/>
          <w:color w:val="1C1C1C"/>
        </w:rPr>
        <w:t xml:space="preserve"> = 0.090</w:t>
      </w:r>
    </w:p>
    <w:p w14:paraId="21E65A92" w14:textId="77777777" w:rsidR="00A5567B" w:rsidRDefault="00A5567B">
      <w:pPr>
        <w:pStyle w:val="Standard"/>
        <w:widowControl/>
        <w:spacing w:line="360" w:lineRule="auto"/>
        <w:jc w:val="both"/>
        <w:rPr>
          <w:rFonts w:ascii="Times New Roman" w:hAnsi="Times New Roman"/>
          <w:color w:val="1C1C1C"/>
        </w:rPr>
      </w:pPr>
    </w:p>
    <w:p w14:paraId="1D2D4C36" w14:textId="2186B796" w:rsidR="00A5567B" w:rsidRDefault="00F63440">
      <w:pPr>
        <w:pStyle w:val="Standard"/>
        <w:widowControl/>
        <w:spacing w:line="360" w:lineRule="auto"/>
        <w:jc w:val="both"/>
        <w:rPr>
          <w:rFonts w:ascii="Times New Roman" w:hAnsi="Times New Roman"/>
          <w:color w:val="1C1C1C"/>
        </w:rPr>
      </w:pPr>
      <w:r w:rsidRPr="00565E3C">
        <w:rPr>
          <w:rFonts w:ascii="Times New Roman" w:hAnsi="Times New Roman"/>
          <w:b/>
          <w:bCs/>
          <w:color w:val="1C1C1C"/>
          <w:sz w:val="28"/>
          <w:szCs w:val="28"/>
        </w:rPr>
        <w:t>2-</w:t>
      </w:r>
      <w:r>
        <w:rPr>
          <w:rFonts w:ascii="Times New Roman" w:hAnsi="Times New Roman"/>
          <w:color w:val="1C1C1C"/>
        </w:rPr>
        <w:t xml:space="preserve"> </w:t>
      </w:r>
      <w:r>
        <w:rPr>
          <w:rFonts w:ascii="Times New Roman" w:hAnsi="Times New Roman"/>
          <w:b/>
          <w:bCs/>
          <w:color w:val="1C1C1C"/>
        </w:rPr>
        <w:t>ROE</w:t>
      </w:r>
      <w:r>
        <w:rPr>
          <w:rFonts w:ascii="Times New Roman" w:hAnsi="Times New Roman"/>
          <w:color w:val="1C1C1C"/>
        </w:rPr>
        <w:t>.</w:t>
      </w:r>
      <w:r w:rsidR="00502F09" w:rsidRPr="00502F09">
        <w:rPr>
          <w:rFonts w:ascii="Times New Roman" w:hAnsi="Times New Roman"/>
          <w:color w:val="1C1C1C"/>
        </w:rPr>
        <w:t xml:space="preserve"> Return on equity (ROE) measures a company's net financial gain/income divided by its shareholders' equity.</w:t>
      </w:r>
      <w:r>
        <w:rPr>
          <w:rFonts w:ascii="Times New Roman" w:hAnsi="Times New Roman"/>
          <w:color w:val="1C1C1C"/>
        </w:rPr>
        <w:t xml:space="preserve"> ROE is a criterion of a firm's lucrativeness and how expeditiously it </w:t>
      </w:r>
      <w:r w:rsidR="00EF5E5F">
        <w:rPr>
          <w:rFonts w:ascii="Times New Roman" w:hAnsi="Times New Roman"/>
          <w:color w:val="1C1C1C"/>
        </w:rPr>
        <w:t>gives</w:t>
      </w:r>
      <w:r>
        <w:rPr>
          <w:rFonts w:ascii="Times New Roman" w:hAnsi="Times New Roman"/>
          <w:color w:val="1C1C1C"/>
        </w:rPr>
        <w:t xml:space="preserve"> those income. High ROE state the company is </w:t>
      </w:r>
      <w:r w:rsidR="00CE428D">
        <w:rPr>
          <w:rFonts w:ascii="Times New Roman" w:hAnsi="Times New Roman"/>
          <w:color w:val="1C1C1C"/>
        </w:rPr>
        <w:t>healthier at</w:t>
      </w:r>
      <w:r>
        <w:rPr>
          <w:rFonts w:ascii="Times New Roman" w:hAnsi="Times New Roman"/>
          <w:color w:val="1C1C1C"/>
        </w:rPr>
        <w:t xml:space="preserve"> converting its equity financing into profits. This ratio of 15% to 20% is commonly advised good (Hasanaj, and Kuqi, 2019). And it is considered bad when this ratio is low 5%. In the case of sweet plc ongoing in the path of good ROE.</w:t>
      </w:r>
    </w:p>
    <w:p w14:paraId="6DD17DCB" w14:textId="77777777" w:rsidR="00A5567B" w:rsidRDefault="00A5567B">
      <w:pPr>
        <w:pStyle w:val="Standard"/>
        <w:widowControl/>
        <w:spacing w:line="360" w:lineRule="auto"/>
        <w:jc w:val="both"/>
        <w:rPr>
          <w:rFonts w:ascii="Times New Roman" w:hAnsi="Times New Roman"/>
          <w:color w:val="1C1C1C"/>
        </w:rPr>
      </w:pPr>
    </w:p>
    <w:p w14:paraId="18D3CE35"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Calculation of ROE</w:t>
      </w:r>
    </w:p>
    <w:p w14:paraId="109A8BAB"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Net Income/ Equity</w:t>
      </w:r>
    </w:p>
    <w:p w14:paraId="13ECCC61" w14:textId="3ACCBD8C"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 xml:space="preserve">Year. </w:t>
      </w:r>
      <w:r w:rsidR="00CE428D">
        <w:rPr>
          <w:rFonts w:ascii="Times New Roman" w:hAnsi="Times New Roman"/>
          <w:color w:val="1C1C1C"/>
          <w:u w:val="single"/>
        </w:rPr>
        <w:t>202</w:t>
      </w:r>
      <w:r w:rsidR="00F06C43">
        <w:rPr>
          <w:rFonts w:ascii="Times New Roman" w:hAnsi="Times New Roman"/>
          <w:color w:val="1C1C1C"/>
          <w:u w:val="single"/>
        </w:rPr>
        <w:t>2</w:t>
      </w:r>
      <w:r w:rsidR="00CE428D">
        <w:rPr>
          <w:rFonts w:ascii="Times New Roman" w:hAnsi="Times New Roman"/>
          <w:color w:val="1C1C1C"/>
          <w:u w:val="single"/>
        </w:rPr>
        <w:t>:</w:t>
      </w:r>
    </w:p>
    <w:p w14:paraId="7E6973F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lastRenderedPageBreak/>
        <w:t>431/3088 = 0.1396</w:t>
      </w:r>
    </w:p>
    <w:p w14:paraId="2E938714" w14:textId="77777777" w:rsidR="00A5567B" w:rsidRDefault="00A5567B">
      <w:pPr>
        <w:pStyle w:val="Standard"/>
        <w:spacing w:line="360" w:lineRule="auto"/>
        <w:jc w:val="both"/>
        <w:rPr>
          <w:rFonts w:ascii="Times New Roman" w:hAnsi="Times New Roman"/>
          <w:color w:val="1C1C1C"/>
        </w:rPr>
      </w:pPr>
    </w:p>
    <w:p w14:paraId="6CB1DFE8" w14:textId="094F658B"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1</w:t>
      </w:r>
      <w:r>
        <w:rPr>
          <w:rFonts w:ascii="Times New Roman" w:hAnsi="Times New Roman"/>
          <w:color w:val="1C1C1C"/>
          <w:u w:val="single"/>
        </w:rPr>
        <w:t>:</w:t>
      </w:r>
    </w:p>
    <w:p w14:paraId="7EE7B8B8"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366/2912 = 0.126</w:t>
      </w:r>
    </w:p>
    <w:p w14:paraId="1AA66B59" w14:textId="77777777" w:rsidR="00A5567B" w:rsidRDefault="00A5567B">
      <w:pPr>
        <w:pStyle w:val="Standard"/>
        <w:widowControl/>
        <w:spacing w:line="360" w:lineRule="auto"/>
        <w:jc w:val="both"/>
        <w:rPr>
          <w:rFonts w:ascii="Times New Roman" w:hAnsi="Times New Roman"/>
          <w:color w:val="1C1C1C"/>
        </w:rPr>
      </w:pPr>
    </w:p>
    <w:p w14:paraId="7D70FC96" w14:textId="77777777" w:rsidR="00A5567B" w:rsidRDefault="00A5567B">
      <w:pPr>
        <w:pStyle w:val="Standard"/>
        <w:widowControl/>
        <w:spacing w:line="360" w:lineRule="auto"/>
        <w:jc w:val="both"/>
        <w:rPr>
          <w:rFonts w:ascii="Times New Roman" w:hAnsi="Times New Roman"/>
          <w:color w:val="1C1C1C"/>
        </w:rPr>
      </w:pPr>
    </w:p>
    <w:p w14:paraId="7296FCBA" w14:textId="29A603DE" w:rsidR="00A5567B" w:rsidRDefault="00F63440">
      <w:pPr>
        <w:pStyle w:val="Standard"/>
        <w:widowControl/>
        <w:spacing w:line="360" w:lineRule="auto"/>
        <w:jc w:val="both"/>
        <w:rPr>
          <w:rFonts w:ascii="Times New Roman" w:hAnsi="Times New Roman"/>
          <w:color w:val="1C1C1C"/>
        </w:rPr>
      </w:pPr>
      <w:r w:rsidRPr="00565E3C">
        <w:rPr>
          <w:rFonts w:ascii="Times New Roman" w:hAnsi="Times New Roman"/>
          <w:b/>
          <w:bCs/>
          <w:color w:val="1C1C1C"/>
          <w:sz w:val="28"/>
          <w:szCs w:val="28"/>
        </w:rPr>
        <w:t>3-</w:t>
      </w:r>
      <w:r>
        <w:rPr>
          <w:rFonts w:ascii="Times New Roman" w:hAnsi="Times New Roman"/>
          <w:color w:val="1C1C1C"/>
        </w:rPr>
        <w:t xml:space="preserve"> </w:t>
      </w:r>
      <w:r w:rsidR="007C4D1C" w:rsidRPr="007C4D1C">
        <w:rPr>
          <w:rFonts w:ascii="Times New Roman" w:hAnsi="Times New Roman"/>
          <w:color w:val="1C1C1C"/>
        </w:rPr>
        <w:t xml:space="preserve">Earnings per share (EPS) is an institution's net income divided by the number of outstanding ordinary shares. EPS </w:t>
      </w:r>
      <w:proofErr w:type="gramStart"/>
      <w:r w:rsidR="007C4D1C" w:rsidRPr="007C4D1C">
        <w:rPr>
          <w:rFonts w:ascii="Times New Roman" w:hAnsi="Times New Roman"/>
          <w:color w:val="1C1C1C"/>
        </w:rPr>
        <w:t>represents</w:t>
      </w:r>
      <w:proofErr w:type="gramEnd"/>
      <w:r w:rsidR="007C4D1C" w:rsidRPr="007C4D1C">
        <w:rPr>
          <w:rFonts w:ascii="Times New Roman" w:hAnsi="Times New Roman"/>
          <w:color w:val="1C1C1C"/>
        </w:rPr>
        <w:t xml:space="preserve"> the amount of money generated by an organisation for each share of its stock and is a frequently used metric for calculating corporate value. There is no good or bad in EPS, however it is useful in comparing firms. Higher EPS are thought to assure growth and an increase in stock values. It is computed by dividing a company's net income by the number of outstanding shares, and the greater a company's EPS, the more profitable it is considered. Every quarter and in their annual results, the organisation reveals its EPS.</w:t>
      </w:r>
    </w:p>
    <w:p w14:paraId="256A5DB0" w14:textId="77777777" w:rsidR="00A5567B" w:rsidRDefault="00A5567B">
      <w:pPr>
        <w:pStyle w:val="Standard"/>
        <w:widowControl/>
        <w:spacing w:line="360" w:lineRule="auto"/>
        <w:jc w:val="both"/>
        <w:rPr>
          <w:rFonts w:ascii="Times New Roman" w:hAnsi="Times New Roman"/>
          <w:color w:val="1C1C1C"/>
        </w:rPr>
      </w:pPr>
    </w:p>
    <w:p w14:paraId="7C98F4FD"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Calculation of EPS</w:t>
      </w:r>
    </w:p>
    <w:p w14:paraId="12FB75C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Net income−preferred dividend/ number of common shares outstanding</w:t>
      </w:r>
    </w:p>
    <w:p w14:paraId="53E18A63" w14:textId="239851DA" w:rsidR="00A5567B" w:rsidRDefault="00F63440">
      <w:pPr>
        <w:pStyle w:val="Standard"/>
        <w:spacing w:line="360" w:lineRule="auto"/>
        <w:jc w:val="both"/>
        <w:rPr>
          <w:rFonts w:ascii="Times New Roman" w:hAnsi="Times New Roman"/>
          <w:color w:val="1C1C1C"/>
        </w:rPr>
      </w:pPr>
      <w:r>
        <w:rPr>
          <w:rFonts w:ascii="Times New Roman" w:hAnsi="Times New Roman"/>
          <w:color w:val="1C1C1C"/>
          <w:u w:val="single"/>
        </w:rPr>
        <w:t>Year. 202</w:t>
      </w:r>
      <w:r w:rsidR="00F06C43">
        <w:rPr>
          <w:rFonts w:ascii="Times New Roman" w:hAnsi="Times New Roman"/>
          <w:color w:val="1C1C1C"/>
          <w:u w:val="single"/>
        </w:rPr>
        <w:t>2</w:t>
      </w:r>
    </w:p>
    <w:p w14:paraId="0E86DBE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431−255/300 = 0.587</w:t>
      </w:r>
    </w:p>
    <w:p w14:paraId="66AFAC0C" w14:textId="77777777" w:rsidR="00A5567B" w:rsidRDefault="00A5567B">
      <w:pPr>
        <w:pStyle w:val="Standard"/>
        <w:spacing w:line="360" w:lineRule="auto"/>
        <w:jc w:val="both"/>
        <w:rPr>
          <w:rFonts w:ascii="Times New Roman" w:hAnsi="Times New Roman"/>
          <w:color w:val="1C1C1C"/>
        </w:rPr>
      </w:pPr>
    </w:p>
    <w:p w14:paraId="7C6834DA" w14:textId="52A01D46"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1</w:t>
      </w:r>
    </w:p>
    <w:p w14:paraId="44C08FFF"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366−242/300 = 0.41133</w:t>
      </w:r>
    </w:p>
    <w:p w14:paraId="2A610CC5" w14:textId="77777777" w:rsidR="00A5567B" w:rsidRDefault="00A5567B">
      <w:pPr>
        <w:pStyle w:val="Standard"/>
        <w:widowControl/>
        <w:spacing w:line="360" w:lineRule="auto"/>
        <w:jc w:val="both"/>
        <w:rPr>
          <w:rFonts w:ascii="Times New Roman" w:hAnsi="Times New Roman"/>
          <w:color w:val="1C1C1C"/>
        </w:rPr>
      </w:pPr>
    </w:p>
    <w:p w14:paraId="6833A0F4" w14:textId="123BF8F5" w:rsidR="00A5567B" w:rsidRPr="00995777" w:rsidRDefault="00F63440">
      <w:pPr>
        <w:pStyle w:val="Standard"/>
        <w:widowControl/>
        <w:spacing w:line="360" w:lineRule="auto"/>
        <w:jc w:val="both"/>
        <w:rPr>
          <w:rFonts w:ascii="Times New Roman" w:hAnsi="Times New Roman"/>
          <w:color w:val="1C1C1C"/>
        </w:rPr>
      </w:pPr>
      <w:r w:rsidRPr="00565E3C">
        <w:rPr>
          <w:rFonts w:ascii="Times New Roman" w:hAnsi="Times New Roman"/>
          <w:b/>
          <w:bCs/>
          <w:color w:val="1C1C1C"/>
          <w:sz w:val="28"/>
          <w:szCs w:val="28"/>
        </w:rPr>
        <w:t>4</w:t>
      </w:r>
      <w:r w:rsidR="00995777">
        <w:rPr>
          <w:rFonts w:ascii="Times New Roman" w:hAnsi="Times New Roman"/>
          <w:b/>
          <w:bCs/>
          <w:color w:val="1C1C1C"/>
          <w:sz w:val="28"/>
          <w:szCs w:val="28"/>
        </w:rPr>
        <w:t>-</w:t>
      </w:r>
      <w:r w:rsidR="001669E0" w:rsidRPr="001669E0">
        <w:rPr>
          <w:rFonts w:ascii="Times New Roman" w:hAnsi="Times New Roman"/>
          <w:b/>
          <w:bCs/>
          <w:color w:val="1C1C1C"/>
          <w:sz w:val="28"/>
          <w:szCs w:val="28"/>
        </w:rPr>
        <w:t xml:space="preserve">net </w:t>
      </w:r>
      <w:r w:rsidR="00E62EDA" w:rsidRPr="001669E0">
        <w:rPr>
          <w:rFonts w:ascii="Times New Roman" w:hAnsi="Times New Roman"/>
          <w:b/>
          <w:bCs/>
          <w:color w:val="1C1C1C"/>
          <w:sz w:val="28"/>
          <w:szCs w:val="28"/>
        </w:rPr>
        <w:t>profit</w:t>
      </w:r>
      <w:r w:rsidR="00B41591">
        <w:rPr>
          <w:rFonts w:ascii="Times New Roman" w:hAnsi="Times New Roman"/>
          <w:b/>
          <w:bCs/>
          <w:color w:val="1C1C1C"/>
          <w:sz w:val="28"/>
          <w:szCs w:val="28"/>
        </w:rPr>
        <w:t xml:space="preserve"> </w:t>
      </w:r>
      <w:r w:rsidR="001669E0" w:rsidRPr="00995777">
        <w:rPr>
          <w:rFonts w:ascii="Times New Roman" w:hAnsi="Times New Roman"/>
          <w:color w:val="1C1C1C"/>
        </w:rPr>
        <w:t xml:space="preserve">of an organisation is the ratio of net earnings to income derived by subtracting costs from total revenue. A reasonable profit margin is 10%, </w:t>
      </w:r>
      <w:r w:rsidR="00995777" w:rsidRPr="00995777">
        <w:rPr>
          <w:rFonts w:ascii="Times New Roman" w:hAnsi="Times New Roman"/>
          <w:color w:val="1C1C1C"/>
        </w:rPr>
        <w:t>while</w:t>
      </w:r>
      <w:r w:rsidR="001669E0" w:rsidRPr="00995777">
        <w:rPr>
          <w:rFonts w:ascii="Times New Roman" w:hAnsi="Times New Roman"/>
          <w:color w:val="1C1C1C"/>
        </w:rPr>
        <w:t xml:space="preserve"> a huge profit margin is 20%. A bad margin is 5%, </w:t>
      </w:r>
      <w:r w:rsidR="00995777" w:rsidRPr="00995777">
        <w:rPr>
          <w:rFonts w:ascii="Times New Roman" w:hAnsi="Times New Roman"/>
          <w:color w:val="1C1C1C"/>
        </w:rPr>
        <w:t>while</w:t>
      </w:r>
      <w:r w:rsidR="001669E0" w:rsidRPr="00995777">
        <w:rPr>
          <w:rFonts w:ascii="Times New Roman" w:hAnsi="Times New Roman"/>
          <w:color w:val="1C1C1C"/>
        </w:rPr>
        <w:t xml:space="preserve"> a good margin is 10%.</w:t>
      </w:r>
    </w:p>
    <w:p w14:paraId="1FB2A41B" w14:textId="77777777" w:rsidR="00A5567B" w:rsidRDefault="00A5567B">
      <w:pPr>
        <w:pStyle w:val="Standard"/>
        <w:widowControl/>
        <w:spacing w:line="360" w:lineRule="auto"/>
        <w:jc w:val="both"/>
        <w:rPr>
          <w:rFonts w:ascii="Times New Roman" w:hAnsi="Times New Roman"/>
          <w:color w:val="1C1C1C"/>
        </w:rPr>
      </w:pPr>
    </w:p>
    <w:p w14:paraId="234E7621"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Calculation of net profit margin</w:t>
      </w:r>
    </w:p>
    <w:p w14:paraId="14168D0F"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Revenue−cost/ Revenue</w:t>
      </w:r>
    </w:p>
    <w:p w14:paraId="402E2D59" w14:textId="34DB8353" w:rsidR="00A5567B" w:rsidRDefault="00F63440">
      <w:pPr>
        <w:pStyle w:val="Standard"/>
        <w:spacing w:line="360" w:lineRule="auto"/>
        <w:jc w:val="both"/>
        <w:rPr>
          <w:rFonts w:ascii="Times New Roman" w:hAnsi="Times New Roman"/>
          <w:color w:val="1C1C1C"/>
        </w:rPr>
      </w:pPr>
      <w:r>
        <w:rPr>
          <w:rFonts w:ascii="Times New Roman" w:hAnsi="Times New Roman"/>
          <w:color w:val="1C1C1C"/>
          <w:u w:val="single"/>
        </w:rPr>
        <w:t>Year. 202</w:t>
      </w:r>
      <w:r w:rsidR="00F06C43">
        <w:rPr>
          <w:rFonts w:ascii="Times New Roman" w:hAnsi="Times New Roman"/>
          <w:color w:val="1C1C1C"/>
          <w:u w:val="single"/>
        </w:rPr>
        <w:t>2</w:t>
      </w:r>
    </w:p>
    <w:p w14:paraId="468E9250"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6738 − 2698/6738 = 0.5995</w:t>
      </w:r>
    </w:p>
    <w:p w14:paraId="668FDEE0" w14:textId="77777777" w:rsidR="00A5567B" w:rsidRDefault="00A5567B">
      <w:pPr>
        <w:pStyle w:val="Standard"/>
        <w:spacing w:line="360" w:lineRule="auto"/>
        <w:jc w:val="both"/>
        <w:rPr>
          <w:rFonts w:ascii="Times New Roman" w:hAnsi="Times New Roman"/>
          <w:color w:val="1C1C1C"/>
        </w:rPr>
      </w:pPr>
    </w:p>
    <w:p w14:paraId="38663315" w14:textId="0BD4F8D7" w:rsidR="00A5567B" w:rsidRDefault="00F63440">
      <w:pPr>
        <w:pStyle w:val="Standard"/>
        <w:widowControl/>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1</w:t>
      </w:r>
    </w:p>
    <w:p w14:paraId="43C28232"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6441 − 2646/6441 = 0.5891</w:t>
      </w:r>
    </w:p>
    <w:p w14:paraId="1809A2A4" w14:textId="77777777" w:rsidR="00A5567B" w:rsidRDefault="00A5567B">
      <w:pPr>
        <w:pStyle w:val="Standard"/>
        <w:widowControl/>
        <w:spacing w:line="360" w:lineRule="auto"/>
        <w:jc w:val="both"/>
        <w:rPr>
          <w:rFonts w:ascii="Times New Roman" w:hAnsi="Times New Roman"/>
          <w:color w:val="1C1C1C"/>
        </w:rPr>
      </w:pPr>
    </w:p>
    <w:p w14:paraId="44B12553" w14:textId="6750B23A" w:rsidR="00A5567B" w:rsidRDefault="00F63440">
      <w:pPr>
        <w:pStyle w:val="Standard"/>
        <w:spacing w:line="360" w:lineRule="auto"/>
        <w:jc w:val="both"/>
        <w:rPr>
          <w:rFonts w:ascii="Times New Roman" w:hAnsi="Times New Roman"/>
          <w:color w:val="1C1C1C"/>
        </w:rPr>
      </w:pPr>
      <w:r w:rsidRPr="00565E3C">
        <w:rPr>
          <w:rFonts w:ascii="Times New Roman" w:hAnsi="Times New Roman"/>
          <w:b/>
          <w:bCs/>
          <w:color w:val="1C1C1C"/>
          <w:sz w:val="28"/>
          <w:szCs w:val="28"/>
        </w:rPr>
        <w:t>5-</w:t>
      </w:r>
      <w:r>
        <w:rPr>
          <w:rFonts w:ascii="Times New Roman" w:hAnsi="Times New Roman"/>
          <w:color w:val="1C1C1C"/>
        </w:rPr>
        <w:t xml:space="preserve"> </w:t>
      </w:r>
      <w:r>
        <w:rPr>
          <w:rFonts w:ascii="Times New Roman" w:hAnsi="Times New Roman"/>
          <w:b/>
          <w:bCs/>
          <w:color w:val="1C1C1C"/>
        </w:rPr>
        <w:t>Asset turnover</w:t>
      </w:r>
      <w:r>
        <w:rPr>
          <w:rFonts w:ascii="Times New Roman" w:hAnsi="Times New Roman"/>
          <w:color w:val="1C1C1C"/>
        </w:rPr>
        <w:t xml:space="preserve">- </w:t>
      </w:r>
      <w:r w:rsidR="00CE428D">
        <w:rPr>
          <w:rFonts w:ascii="Times New Roman" w:hAnsi="Times New Roman"/>
          <w:color w:val="1C1C1C"/>
        </w:rPr>
        <w:t>This ratio</w:t>
      </w:r>
      <w:r>
        <w:rPr>
          <w:rFonts w:ascii="Times New Roman" w:hAnsi="Times New Roman"/>
          <w:color w:val="1C1C1C"/>
        </w:rPr>
        <w:t xml:space="preserve"> is the </w:t>
      </w:r>
      <w:r w:rsidR="00CE428D">
        <w:rPr>
          <w:rFonts w:ascii="Times New Roman" w:hAnsi="Times New Roman"/>
          <w:color w:val="1C1C1C"/>
        </w:rPr>
        <w:t>of gross</w:t>
      </w:r>
      <w:r>
        <w:rPr>
          <w:rFonts w:ascii="Times New Roman" w:hAnsi="Times New Roman"/>
          <w:color w:val="1C1C1C"/>
        </w:rPr>
        <w:t xml:space="preserve"> sales or income to average assets. This </w:t>
      </w:r>
      <w:r w:rsidR="00CE428D">
        <w:rPr>
          <w:rFonts w:ascii="Times New Roman" w:hAnsi="Times New Roman"/>
          <w:color w:val="1C1C1C"/>
        </w:rPr>
        <w:t xml:space="preserve">measurement </w:t>
      </w:r>
      <w:r w:rsidR="005214A2">
        <w:rPr>
          <w:rFonts w:ascii="Times New Roman" w:hAnsi="Times New Roman"/>
          <w:color w:val="1C1C1C"/>
        </w:rPr>
        <w:lastRenderedPageBreak/>
        <w:t>aids</w:t>
      </w:r>
      <w:r>
        <w:rPr>
          <w:rFonts w:ascii="Times New Roman" w:hAnsi="Times New Roman"/>
          <w:color w:val="1C1C1C"/>
        </w:rPr>
        <w:t xml:space="preserve"> investors to interpret how efficiently and effectively organization are exploit their assets to yield sales (Shabbir, and Wisdom, 2020). </w:t>
      </w:r>
      <w:r w:rsidR="00CE428D">
        <w:rPr>
          <w:rFonts w:ascii="Times New Roman" w:hAnsi="Times New Roman"/>
          <w:color w:val="1C1C1C"/>
        </w:rPr>
        <w:t>Capitalists</w:t>
      </w:r>
      <w:r>
        <w:rPr>
          <w:rFonts w:ascii="Times New Roman" w:hAnsi="Times New Roman"/>
          <w:color w:val="1C1C1C"/>
        </w:rPr>
        <w:t xml:space="preserve"> exercise the asset turnover ratio in comparison to related organisation in the identical sector.</w:t>
      </w:r>
      <w:r w:rsidR="006B2E31" w:rsidRPr="006B2E31">
        <w:t xml:space="preserve"> </w:t>
      </w:r>
      <w:r w:rsidR="006B2E31" w:rsidRPr="006B2E31">
        <w:rPr>
          <w:rFonts w:ascii="Times New Roman" w:hAnsi="Times New Roman"/>
          <w:color w:val="1C1C1C"/>
        </w:rPr>
        <w:t>As in the retail industry, a ratio of 2.5 or more may be considered desirable, but a firm in the inferior sector is more likely to want an asset turnover ratio between 0.25 and 0.5. As in the case of Sweet Plc, their ratio is greater than 0.5, i.e. 0.69, implying that 69 cents are created for every dollar invested.</w:t>
      </w:r>
      <w:r>
        <w:rPr>
          <w:rFonts w:ascii="Times New Roman" w:hAnsi="Times New Roman"/>
          <w:color w:val="1C1C1C"/>
        </w:rPr>
        <w:t xml:space="preserve"> </w:t>
      </w:r>
    </w:p>
    <w:p w14:paraId="5AF1C063"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 </w:t>
      </w:r>
    </w:p>
    <w:p w14:paraId="076E6AA3" w14:textId="77777777"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Calculation of Asset Turnover</w:t>
      </w:r>
    </w:p>
    <w:p w14:paraId="31FDAC6F"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Revenue/ Total assets</w:t>
      </w:r>
    </w:p>
    <w:p w14:paraId="6BCCE128" w14:textId="37372E84" w:rsidR="00A5567B" w:rsidRDefault="00F63440">
      <w:pPr>
        <w:pStyle w:val="Standard"/>
        <w:spacing w:line="360" w:lineRule="auto"/>
        <w:jc w:val="both"/>
        <w:rPr>
          <w:rFonts w:ascii="Times New Roman" w:hAnsi="Times New Roman"/>
          <w:color w:val="1C1C1C"/>
        </w:rPr>
      </w:pPr>
      <w:r>
        <w:rPr>
          <w:rFonts w:ascii="Times New Roman" w:hAnsi="Times New Roman"/>
          <w:color w:val="1C1C1C"/>
        </w:rPr>
        <w:t>Year. 202</w:t>
      </w:r>
      <w:r w:rsidR="00F06C43">
        <w:rPr>
          <w:rFonts w:ascii="Times New Roman" w:hAnsi="Times New Roman"/>
          <w:color w:val="1C1C1C"/>
        </w:rPr>
        <w:t>2</w:t>
      </w:r>
    </w:p>
    <w:p w14:paraId="2DE6BCA2"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6738/9736 = 0.692</w:t>
      </w:r>
    </w:p>
    <w:p w14:paraId="07DF6B7F" w14:textId="77777777" w:rsidR="00A5567B" w:rsidRDefault="00A5567B">
      <w:pPr>
        <w:pStyle w:val="Standard"/>
        <w:spacing w:line="360" w:lineRule="auto"/>
        <w:jc w:val="both"/>
        <w:rPr>
          <w:rFonts w:ascii="Times New Roman" w:hAnsi="Times New Roman"/>
          <w:color w:val="1C1C1C"/>
        </w:rPr>
      </w:pPr>
    </w:p>
    <w:p w14:paraId="212B960B" w14:textId="00496D76" w:rsidR="00A5567B" w:rsidRDefault="00F63440">
      <w:pPr>
        <w:pStyle w:val="Standard"/>
        <w:spacing w:line="360" w:lineRule="auto"/>
        <w:jc w:val="both"/>
        <w:rPr>
          <w:rFonts w:ascii="Times New Roman" w:hAnsi="Times New Roman"/>
          <w:color w:val="1C1C1C"/>
        </w:rPr>
      </w:pPr>
      <w:r>
        <w:rPr>
          <w:rFonts w:ascii="Times New Roman" w:hAnsi="Times New Roman"/>
          <w:color w:val="1C1C1C"/>
        </w:rPr>
        <w:t>Year 202</w:t>
      </w:r>
      <w:r w:rsidR="00F06C43">
        <w:rPr>
          <w:rFonts w:ascii="Times New Roman" w:hAnsi="Times New Roman"/>
          <w:color w:val="1C1C1C"/>
        </w:rPr>
        <w:t>1</w:t>
      </w:r>
    </w:p>
    <w:p w14:paraId="2027F29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6441/10087 = 0.639</w:t>
      </w:r>
    </w:p>
    <w:p w14:paraId="37929FD0" w14:textId="77777777" w:rsidR="00A5567B" w:rsidRDefault="00A5567B">
      <w:pPr>
        <w:pStyle w:val="Standard"/>
        <w:widowControl/>
        <w:spacing w:line="360" w:lineRule="auto"/>
        <w:jc w:val="both"/>
        <w:rPr>
          <w:rFonts w:ascii="Times New Roman" w:hAnsi="Times New Roman"/>
          <w:color w:val="1C1C1C"/>
        </w:rPr>
      </w:pPr>
    </w:p>
    <w:p w14:paraId="0F09CC4D" w14:textId="77777777" w:rsidR="00A5567B" w:rsidRDefault="00A5567B">
      <w:pPr>
        <w:pStyle w:val="Standard"/>
        <w:widowControl/>
        <w:spacing w:line="360" w:lineRule="auto"/>
        <w:jc w:val="both"/>
        <w:rPr>
          <w:rFonts w:ascii="Times New Roman" w:hAnsi="Times New Roman"/>
          <w:color w:val="1C1C1C"/>
        </w:rPr>
      </w:pPr>
    </w:p>
    <w:p w14:paraId="317B3F55" w14:textId="5AE50036" w:rsidR="00576150" w:rsidRDefault="00F63440" w:rsidP="00576150">
      <w:pPr>
        <w:pStyle w:val="Standard"/>
        <w:widowControl/>
        <w:spacing w:line="360" w:lineRule="auto"/>
        <w:jc w:val="both"/>
        <w:rPr>
          <w:rFonts w:ascii="Times New Roman" w:hAnsi="Times New Roman"/>
          <w:color w:val="1C1C1C"/>
        </w:rPr>
      </w:pPr>
      <w:r w:rsidRPr="00565E3C">
        <w:rPr>
          <w:rFonts w:ascii="Times New Roman" w:hAnsi="Times New Roman"/>
          <w:b/>
          <w:bCs/>
          <w:color w:val="1C1C1C"/>
          <w:sz w:val="28"/>
          <w:szCs w:val="28"/>
        </w:rPr>
        <w:t>6</w:t>
      </w:r>
      <w:r w:rsidRPr="004F181C">
        <w:rPr>
          <w:rFonts w:ascii="Times New Roman" w:hAnsi="Times New Roman"/>
          <w:b/>
          <w:bCs/>
          <w:color w:val="1C1C1C"/>
          <w:sz w:val="28"/>
          <w:szCs w:val="28"/>
        </w:rPr>
        <w:t>-</w:t>
      </w:r>
      <w:r w:rsidR="004F181C" w:rsidRPr="004F181C">
        <w:rPr>
          <w:rFonts w:ascii="Times New Roman" w:hAnsi="Times New Roman"/>
          <w:b/>
          <w:bCs/>
          <w:color w:val="1C1C1C"/>
          <w:sz w:val="28"/>
          <w:szCs w:val="28"/>
        </w:rPr>
        <w:t>Days of stock holding</w:t>
      </w:r>
      <w:r>
        <w:rPr>
          <w:rFonts w:ascii="Times New Roman" w:hAnsi="Times New Roman"/>
          <w:b/>
          <w:bCs/>
          <w:color w:val="1C1C1C"/>
        </w:rPr>
        <w:t xml:space="preserve"> </w:t>
      </w:r>
      <w:r>
        <w:rPr>
          <w:rFonts w:ascii="Times New Roman" w:hAnsi="Times New Roman"/>
          <w:color w:val="1C1C1C"/>
        </w:rPr>
        <w:t xml:space="preserve">-Inventory Holding Period is a ratio that </w:t>
      </w:r>
      <w:r w:rsidR="00A57590">
        <w:rPr>
          <w:rFonts w:ascii="Times New Roman" w:hAnsi="Times New Roman"/>
          <w:color w:val="1C1C1C"/>
        </w:rPr>
        <w:t>shows</w:t>
      </w:r>
      <w:r>
        <w:rPr>
          <w:rFonts w:ascii="Times New Roman" w:hAnsi="Times New Roman"/>
          <w:color w:val="1C1C1C"/>
        </w:rPr>
        <w:t xml:space="preserve"> the average time in </w:t>
      </w:r>
      <w:r w:rsidR="00CE428D">
        <w:rPr>
          <w:rFonts w:ascii="Times New Roman" w:hAnsi="Times New Roman"/>
          <w:color w:val="1C1C1C"/>
        </w:rPr>
        <w:t>a day</w:t>
      </w:r>
      <w:r>
        <w:rPr>
          <w:rFonts w:ascii="Times New Roman" w:hAnsi="Times New Roman"/>
          <w:color w:val="1C1C1C"/>
        </w:rPr>
        <w:t xml:space="preserve"> for which an organisation holds stock before sales. which also includes goods that are in work in progress. It </w:t>
      </w:r>
      <w:r w:rsidR="00A57590">
        <w:rPr>
          <w:rFonts w:ascii="Times New Roman" w:hAnsi="Times New Roman"/>
          <w:color w:val="1C1C1C"/>
        </w:rPr>
        <w:t>proves</w:t>
      </w:r>
      <w:r>
        <w:rPr>
          <w:rFonts w:ascii="Times New Roman" w:hAnsi="Times New Roman"/>
          <w:color w:val="1C1C1C"/>
        </w:rPr>
        <w:t xml:space="preserve"> the number of days it takes for stock to revolve in the business organization</w:t>
      </w:r>
      <w:r w:rsidR="003C2891">
        <w:rPr>
          <w:rFonts w:ascii="Times New Roman" w:hAnsi="Times New Roman"/>
          <w:color w:val="1C1C1C"/>
        </w:rPr>
        <w:t xml:space="preserve">. </w:t>
      </w:r>
      <w:r w:rsidR="003C2891" w:rsidRPr="003C2891">
        <w:rPr>
          <w:rFonts w:ascii="Times New Roman" w:hAnsi="Times New Roman"/>
          <w:color w:val="1C1C1C"/>
        </w:rPr>
        <w:t>An average stock is calculated as (Opening stock + Closing stock) / 2. The inventory holding duration is often referred to as the efficiency ratio. Experts agree that a good stock holding period is between 30 and 60 days. This will differ depending on the type of company, the size of the organisation, and other factors.</w:t>
      </w:r>
    </w:p>
    <w:p w14:paraId="05EF625E" w14:textId="60396D21" w:rsidR="00A5567B" w:rsidRDefault="00A5567B">
      <w:pPr>
        <w:pStyle w:val="Standard"/>
        <w:widowControl/>
        <w:spacing w:line="360" w:lineRule="auto"/>
        <w:jc w:val="both"/>
        <w:rPr>
          <w:rFonts w:ascii="Times New Roman" w:hAnsi="Times New Roman"/>
          <w:color w:val="1C1C1C"/>
        </w:rPr>
      </w:pPr>
    </w:p>
    <w:p w14:paraId="4B9D730F" w14:textId="77777777" w:rsidR="00A5567B" w:rsidRDefault="00A5567B">
      <w:pPr>
        <w:pStyle w:val="Standard"/>
        <w:widowControl/>
        <w:spacing w:line="360" w:lineRule="auto"/>
        <w:jc w:val="both"/>
        <w:rPr>
          <w:rFonts w:ascii="Times New Roman" w:hAnsi="Times New Roman"/>
          <w:color w:val="1C1C1C"/>
        </w:rPr>
      </w:pPr>
    </w:p>
    <w:p w14:paraId="59527F1E" w14:textId="77777777" w:rsidR="00C634A3" w:rsidRDefault="00C634A3">
      <w:pPr>
        <w:pStyle w:val="Standard"/>
        <w:widowControl/>
        <w:spacing w:line="360" w:lineRule="auto"/>
        <w:jc w:val="both"/>
        <w:rPr>
          <w:rFonts w:ascii="Times New Roman" w:hAnsi="Times New Roman"/>
          <w:b/>
          <w:bCs/>
          <w:color w:val="1C1C1C"/>
        </w:rPr>
      </w:pPr>
    </w:p>
    <w:p w14:paraId="4F0BC7F3" w14:textId="77777777" w:rsidR="00C634A3" w:rsidRDefault="00C634A3">
      <w:pPr>
        <w:pStyle w:val="Standard"/>
        <w:widowControl/>
        <w:spacing w:line="360" w:lineRule="auto"/>
        <w:jc w:val="both"/>
        <w:rPr>
          <w:rFonts w:ascii="Times New Roman" w:hAnsi="Times New Roman"/>
          <w:b/>
          <w:bCs/>
          <w:color w:val="1C1C1C"/>
        </w:rPr>
      </w:pPr>
    </w:p>
    <w:p w14:paraId="17FE1AFA" w14:textId="4CE38255" w:rsidR="00A5567B" w:rsidRPr="00A13A89" w:rsidRDefault="00A13A89">
      <w:pPr>
        <w:pStyle w:val="Standard"/>
        <w:widowControl/>
        <w:spacing w:line="360" w:lineRule="auto"/>
        <w:jc w:val="both"/>
        <w:rPr>
          <w:rFonts w:ascii="Times New Roman" w:hAnsi="Times New Roman"/>
          <w:b/>
          <w:bCs/>
          <w:color w:val="1C1C1C"/>
        </w:rPr>
      </w:pPr>
      <w:r w:rsidRPr="00A13A89">
        <w:rPr>
          <w:rFonts w:ascii="Times New Roman" w:hAnsi="Times New Roman"/>
          <w:b/>
          <w:bCs/>
          <w:color w:val="1C1C1C"/>
        </w:rPr>
        <w:t>Stock holding days calculation.</w:t>
      </w:r>
    </w:p>
    <w:p w14:paraId="0A5DB793" w14:textId="4B08DC42" w:rsidR="00A5567B" w:rsidRDefault="00F63440">
      <w:pPr>
        <w:pStyle w:val="Standard"/>
        <w:spacing w:line="360" w:lineRule="auto"/>
        <w:jc w:val="both"/>
        <w:rPr>
          <w:rFonts w:ascii="Times New Roman" w:hAnsi="Times New Roman"/>
          <w:color w:val="1C1C1C"/>
        </w:rPr>
      </w:pPr>
      <w:r>
        <w:rPr>
          <w:rFonts w:ascii="Times New Roman" w:hAnsi="Times New Roman"/>
          <w:color w:val="1C1C1C"/>
        </w:rPr>
        <w:t xml:space="preserve">Inventory/Cost of goods sold x </w:t>
      </w:r>
      <w:r w:rsidR="00CE428D">
        <w:rPr>
          <w:rFonts w:ascii="Times New Roman" w:hAnsi="Times New Roman"/>
          <w:color w:val="1C1C1C"/>
        </w:rPr>
        <w:t>365.</w:t>
      </w:r>
    </w:p>
    <w:p w14:paraId="48583235" w14:textId="6E370D04" w:rsidR="00A5567B" w:rsidRDefault="00F63440">
      <w:pPr>
        <w:pStyle w:val="Standard"/>
        <w:spacing w:line="360" w:lineRule="auto"/>
        <w:jc w:val="both"/>
        <w:rPr>
          <w:rFonts w:ascii="Times New Roman" w:hAnsi="Times New Roman"/>
          <w:color w:val="1C1C1C"/>
        </w:rPr>
      </w:pPr>
      <w:r>
        <w:rPr>
          <w:rFonts w:ascii="Times New Roman" w:hAnsi="Times New Roman"/>
          <w:color w:val="1C1C1C"/>
          <w:u w:val="single"/>
        </w:rPr>
        <w:t>Year. 202</w:t>
      </w:r>
      <w:r w:rsidR="00F06C43">
        <w:rPr>
          <w:rFonts w:ascii="Times New Roman" w:hAnsi="Times New Roman"/>
          <w:color w:val="1C1C1C"/>
          <w:u w:val="single"/>
        </w:rPr>
        <w:t>2</w:t>
      </w:r>
    </w:p>
    <w:p w14:paraId="7A8AF0BE"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708 x 365/3235 = 80 days</w:t>
      </w:r>
    </w:p>
    <w:p w14:paraId="3F42B2E4" w14:textId="383A6CA6"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1</w:t>
      </w:r>
    </w:p>
    <w:p w14:paraId="7CD5B70E" w14:textId="72A74FC5"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659 x 365/309</w:t>
      </w:r>
      <w:r w:rsidR="00415BA5">
        <w:rPr>
          <w:rFonts w:ascii="Times New Roman" w:hAnsi="Times New Roman"/>
          <w:color w:val="1C1C1C"/>
        </w:rPr>
        <w:t>6</w:t>
      </w:r>
    </w:p>
    <w:p w14:paraId="2DDC994F"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=78 days</w:t>
      </w:r>
    </w:p>
    <w:p w14:paraId="02F2440B" w14:textId="77777777" w:rsidR="00A5567B" w:rsidRDefault="00A5567B">
      <w:pPr>
        <w:pStyle w:val="Standard"/>
        <w:widowControl/>
        <w:spacing w:line="360" w:lineRule="auto"/>
        <w:jc w:val="both"/>
        <w:rPr>
          <w:rFonts w:ascii="Times New Roman" w:hAnsi="Times New Roman"/>
          <w:color w:val="1C1C1C"/>
        </w:rPr>
      </w:pPr>
    </w:p>
    <w:p w14:paraId="23291365" w14:textId="77777777" w:rsidR="00A5567B" w:rsidRDefault="00A5567B">
      <w:pPr>
        <w:pStyle w:val="Standard"/>
        <w:widowControl/>
        <w:spacing w:line="360" w:lineRule="auto"/>
        <w:jc w:val="both"/>
        <w:rPr>
          <w:rFonts w:ascii="Times New Roman" w:hAnsi="Times New Roman"/>
          <w:color w:val="1C1C1C"/>
        </w:rPr>
      </w:pPr>
    </w:p>
    <w:p w14:paraId="79D9C269" w14:textId="13514C69" w:rsidR="00A5567B" w:rsidRDefault="00F63440">
      <w:pPr>
        <w:pStyle w:val="Standard"/>
        <w:widowControl/>
        <w:spacing w:line="360" w:lineRule="auto"/>
        <w:jc w:val="both"/>
        <w:rPr>
          <w:rFonts w:ascii="Times New Roman" w:hAnsi="Times New Roman"/>
          <w:color w:val="1C1C1C"/>
        </w:rPr>
      </w:pPr>
      <w:r w:rsidRPr="003D4819">
        <w:rPr>
          <w:rFonts w:ascii="Times New Roman" w:hAnsi="Times New Roman"/>
          <w:b/>
          <w:bCs/>
          <w:color w:val="1C1C1C"/>
          <w:sz w:val="28"/>
          <w:szCs w:val="28"/>
        </w:rPr>
        <w:t>7-</w:t>
      </w:r>
      <w:r w:rsidR="006E6C02" w:rsidRPr="003D4819">
        <w:rPr>
          <w:rFonts w:ascii="Times New Roman" w:hAnsi="Times New Roman" w:cs="Times New Roman"/>
          <w:b/>
          <w:bCs/>
          <w:sz w:val="28"/>
          <w:szCs w:val="28"/>
        </w:rPr>
        <w:t xml:space="preserve">Debt </w:t>
      </w:r>
      <w:r w:rsidR="003D4819" w:rsidRPr="003D4819">
        <w:rPr>
          <w:rFonts w:ascii="Times New Roman" w:hAnsi="Times New Roman" w:cs="Times New Roman"/>
          <w:b/>
          <w:bCs/>
          <w:sz w:val="28"/>
          <w:szCs w:val="28"/>
        </w:rPr>
        <w:t>collector period</w:t>
      </w:r>
      <w:r w:rsidR="00DC2472" w:rsidRPr="00DC2472">
        <w:rPr>
          <w:rFonts w:ascii="Times New Roman" w:hAnsi="Times New Roman"/>
          <w:b/>
          <w:bCs/>
          <w:color w:val="1C1C1C"/>
          <w:sz w:val="28"/>
          <w:szCs w:val="28"/>
        </w:rPr>
        <w:t xml:space="preserve"> </w:t>
      </w:r>
      <w:r>
        <w:rPr>
          <w:rFonts w:ascii="Times New Roman" w:hAnsi="Times New Roman"/>
          <w:color w:val="1C1C1C"/>
        </w:rPr>
        <w:t xml:space="preserve">– It is known as Average collection period </w:t>
      </w:r>
      <w:r w:rsidR="00CE428D">
        <w:rPr>
          <w:rFonts w:ascii="Times New Roman" w:hAnsi="Times New Roman"/>
          <w:color w:val="1C1C1C"/>
        </w:rPr>
        <w:t>which state</w:t>
      </w:r>
      <w:r>
        <w:rPr>
          <w:rFonts w:ascii="Times New Roman" w:hAnsi="Times New Roman"/>
          <w:color w:val="1C1C1C"/>
        </w:rPr>
        <w:t xml:space="preserve"> that the sum of time takes by the business to have their payments which is due by its clients in terms of account </w:t>
      </w:r>
      <w:r w:rsidR="00CE428D">
        <w:rPr>
          <w:rFonts w:ascii="Times New Roman" w:hAnsi="Times New Roman"/>
          <w:color w:val="1C1C1C"/>
        </w:rPr>
        <w:t>receivable (</w:t>
      </w:r>
      <w:r>
        <w:rPr>
          <w:rFonts w:ascii="Times New Roman" w:hAnsi="Times New Roman"/>
          <w:color w:val="1C1C1C"/>
        </w:rPr>
        <w:t>AR</w:t>
      </w:r>
      <w:r w:rsidR="00AC7944">
        <w:rPr>
          <w:rFonts w:ascii="Times New Roman" w:hAnsi="Times New Roman"/>
          <w:color w:val="1C1C1C"/>
        </w:rPr>
        <w:t>).</w:t>
      </w:r>
      <w:r w:rsidR="00AC7944" w:rsidRPr="00AC7944">
        <w:rPr>
          <w:rFonts w:ascii="Times New Roman" w:hAnsi="Times New Roman"/>
          <w:color w:val="1C1C1C"/>
        </w:rPr>
        <w:t xml:space="preserve"> Organisations use the average collecting period to ensure they have enough cash on hand to meet their financial responsibilities.</w:t>
      </w:r>
      <w:r>
        <w:rPr>
          <w:rFonts w:ascii="Times New Roman" w:hAnsi="Times New Roman"/>
          <w:color w:val="1C1C1C"/>
        </w:rPr>
        <w:t xml:space="preserve"> (</w:t>
      </w:r>
      <w:proofErr w:type="spellStart"/>
      <w:r>
        <w:rPr>
          <w:rFonts w:ascii="Times New Roman" w:hAnsi="Times New Roman"/>
          <w:color w:val="1C1C1C"/>
        </w:rPr>
        <w:t>Gofwan</w:t>
      </w:r>
      <w:proofErr w:type="spellEnd"/>
      <w:r>
        <w:rPr>
          <w:rFonts w:ascii="Times New Roman" w:hAnsi="Times New Roman"/>
          <w:color w:val="1C1C1C"/>
        </w:rPr>
        <w:t xml:space="preserve">, 2022). The </w:t>
      </w:r>
      <w:r w:rsidR="00CE428D">
        <w:rPr>
          <w:rFonts w:ascii="Times New Roman" w:hAnsi="Times New Roman"/>
          <w:color w:val="1C1C1C"/>
        </w:rPr>
        <w:t>period in</w:t>
      </w:r>
      <w:r>
        <w:rPr>
          <w:rFonts w:ascii="Times New Roman" w:hAnsi="Times New Roman"/>
          <w:color w:val="1C1C1C"/>
        </w:rPr>
        <w:t xml:space="preserve"> which enterprise takes to roll up the owed money by its trade debtors. If </w:t>
      </w:r>
      <w:r w:rsidR="00A57590">
        <w:rPr>
          <w:rFonts w:ascii="Times New Roman" w:hAnsi="Times New Roman"/>
          <w:color w:val="1C1C1C"/>
        </w:rPr>
        <w:t>an</w:t>
      </w:r>
      <w:r>
        <w:rPr>
          <w:rFonts w:ascii="Times New Roman" w:hAnsi="Times New Roman"/>
          <w:color w:val="1C1C1C"/>
        </w:rPr>
        <w:t xml:space="preserve"> organisation grants one calendar month </w:t>
      </w:r>
      <w:r w:rsidR="00A57590">
        <w:rPr>
          <w:rFonts w:ascii="Times New Roman" w:hAnsi="Times New Roman"/>
          <w:color w:val="1C1C1C"/>
        </w:rPr>
        <w:t>credit,</w:t>
      </w:r>
      <w:r>
        <w:rPr>
          <w:rFonts w:ascii="Times New Roman" w:hAnsi="Times New Roman"/>
          <w:color w:val="1C1C1C"/>
        </w:rPr>
        <w:t xml:space="preserve"> then on an average, they should collect its liability within 45 days.</w:t>
      </w:r>
    </w:p>
    <w:p w14:paraId="3E36D0F9" w14:textId="77777777" w:rsidR="00E074CB" w:rsidRDefault="00E074CB">
      <w:pPr>
        <w:pStyle w:val="Standard"/>
        <w:widowControl/>
        <w:spacing w:line="360" w:lineRule="auto"/>
        <w:jc w:val="both"/>
        <w:rPr>
          <w:rFonts w:ascii="Times New Roman" w:hAnsi="Times New Roman"/>
          <w:color w:val="1C1C1C"/>
        </w:rPr>
      </w:pPr>
    </w:p>
    <w:p w14:paraId="32043A3F" w14:textId="162D301B" w:rsidR="00A5567B" w:rsidRPr="00E074CB" w:rsidRDefault="00E074CB">
      <w:pPr>
        <w:pStyle w:val="Standard"/>
        <w:widowControl/>
        <w:spacing w:line="360" w:lineRule="auto"/>
        <w:jc w:val="both"/>
        <w:rPr>
          <w:rFonts w:ascii="Times New Roman" w:hAnsi="Times New Roman"/>
          <w:b/>
          <w:bCs/>
          <w:color w:val="1C1C1C"/>
        </w:rPr>
      </w:pPr>
      <w:r w:rsidRPr="00E074CB">
        <w:rPr>
          <w:rFonts w:ascii="Times New Roman" w:hAnsi="Times New Roman"/>
          <w:b/>
          <w:bCs/>
          <w:color w:val="1C1C1C"/>
        </w:rPr>
        <w:t>Debt</w:t>
      </w:r>
      <w:r w:rsidR="00EC3F87" w:rsidRPr="00E074CB">
        <w:rPr>
          <w:rFonts w:ascii="Times New Roman" w:hAnsi="Times New Roman"/>
          <w:b/>
          <w:bCs/>
          <w:color w:val="1C1C1C"/>
        </w:rPr>
        <w:t xml:space="preserve"> collection period calculation</w:t>
      </w:r>
    </w:p>
    <w:p w14:paraId="66FA4FF0"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Debtors x 365/Sales turnover</w:t>
      </w:r>
    </w:p>
    <w:p w14:paraId="2BD987C6" w14:textId="5FAE51D7"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2</w:t>
      </w:r>
    </w:p>
    <w:p w14:paraId="533A8BBF"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1249 x365/6738 = 68 Days</w:t>
      </w:r>
    </w:p>
    <w:p w14:paraId="08100FE8" w14:textId="77777777" w:rsidR="00A5567B" w:rsidRDefault="00A5567B">
      <w:pPr>
        <w:pStyle w:val="Standard"/>
        <w:spacing w:line="360" w:lineRule="auto"/>
        <w:jc w:val="both"/>
        <w:rPr>
          <w:rFonts w:ascii="Times New Roman" w:hAnsi="Times New Roman"/>
          <w:color w:val="1C1C1C"/>
        </w:rPr>
      </w:pPr>
    </w:p>
    <w:p w14:paraId="6B3EF1DF" w14:textId="507A1893"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1</w:t>
      </w:r>
    </w:p>
    <w:p w14:paraId="68D1F9D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1287 x 365/6441 = 73 days</w:t>
      </w:r>
    </w:p>
    <w:p w14:paraId="5A6B64E1" w14:textId="77777777" w:rsidR="00A5567B" w:rsidRDefault="00A5567B">
      <w:pPr>
        <w:pStyle w:val="Standard"/>
        <w:widowControl/>
        <w:spacing w:line="360" w:lineRule="auto"/>
        <w:jc w:val="both"/>
        <w:rPr>
          <w:rFonts w:ascii="Times New Roman" w:hAnsi="Times New Roman"/>
          <w:color w:val="1C1C1C"/>
        </w:rPr>
      </w:pPr>
    </w:p>
    <w:p w14:paraId="650A0485" w14:textId="77777777" w:rsidR="00A5567B" w:rsidRDefault="00A5567B">
      <w:pPr>
        <w:pStyle w:val="Standard"/>
        <w:widowControl/>
        <w:spacing w:line="360" w:lineRule="auto"/>
        <w:jc w:val="both"/>
        <w:rPr>
          <w:rFonts w:ascii="Times New Roman" w:hAnsi="Times New Roman"/>
          <w:color w:val="1C1C1C"/>
        </w:rPr>
      </w:pPr>
    </w:p>
    <w:p w14:paraId="4C5C5B07" w14:textId="20DB57B9" w:rsidR="00A5567B" w:rsidRDefault="00F63440">
      <w:pPr>
        <w:pStyle w:val="Standard"/>
        <w:widowControl/>
        <w:spacing w:line="360" w:lineRule="auto"/>
        <w:jc w:val="both"/>
        <w:rPr>
          <w:rFonts w:ascii="Times New Roman" w:hAnsi="Times New Roman"/>
          <w:color w:val="1C1C1C"/>
        </w:rPr>
      </w:pPr>
      <w:r>
        <w:rPr>
          <w:rFonts w:ascii="Times New Roman" w:hAnsi="Times New Roman"/>
          <w:b/>
          <w:bCs/>
          <w:color w:val="1C1C1C"/>
        </w:rPr>
        <w:t xml:space="preserve">8- Current </w:t>
      </w:r>
      <w:r w:rsidR="004641E9">
        <w:rPr>
          <w:rFonts w:ascii="Times New Roman" w:hAnsi="Times New Roman"/>
          <w:b/>
          <w:bCs/>
          <w:color w:val="1C1C1C"/>
        </w:rPr>
        <w:t>ROE</w:t>
      </w:r>
      <w:r>
        <w:rPr>
          <w:rFonts w:ascii="Times New Roman" w:hAnsi="Times New Roman"/>
          <w:b/>
          <w:bCs/>
          <w:color w:val="1C1C1C"/>
        </w:rPr>
        <w:t>-</w:t>
      </w:r>
      <w:r>
        <w:rPr>
          <w:rFonts w:ascii="Times New Roman" w:hAnsi="Times New Roman"/>
          <w:color w:val="1C1C1C"/>
        </w:rPr>
        <w:t xml:space="preserve">The current ratio is also known as liquidity ratio that evaluate organization's strength to pay short-term obligations or those collectible during the </w:t>
      </w:r>
      <w:r w:rsidR="004641E9">
        <w:rPr>
          <w:rFonts w:ascii="Times New Roman" w:hAnsi="Times New Roman"/>
          <w:color w:val="1C1C1C"/>
        </w:rPr>
        <w:t>time</w:t>
      </w:r>
      <w:r>
        <w:rPr>
          <w:rFonts w:ascii="Times New Roman" w:hAnsi="Times New Roman"/>
          <w:color w:val="1C1C1C"/>
        </w:rPr>
        <w:t xml:space="preserve"> of one year. It </w:t>
      </w:r>
      <w:proofErr w:type="gramStart"/>
      <w:r w:rsidR="004641E9">
        <w:rPr>
          <w:rFonts w:ascii="Times New Roman" w:hAnsi="Times New Roman"/>
          <w:color w:val="1C1C1C"/>
        </w:rPr>
        <w:t>states</w:t>
      </w:r>
      <w:proofErr w:type="gramEnd"/>
      <w:r>
        <w:rPr>
          <w:rFonts w:ascii="Times New Roman" w:hAnsi="Times New Roman"/>
          <w:color w:val="1C1C1C"/>
        </w:rPr>
        <w:t xml:space="preserve"> capitalist and experts </w:t>
      </w:r>
      <w:r w:rsidR="004641E9">
        <w:rPr>
          <w:rFonts w:ascii="Times New Roman" w:hAnsi="Times New Roman"/>
          <w:color w:val="1C1C1C"/>
        </w:rPr>
        <w:t>in</w:t>
      </w:r>
      <w:r>
        <w:rPr>
          <w:rFonts w:ascii="Times New Roman" w:hAnsi="Times New Roman"/>
          <w:color w:val="1C1C1C"/>
        </w:rPr>
        <w:t xml:space="preserve"> what order an </w:t>
      </w:r>
      <w:r w:rsidR="00CE428D">
        <w:rPr>
          <w:rFonts w:ascii="Times New Roman" w:hAnsi="Times New Roman"/>
          <w:color w:val="1C1C1C"/>
        </w:rPr>
        <w:t>organisation can</w:t>
      </w:r>
      <w:r>
        <w:rPr>
          <w:rFonts w:ascii="Times New Roman" w:hAnsi="Times New Roman"/>
          <w:color w:val="1C1C1C"/>
        </w:rPr>
        <w:t xml:space="preserve"> increase the current asset on its balance sheet to </w:t>
      </w:r>
      <w:r w:rsidR="00CE428D">
        <w:rPr>
          <w:rFonts w:ascii="Times New Roman" w:hAnsi="Times New Roman"/>
          <w:color w:val="1C1C1C"/>
        </w:rPr>
        <w:t>fulfil</w:t>
      </w:r>
      <w:r>
        <w:rPr>
          <w:rFonts w:ascii="Times New Roman" w:hAnsi="Times New Roman"/>
          <w:color w:val="1C1C1C"/>
        </w:rPr>
        <w:t xml:space="preserve"> its current debt. </w:t>
      </w:r>
      <w:r w:rsidR="00163BCC">
        <w:rPr>
          <w:rFonts w:ascii="Times New Roman" w:hAnsi="Times New Roman"/>
          <w:color w:val="1C1C1C"/>
        </w:rPr>
        <w:t>Positive</w:t>
      </w:r>
      <w:r>
        <w:rPr>
          <w:rFonts w:ascii="Times New Roman" w:hAnsi="Times New Roman"/>
          <w:color w:val="1C1C1C"/>
        </w:rPr>
        <w:t xml:space="preserve"> current </w:t>
      </w:r>
      <w:r w:rsidR="00616CEE">
        <w:rPr>
          <w:rFonts w:ascii="Times New Roman" w:hAnsi="Times New Roman"/>
          <w:color w:val="1C1C1C"/>
        </w:rPr>
        <w:t>ROE</w:t>
      </w:r>
      <w:r>
        <w:rPr>
          <w:rFonts w:ascii="Times New Roman" w:hAnsi="Times New Roman"/>
          <w:color w:val="1C1C1C"/>
        </w:rPr>
        <w:t xml:space="preserve"> lies between 1.2 to 2, that means the enterprise has 2 times more current assets compare to liabilities to covers its debts. Current ratio beneath 1 </w:t>
      </w:r>
      <w:r w:rsidR="004641E9">
        <w:rPr>
          <w:rFonts w:ascii="Times New Roman" w:hAnsi="Times New Roman"/>
          <w:color w:val="1C1C1C"/>
        </w:rPr>
        <w:t>tell</w:t>
      </w:r>
      <w:r>
        <w:rPr>
          <w:rFonts w:ascii="Times New Roman" w:hAnsi="Times New Roman"/>
          <w:color w:val="1C1C1C"/>
        </w:rPr>
        <w:t xml:space="preserve"> that the organisation unable to cover its short-term liabilities because of less liquidity in assets.</w:t>
      </w:r>
    </w:p>
    <w:p w14:paraId="0E1CE6ED" w14:textId="77777777" w:rsidR="00A5567B" w:rsidRDefault="00A5567B">
      <w:pPr>
        <w:pStyle w:val="Standard"/>
        <w:widowControl/>
        <w:spacing w:line="360" w:lineRule="auto"/>
        <w:jc w:val="both"/>
        <w:rPr>
          <w:rFonts w:ascii="Times New Roman" w:hAnsi="Times New Roman"/>
          <w:color w:val="1C1C1C"/>
        </w:rPr>
      </w:pPr>
    </w:p>
    <w:p w14:paraId="05D3BB3D" w14:textId="484C04EE"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 </w:t>
      </w:r>
      <w:r>
        <w:rPr>
          <w:rFonts w:ascii="Times New Roman" w:hAnsi="Times New Roman"/>
          <w:b/>
          <w:bCs/>
          <w:color w:val="1C1C1C"/>
        </w:rPr>
        <w:t xml:space="preserve">Calculation </w:t>
      </w:r>
      <w:r w:rsidR="00CE428D">
        <w:rPr>
          <w:rFonts w:ascii="Times New Roman" w:hAnsi="Times New Roman"/>
          <w:b/>
          <w:bCs/>
          <w:color w:val="1C1C1C"/>
        </w:rPr>
        <w:t>of Current</w:t>
      </w:r>
      <w:r>
        <w:rPr>
          <w:rFonts w:ascii="Times New Roman" w:hAnsi="Times New Roman"/>
          <w:b/>
          <w:bCs/>
          <w:color w:val="1C1C1C"/>
        </w:rPr>
        <w:t xml:space="preserve"> </w:t>
      </w:r>
      <w:r w:rsidR="00170342">
        <w:rPr>
          <w:rFonts w:ascii="Times New Roman" w:hAnsi="Times New Roman"/>
          <w:b/>
          <w:bCs/>
          <w:color w:val="1C1C1C"/>
        </w:rPr>
        <w:t>ROE</w:t>
      </w:r>
    </w:p>
    <w:p w14:paraId="26C2BBEC"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Current assets/ Current liabilities</w:t>
      </w:r>
    </w:p>
    <w:p w14:paraId="17B01F62" w14:textId="10ED5D27" w:rsidR="00A5567B" w:rsidRDefault="00F63440">
      <w:pPr>
        <w:pStyle w:val="Standard"/>
        <w:spacing w:line="360" w:lineRule="auto"/>
        <w:jc w:val="both"/>
        <w:rPr>
          <w:rFonts w:ascii="Times New Roman" w:hAnsi="Times New Roman"/>
          <w:color w:val="1C1C1C"/>
        </w:rPr>
      </w:pPr>
      <w:r>
        <w:rPr>
          <w:rFonts w:ascii="Times New Roman" w:hAnsi="Times New Roman"/>
          <w:color w:val="1C1C1C"/>
          <w:u w:val="single"/>
        </w:rPr>
        <w:t>Year. 202</w:t>
      </w:r>
      <w:r w:rsidR="00F06C43">
        <w:rPr>
          <w:rFonts w:ascii="Times New Roman" w:hAnsi="Times New Roman"/>
          <w:color w:val="1C1C1C"/>
          <w:u w:val="single"/>
        </w:rPr>
        <w:t>2</w:t>
      </w:r>
    </w:p>
    <w:p w14:paraId="5AB0B37D"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2303/2511 = 0.917</w:t>
      </w:r>
    </w:p>
    <w:p w14:paraId="47E2A7CA" w14:textId="77777777" w:rsidR="00A5567B" w:rsidRDefault="00A5567B">
      <w:pPr>
        <w:pStyle w:val="Standard"/>
        <w:spacing w:line="360" w:lineRule="auto"/>
        <w:jc w:val="both"/>
        <w:rPr>
          <w:rFonts w:ascii="Times New Roman" w:hAnsi="Times New Roman"/>
          <w:color w:val="1C1C1C"/>
        </w:rPr>
      </w:pPr>
    </w:p>
    <w:p w14:paraId="5D4BC101" w14:textId="6EC8F8AA" w:rsidR="00A5567B" w:rsidRDefault="00F63440">
      <w:pPr>
        <w:pStyle w:val="Standard"/>
        <w:spacing w:line="360" w:lineRule="auto"/>
        <w:jc w:val="both"/>
        <w:rPr>
          <w:rFonts w:ascii="Times New Roman" w:hAnsi="Times New Roman"/>
          <w:color w:val="1C1C1C"/>
          <w:u w:val="single"/>
        </w:rPr>
      </w:pPr>
      <w:r>
        <w:rPr>
          <w:rFonts w:ascii="Times New Roman" w:hAnsi="Times New Roman"/>
          <w:color w:val="1C1C1C"/>
          <w:u w:val="single"/>
        </w:rPr>
        <w:t>Year. 202</w:t>
      </w:r>
      <w:r w:rsidR="00F06C43">
        <w:rPr>
          <w:rFonts w:ascii="Times New Roman" w:hAnsi="Times New Roman"/>
          <w:color w:val="1C1C1C"/>
          <w:u w:val="single"/>
        </w:rPr>
        <w:t>1</w:t>
      </w:r>
    </w:p>
    <w:p w14:paraId="3E382E4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2355/3046 = 0.773</w:t>
      </w:r>
    </w:p>
    <w:p w14:paraId="0C548814" w14:textId="77777777" w:rsidR="00A5567B" w:rsidRDefault="00A5567B">
      <w:pPr>
        <w:pStyle w:val="Standard"/>
        <w:widowControl/>
        <w:spacing w:line="360" w:lineRule="auto"/>
        <w:jc w:val="both"/>
        <w:rPr>
          <w:rFonts w:ascii="Times New Roman" w:hAnsi="Times New Roman"/>
          <w:color w:val="1C1C1C"/>
        </w:rPr>
      </w:pPr>
    </w:p>
    <w:p w14:paraId="21F52DC6" w14:textId="77777777" w:rsidR="00A5567B" w:rsidRDefault="00A5567B">
      <w:pPr>
        <w:pStyle w:val="Standard"/>
        <w:widowControl/>
        <w:spacing w:line="360" w:lineRule="auto"/>
        <w:jc w:val="both"/>
        <w:rPr>
          <w:rFonts w:ascii="Times New Roman" w:hAnsi="Times New Roman"/>
          <w:color w:val="1C1C1C"/>
        </w:rPr>
      </w:pPr>
    </w:p>
    <w:p w14:paraId="55E9DBD8" w14:textId="77777777" w:rsidR="00A5567B" w:rsidRDefault="00F63440">
      <w:pPr>
        <w:pStyle w:val="Standard"/>
        <w:widowControl/>
        <w:spacing w:line="360" w:lineRule="auto"/>
        <w:jc w:val="both"/>
        <w:rPr>
          <w:rFonts w:ascii="Times New Roman" w:hAnsi="Times New Roman"/>
          <w:color w:val="1C1C1C"/>
        </w:rPr>
      </w:pPr>
      <w:r w:rsidRPr="00565E3C">
        <w:rPr>
          <w:rFonts w:ascii="Times New Roman" w:hAnsi="Times New Roman"/>
          <w:b/>
          <w:bCs/>
          <w:color w:val="1C1C1C"/>
          <w:sz w:val="28"/>
          <w:szCs w:val="28"/>
        </w:rPr>
        <w:t>9-</w:t>
      </w:r>
      <w:r>
        <w:rPr>
          <w:rFonts w:ascii="Times New Roman" w:hAnsi="Times New Roman"/>
          <w:color w:val="1C1C1C"/>
        </w:rPr>
        <w:t xml:space="preserve"> Gearing ratio- Gearing ratios define the unit of fiscal metrics that equivalence shareholders' equity to organization debt in several manner to evaluate the organization sum of leverage and fiscal </w:t>
      </w:r>
      <w:r>
        <w:rPr>
          <w:rFonts w:ascii="Times New Roman" w:hAnsi="Times New Roman"/>
          <w:color w:val="1C1C1C"/>
        </w:rPr>
        <w:lastRenderedPageBreak/>
        <w:t xml:space="preserve">stableness (Kariyawasam, 2019. This ratio is the is a measurement of how much of </w:t>
      </w:r>
      <w:proofErr w:type="spellStart"/>
      <w:proofErr w:type="gramStart"/>
      <w:r>
        <w:rPr>
          <w:rFonts w:ascii="Times New Roman" w:hAnsi="Times New Roman"/>
          <w:color w:val="1C1C1C"/>
        </w:rPr>
        <w:t>a</w:t>
      </w:r>
      <w:proofErr w:type="spellEnd"/>
      <w:proofErr w:type="gramEnd"/>
      <w:r>
        <w:rPr>
          <w:rFonts w:ascii="Times New Roman" w:hAnsi="Times New Roman"/>
          <w:color w:val="1C1C1C"/>
        </w:rPr>
        <w:t xml:space="preserve"> organization's dealings are capitalize using liability versus the finance accepted from investor as equity.</w:t>
      </w:r>
    </w:p>
    <w:p w14:paraId="07A3E249" w14:textId="77777777" w:rsidR="00A5567B" w:rsidRDefault="00A5567B">
      <w:pPr>
        <w:pStyle w:val="Standard"/>
        <w:widowControl/>
        <w:spacing w:line="360" w:lineRule="auto"/>
        <w:jc w:val="both"/>
        <w:rPr>
          <w:rFonts w:ascii="Times New Roman" w:hAnsi="Times New Roman"/>
          <w:color w:val="1C1C1C"/>
        </w:rPr>
      </w:pPr>
    </w:p>
    <w:p w14:paraId="352CC4D1" w14:textId="77777777" w:rsidR="00A5567B" w:rsidRDefault="00A5567B">
      <w:pPr>
        <w:pStyle w:val="Standard"/>
        <w:widowControl/>
        <w:spacing w:line="360" w:lineRule="auto"/>
        <w:jc w:val="both"/>
        <w:rPr>
          <w:rFonts w:ascii="Times New Roman" w:hAnsi="Times New Roman"/>
          <w:color w:val="1C1C1C"/>
        </w:rPr>
      </w:pPr>
    </w:p>
    <w:p w14:paraId="1187458B" w14:textId="1F233809"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 xml:space="preserve">Calculation </w:t>
      </w:r>
      <w:r w:rsidR="00CE428D">
        <w:rPr>
          <w:rFonts w:ascii="Times New Roman" w:hAnsi="Times New Roman"/>
          <w:b/>
          <w:bCs/>
          <w:color w:val="1C1C1C"/>
        </w:rPr>
        <w:t>of Gearing</w:t>
      </w:r>
      <w:r>
        <w:rPr>
          <w:rFonts w:ascii="Times New Roman" w:hAnsi="Times New Roman"/>
          <w:b/>
          <w:bCs/>
          <w:color w:val="1C1C1C"/>
        </w:rPr>
        <w:t xml:space="preserve"> </w:t>
      </w:r>
      <w:r w:rsidR="00FD7566">
        <w:rPr>
          <w:rFonts w:ascii="Times New Roman" w:hAnsi="Times New Roman"/>
          <w:b/>
          <w:bCs/>
          <w:color w:val="1C1C1C"/>
        </w:rPr>
        <w:t>ROE</w:t>
      </w:r>
    </w:p>
    <w:p w14:paraId="0D83A124"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Debt/ Debt+ Equity</w:t>
      </w:r>
    </w:p>
    <w:p w14:paraId="0DC9AC09"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6648/6648+9736 = 0.4156</w:t>
      </w:r>
    </w:p>
    <w:p w14:paraId="0CD99377"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7175/7175+10087 = 0.406</w:t>
      </w:r>
    </w:p>
    <w:p w14:paraId="11FAE691" w14:textId="77777777" w:rsidR="00A5567B" w:rsidRDefault="00A5567B">
      <w:pPr>
        <w:pStyle w:val="Standard"/>
        <w:widowControl/>
        <w:spacing w:line="360" w:lineRule="auto"/>
        <w:jc w:val="both"/>
        <w:rPr>
          <w:rFonts w:ascii="Times New Roman" w:hAnsi="Times New Roman"/>
          <w:color w:val="1C1C1C"/>
        </w:rPr>
      </w:pPr>
    </w:p>
    <w:p w14:paraId="616C1434" w14:textId="02B601CD" w:rsidR="00A5567B" w:rsidRDefault="00F63440">
      <w:pPr>
        <w:pStyle w:val="Standard"/>
        <w:widowControl/>
        <w:spacing w:line="360" w:lineRule="auto"/>
        <w:jc w:val="both"/>
        <w:rPr>
          <w:rFonts w:ascii="Times New Roman" w:hAnsi="Times New Roman"/>
          <w:color w:val="1C1C1C"/>
        </w:rPr>
      </w:pPr>
      <w:r w:rsidRPr="005C28EC">
        <w:rPr>
          <w:rFonts w:ascii="Times New Roman" w:hAnsi="Times New Roman"/>
          <w:b/>
          <w:bCs/>
          <w:color w:val="1C1C1C"/>
          <w:sz w:val="28"/>
          <w:szCs w:val="28"/>
        </w:rPr>
        <w:t>10-</w:t>
      </w:r>
      <w:r>
        <w:rPr>
          <w:rFonts w:ascii="Times New Roman" w:hAnsi="Times New Roman"/>
          <w:color w:val="1C1C1C"/>
        </w:rPr>
        <w:t xml:space="preserve"> </w:t>
      </w:r>
      <w:r>
        <w:rPr>
          <w:rFonts w:ascii="Times New Roman" w:hAnsi="Times New Roman"/>
          <w:b/>
          <w:bCs/>
          <w:color w:val="1C1C1C"/>
        </w:rPr>
        <w:t>Interest cover</w:t>
      </w:r>
      <w:r>
        <w:rPr>
          <w:rFonts w:ascii="Times New Roman" w:hAnsi="Times New Roman"/>
          <w:color w:val="1C1C1C"/>
        </w:rPr>
        <w:t xml:space="preserve">- The ratio is </w:t>
      </w:r>
      <w:r w:rsidR="004B2209">
        <w:rPr>
          <w:rFonts w:ascii="Times New Roman" w:hAnsi="Times New Roman"/>
          <w:color w:val="1C1C1C"/>
        </w:rPr>
        <w:t>used</w:t>
      </w:r>
      <w:r>
        <w:rPr>
          <w:rFonts w:ascii="Times New Roman" w:hAnsi="Times New Roman"/>
          <w:color w:val="1C1C1C"/>
        </w:rPr>
        <w:t xml:space="preserve"> to evaluate position of </w:t>
      </w:r>
      <w:r w:rsidR="00CE428D">
        <w:rPr>
          <w:rFonts w:ascii="Times New Roman" w:hAnsi="Times New Roman"/>
          <w:color w:val="1C1C1C"/>
        </w:rPr>
        <w:t>the firm</w:t>
      </w:r>
      <w:r>
        <w:rPr>
          <w:rFonts w:ascii="Times New Roman" w:hAnsi="Times New Roman"/>
          <w:color w:val="1C1C1C"/>
        </w:rPr>
        <w:t xml:space="preserve"> in paying the interest due on outstanding debt. Hence, a higher in this ratio points muscular financial health and the organization is more confident of meeting interest obligations.</w:t>
      </w:r>
    </w:p>
    <w:p w14:paraId="0A4FEC54" w14:textId="77777777" w:rsidR="00A5567B" w:rsidRDefault="00A5567B">
      <w:pPr>
        <w:pStyle w:val="Standard"/>
        <w:widowControl/>
        <w:spacing w:line="360" w:lineRule="auto"/>
        <w:jc w:val="both"/>
        <w:rPr>
          <w:rFonts w:ascii="Times New Roman" w:hAnsi="Times New Roman"/>
          <w:color w:val="1C1C1C"/>
        </w:rPr>
      </w:pPr>
    </w:p>
    <w:p w14:paraId="372A1966" w14:textId="04FFED58" w:rsidR="00A5567B" w:rsidRDefault="00F63440">
      <w:pPr>
        <w:pStyle w:val="Standard"/>
        <w:widowControl/>
        <w:spacing w:line="360" w:lineRule="auto"/>
        <w:jc w:val="both"/>
        <w:rPr>
          <w:rFonts w:ascii="Times New Roman" w:hAnsi="Times New Roman"/>
          <w:b/>
          <w:bCs/>
          <w:color w:val="1C1C1C"/>
        </w:rPr>
      </w:pPr>
      <w:r>
        <w:rPr>
          <w:rFonts w:ascii="Times New Roman" w:hAnsi="Times New Roman"/>
          <w:b/>
          <w:bCs/>
          <w:color w:val="1C1C1C"/>
        </w:rPr>
        <w:t xml:space="preserve">Calculation </w:t>
      </w:r>
      <w:r w:rsidR="00CE428D">
        <w:rPr>
          <w:rFonts w:ascii="Times New Roman" w:hAnsi="Times New Roman"/>
          <w:b/>
          <w:bCs/>
          <w:color w:val="1C1C1C"/>
        </w:rPr>
        <w:t>of Interest</w:t>
      </w:r>
      <w:r>
        <w:rPr>
          <w:rFonts w:ascii="Times New Roman" w:hAnsi="Times New Roman"/>
          <w:b/>
          <w:bCs/>
          <w:color w:val="1C1C1C"/>
        </w:rPr>
        <w:t xml:space="preserve"> cover</w:t>
      </w:r>
    </w:p>
    <w:p w14:paraId="651D3173"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current assets−current liabilities/ inventories</w:t>
      </w:r>
    </w:p>
    <w:p w14:paraId="2BFEE8FD" w14:textId="53515DBC" w:rsidR="00A5567B" w:rsidRDefault="00F63440">
      <w:pPr>
        <w:pStyle w:val="Standard"/>
        <w:spacing w:line="360" w:lineRule="auto"/>
        <w:jc w:val="both"/>
        <w:rPr>
          <w:rFonts w:ascii="Times New Roman" w:hAnsi="Times New Roman"/>
          <w:color w:val="1C1C1C"/>
        </w:rPr>
      </w:pPr>
      <w:r>
        <w:rPr>
          <w:rFonts w:ascii="Times New Roman" w:hAnsi="Times New Roman"/>
          <w:color w:val="1C1C1C"/>
        </w:rPr>
        <w:t>Year. 202</w:t>
      </w:r>
      <w:r w:rsidR="00F06C43">
        <w:rPr>
          <w:rFonts w:ascii="Times New Roman" w:hAnsi="Times New Roman"/>
          <w:color w:val="1C1C1C"/>
        </w:rPr>
        <w:t>2</w:t>
      </w:r>
    </w:p>
    <w:p w14:paraId="6D3CEE13"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2303−2511/708 = -0.2937</w:t>
      </w:r>
    </w:p>
    <w:p w14:paraId="558649A2" w14:textId="1CB62DAD" w:rsidR="00A5567B" w:rsidRDefault="00F63440">
      <w:pPr>
        <w:pStyle w:val="Standard"/>
        <w:spacing w:line="360" w:lineRule="auto"/>
        <w:jc w:val="both"/>
        <w:rPr>
          <w:rFonts w:ascii="Times New Roman" w:hAnsi="Times New Roman"/>
          <w:color w:val="1C1C1C"/>
        </w:rPr>
      </w:pPr>
      <w:r>
        <w:rPr>
          <w:rFonts w:ascii="Times New Roman" w:hAnsi="Times New Roman"/>
          <w:color w:val="1C1C1C"/>
        </w:rPr>
        <w:t>Year. 202</w:t>
      </w:r>
      <w:r w:rsidR="00F06C43">
        <w:rPr>
          <w:rFonts w:ascii="Times New Roman" w:hAnsi="Times New Roman"/>
          <w:color w:val="1C1C1C"/>
        </w:rPr>
        <w:t>1</w:t>
      </w:r>
    </w:p>
    <w:p w14:paraId="1BC3BA13" w14:textId="77777777" w:rsidR="00A5567B" w:rsidRDefault="00F63440">
      <w:pPr>
        <w:pStyle w:val="Standard"/>
        <w:spacing w:line="360" w:lineRule="auto"/>
        <w:jc w:val="both"/>
        <w:rPr>
          <w:rFonts w:ascii="Times New Roman" w:hAnsi="Times New Roman"/>
          <w:color w:val="1C1C1C"/>
        </w:rPr>
      </w:pPr>
      <w:r>
        <w:rPr>
          <w:rFonts w:ascii="Times New Roman" w:hAnsi="Times New Roman"/>
          <w:color w:val="1C1C1C"/>
        </w:rPr>
        <w:t>2355−3046/659 = -1.05</w:t>
      </w:r>
    </w:p>
    <w:p w14:paraId="3EC625CC" w14:textId="77777777" w:rsidR="00A5567B" w:rsidRDefault="00A5567B">
      <w:pPr>
        <w:pStyle w:val="Standard"/>
        <w:widowControl/>
        <w:spacing w:line="360" w:lineRule="auto"/>
        <w:jc w:val="both"/>
        <w:rPr>
          <w:rFonts w:ascii="Times New Roman" w:hAnsi="Times New Roman"/>
          <w:color w:val="1C1C1C"/>
        </w:rPr>
      </w:pPr>
    </w:p>
    <w:p w14:paraId="52A4D41B" w14:textId="09C43FF9"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B) </w:t>
      </w:r>
      <w:r w:rsidR="004C3E52" w:rsidRPr="004C3E52">
        <w:rPr>
          <w:rFonts w:ascii="Times New Roman" w:hAnsi="Times New Roman"/>
          <w:color w:val="1C1C1C"/>
        </w:rPr>
        <w:t xml:space="preserve">The financial performance and state of </w:t>
      </w:r>
      <w:r w:rsidR="00A4786B" w:rsidRPr="004C3E52">
        <w:rPr>
          <w:rFonts w:ascii="Times New Roman" w:hAnsi="Times New Roman"/>
          <w:color w:val="1C1C1C"/>
        </w:rPr>
        <w:t>sweets</w:t>
      </w:r>
      <w:r w:rsidR="004C3E52" w:rsidRPr="004C3E52">
        <w:rPr>
          <w:rFonts w:ascii="Times New Roman" w:hAnsi="Times New Roman"/>
          <w:color w:val="1C1C1C"/>
        </w:rPr>
        <w:t xml:space="preserve"> plc.</w:t>
      </w:r>
    </w:p>
    <w:p w14:paraId="1869F736" w14:textId="4F9D69F8" w:rsidR="00A5567B" w:rsidRDefault="00501429" w:rsidP="00E604D1">
      <w:pPr>
        <w:pStyle w:val="Standard"/>
        <w:widowControl/>
        <w:spacing w:line="360" w:lineRule="auto"/>
        <w:jc w:val="both"/>
        <w:rPr>
          <w:rFonts w:ascii="Times New Roman" w:hAnsi="Times New Roman"/>
          <w:color w:val="1C1C1C"/>
        </w:rPr>
      </w:pPr>
      <w:r w:rsidRPr="00501429">
        <w:rPr>
          <w:rFonts w:ascii="Times New Roman" w:hAnsi="Times New Roman"/>
          <w:color w:val="1C1C1C"/>
        </w:rPr>
        <w:t xml:space="preserve">Sweets PLC continues to </w:t>
      </w:r>
      <w:r w:rsidR="00A4786B" w:rsidRPr="00501429">
        <w:rPr>
          <w:rFonts w:ascii="Times New Roman" w:hAnsi="Times New Roman"/>
          <w:color w:val="1C1C1C"/>
        </w:rPr>
        <w:t>run</w:t>
      </w:r>
      <w:r w:rsidRPr="00501429">
        <w:rPr>
          <w:rFonts w:ascii="Times New Roman" w:hAnsi="Times New Roman"/>
          <w:color w:val="1C1C1C"/>
        </w:rPr>
        <w:t xml:space="preserve"> in the market with a high level of financial flexibility, according to the prior financial statement. In 2021, </w:t>
      </w:r>
      <w:r w:rsidR="00EE19ED">
        <w:rPr>
          <w:rFonts w:ascii="Times New Roman" w:hAnsi="Times New Roman"/>
          <w:color w:val="1C1C1C"/>
        </w:rPr>
        <w:t>cash</w:t>
      </w:r>
      <w:r w:rsidRPr="00501429">
        <w:rPr>
          <w:rFonts w:ascii="Times New Roman" w:hAnsi="Times New Roman"/>
          <w:color w:val="1C1C1C"/>
        </w:rPr>
        <w:t xml:space="preserve"> will be higher than it was the previous year. This </w:t>
      </w:r>
      <w:r w:rsidR="00EE19ED" w:rsidRPr="00501429">
        <w:rPr>
          <w:rFonts w:ascii="Times New Roman" w:hAnsi="Times New Roman"/>
          <w:color w:val="1C1C1C"/>
        </w:rPr>
        <w:t>shows</w:t>
      </w:r>
      <w:r w:rsidRPr="00501429">
        <w:rPr>
          <w:rFonts w:ascii="Times New Roman" w:hAnsi="Times New Roman"/>
          <w:color w:val="1C1C1C"/>
        </w:rPr>
        <w:t xml:space="preserve"> that the firm's profitability grows with </w:t>
      </w:r>
      <w:r w:rsidR="00A4786B" w:rsidRPr="00501429">
        <w:rPr>
          <w:rFonts w:ascii="Times New Roman" w:hAnsi="Times New Roman"/>
          <w:color w:val="1C1C1C"/>
        </w:rPr>
        <w:t>time.</w:t>
      </w:r>
      <w:r w:rsidR="00A4786B" w:rsidRPr="00E604D1">
        <w:rPr>
          <w:rFonts w:ascii="Times New Roman" w:hAnsi="Times New Roman"/>
          <w:color w:val="1C1C1C"/>
        </w:rPr>
        <w:t xml:space="preserve"> According</w:t>
      </w:r>
      <w:r w:rsidR="00E604D1" w:rsidRPr="00E604D1">
        <w:rPr>
          <w:rFonts w:ascii="Times New Roman" w:hAnsi="Times New Roman"/>
          <w:color w:val="1C1C1C"/>
        </w:rPr>
        <w:t xml:space="preserve"> to ratio analysis, an organization's equity or capital is compared to its debt in the form of gearing ratios, which assess the relationship between the two. The company has a high degree of gearing, saying that it is well-positioned to meet its commitments</w:t>
      </w:r>
      <w:r w:rsidR="00F63440">
        <w:rPr>
          <w:rFonts w:ascii="Times New Roman" w:hAnsi="Times New Roman"/>
          <w:color w:val="1C1C1C"/>
        </w:rPr>
        <w:t xml:space="preserve"> (Tenney, and Kalenkoski, 2019</w:t>
      </w:r>
      <w:r w:rsidR="00FE4BCE">
        <w:rPr>
          <w:rFonts w:ascii="Times New Roman" w:hAnsi="Times New Roman"/>
          <w:color w:val="1C1C1C"/>
        </w:rPr>
        <w:t xml:space="preserve">. </w:t>
      </w:r>
      <w:r w:rsidR="00FE4BCE" w:rsidRPr="00FE4BCE">
        <w:rPr>
          <w:rFonts w:ascii="Times New Roman" w:hAnsi="Times New Roman"/>
          <w:color w:val="1C1C1C"/>
        </w:rPr>
        <w:t xml:space="preserve">The gross profit margin ratio is </w:t>
      </w:r>
      <w:r w:rsidR="00EE19ED" w:rsidRPr="00FE4BCE">
        <w:rPr>
          <w:rFonts w:ascii="Times New Roman" w:hAnsi="Times New Roman"/>
          <w:color w:val="1C1C1C"/>
        </w:rPr>
        <w:t>often</w:t>
      </w:r>
      <w:r w:rsidR="00FE4BCE" w:rsidRPr="00FE4BCE">
        <w:rPr>
          <w:rFonts w:ascii="Times New Roman" w:hAnsi="Times New Roman"/>
          <w:color w:val="1C1C1C"/>
        </w:rPr>
        <w:t xml:space="preserve"> employed by</w:t>
      </w:r>
      <w:r w:rsidR="00F63440">
        <w:rPr>
          <w:rFonts w:ascii="Times New Roman" w:hAnsi="Times New Roman"/>
          <w:color w:val="1C1C1C"/>
        </w:rPr>
        <w:t xml:space="preserve"> businesses to criterion their profitableness as it </w:t>
      </w:r>
      <w:r w:rsidR="00E949B6">
        <w:rPr>
          <w:rFonts w:ascii="Times New Roman" w:hAnsi="Times New Roman"/>
          <w:color w:val="1C1C1C"/>
        </w:rPr>
        <w:t>shows</w:t>
      </w:r>
      <w:r w:rsidR="00F63440">
        <w:rPr>
          <w:rFonts w:ascii="Times New Roman" w:hAnsi="Times New Roman"/>
          <w:color w:val="1C1C1C"/>
        </w:rPr>
        <w:t xml:space="preserve"> how much money they yield over what they consume on manufacturing activity. In addition, ROE is a key signal for evaluating how effectively </w:t>
      </w:r>
      <w:r w:rsidR="00CE428D">
        <w:rPr>
          <w:rFonts w:ascii="Times New Roman" w:hAnsi="Times New Roman"/>
          <w:color w:val="1C1C1C"/>
        </w:rPr>
        <w:t>an</w:t>
      </w:r>
      <w:r w:rsidR="00F63440">
        <w:rPr>
          <w:rFonts w:ascii="Times New Roman" w:hAnsi="Times New Roman"/>
          <w:color w:val="1C1C1C"/>
        </w:rPr>
        <w:t xml:space="preserve"> organization's fiscal administration team is carry off the organization's money and assets. It is convinced that the organisation growing rate has accumulated between 202</w:t>
      </w:r>
      <w:r w:rsidR="00C06409">
        <w:rPr>
          <w:rFonts w:ascii="Times New Roman" w:hAnsi="Times New Roman"/>
          <w:color w:val="1C1C1C"/>
        </w:rPr>
        <w:t>1</w:t>
      </w:r>
      <w:r w:rsidR="00F63440">
        <w:rPr>
          <w:rFonts w:ascii="Times New Roman" w:hAnsi="Times New Roman"/>
          <w:color w:val="1C1C1C"/>
        </w:rPr>
        <w:t xml:space="preserve"> and 202</w:t>
      </w:r>
      <w:r w:rsidR="00C06409">
        <w:rPr>
          <w:rFonts w:ascii="Times New Roman" w:hAnsi="Times New Roman"/>
          <w:color w:val="1C1C1C"/>
        </w:rPr>
        <w:t>2</w:t>
      </w:r>
      <w:r w:rsidR="00F63440">
        <w:rPr>
          <w:rFonts w:ascii="Times New Roman" w:hAnsi="Times New Roman"/>
          <w:color w:val="1C1C1C"/>
        </w:rPr>
        <w:t>. The organization fiscal perspective is improving. Covering of interest is also much greater in 202</w:t>
      </w:r>
      <w:r w:rsidR="00C06409">
        <w:rPr>
          <w:rFonts w:ascii="Times New Roman" w:hAnsi="Times New Roman"/>
          <w:color w:val="1C1C1C"/>
        </w:rPr>
        <w:t>2</w:t>
      </w:r>
      <w:r w:rsidR="00F63440">
        <w:rPr>
          <w:rFonts w:ascii="Times New Roman" w:hAnsi="Times New Roman"/>
          <w:color w:val="1C1C1C"/>
        </w:rPr>
        <w:t xml:space="preserve"> than in 202</w:t>
      </w:r>
      <w:r w:rsidR="00C06409">
        <w:rPr>
          <w:rFonts w:ascii="Times New Roman" w:hAnsi="Times New Roman"/>
          <w:color w:val="1C1C1C"/>
        </w:rPr>
        <w:t>1</w:t>
      </w:r>
      <w:r w:rsidR="00F63440">
        <w:rPr>
          <w:rFonts w:ascii="Times New Roman" w:hAnsi="Times New Roman"/>
          <w:color w:val="1C1C1C"/>
        </w:rPr>
        <w:t>.</w:t>
      </w:r>
    </w:p>
    <w:p w14:paraId="343D9F92" w14:textId="77777777" w:rsidR="00A5567B" w:rsidRDefault="00A5567B">
      <w:pPr>
        <w:pStyle w:val="Standard"/>
        <w:spacing w:line="360" w:lineRule="auto"/>
        <w:jc w:val="both"/>
        <w:rPr>
          <w:rFonts w:ascii="Times New Roman" w:hAnsi="Times New Roman"/>
          <w:color w:val="1C1C1C"/>
        </w:rPr>
      </w:pPr>
    </w:p>
    <w:p w14:paraId="3B1F6C6C" w14:textId="77777777" w:rsidR="00A5567B" w:rsidRDefault="00A5567B">
      <w:pPr>
        <w:pStyle w:val="Standard"/>
        <w:spacing w:line="360" w:lineRule="auto"/>
        <w:jc w:val="both"/>
        <w:rPr>
          <w:rFonts w:ascii="Times New Roman" w:hAnsi="Times New Roman"/>
          <w:color w:val="1C1C1C"/>
        </w:rPr>
      </w:pPr>
    </w:p>
    <w:p w14:paraId="3F8F308B" w14:textId="77777777" w:rsidR="00A5567B" w:rsidRDefault="00A5567B">
      <w:pPr>
        <w:pStyle w:val="Standard"/>
        <w:spacing w:line="360" w:lineRule="auto"/>
        <w:jc w:val="both"/>
        <w:rPr>
          <w:rFonts w:ascii="Times New Roman" w:hAnsi="Times New Roman"/>
          <w:color w:val="1C1C1C"/>
        </w:rPr>
      </w:pPr>
    </w:p>
    <w:p w14:paraId="73461F02" w14:textId="77777777" w:rsidR="00A5567B" w:rsidRDefault="00F63440">
      <w:pPr>
        <w:pStyle w:val="Heading1"/>
        <w:spacing w:line="360" w:lineRule="auto"/>
        <w:jc w:val="both"/>
        <w:rPr>
          <w:rFonts w:ascii="Times New Roman" w:hAnsi="Times New Roman"/>
          <w:color w:val="1C1C1C"/>
        </w:rPr>
      </w:pPr>
      <w:r>
        <w:rPr>
          <w:rFonts w:ascii="Times New Roman" w:hAnsi="Times New Roman"/>
          <w:color w:val="1C1C1C"/>
        </w:rPr>
        <w:t>Conclusion</w:t>
      </w:r>
    </w:p>
    <w:p w14:paraId="642079C0" w14:textId="77777777" w:rsidR="00A5567B" w:rsidRDefault="00A5567B">
      <w:pPr>
        <w:pStyle w:val="Standard"/>
        <w:spacing w:line="360" w:lineRule="auto"/>
        <w:jc w:val="both"/>
        <w:rPr>
          <w:rFonts w:ascii="Times New Roman" w:hAnsi="Times New Roman"/>
          <w:color w:val="1C1C1C"/>
        </w:rPr>
      </w:pPr>
    </w:p>
    <w:p w14:paraId="4CEB957D" w14:textId="071DB810"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rPr>
        <w:t xml:space="preserve">It can be concluded from the above report that the analysis of financial statement for businesses owners and shareholders is </w:t>
      </w:r>
      <w:r w:rsidR="00E949B6">
        <w:rPr>
          <w:rFonts w:ascii="Times New Roman" w:hAnsi="Times New Roman"/>
          <w:color w:val="1C1C1C"/>
        </w:rPr>
        <w:t>an</w:t>
      </w:r>
      <w:r>
        <w:rPr>
          <w:rFonts w:ascii="Times New Roman" w:hAnsi="Times New Roman"/>
          <w:color w:val="1C1C1C"/>
        </w:rPr>
        <w:t xml:space="preserve"> effective tool to gain the deeper knowledge of the financial health of the company. As in the Wales plc It helps stakeholders to take informed decisions which enhance long-term stability and success of your </w:t>
      </w:r>
      <w:r w:rsidR="00CE428D">
        <w:rPr>
          <w:rFonts w:ascii="Times New Roman" w:hAnsi="Times New Roman"/>
          <w:color w:val="1C1C1C"/>
        </w:rPr>
        <w:t>business.</w:t>
      </w:r>
    </w:p>
    <w:p w14:paraId="04D2B4FB" w14:textId="77777777" w:rsidR="00A5567B" w:rsidRDefault="00A5567B">
      <w:pPr>
        <w:pStyle w:val="Standard"/>
        <w:pageBreakBefore/>
        <w:widowControl/>
        <w:spacing w:line="360" w:lineRule="auto"/>
        <w:jc w:val="both"/>
        <w:rPr>
          <w:rFonts w:ascii="Times New Roman" w:hAnsi="Times New Roman"/>
          <w:b/>
          <w:bCs/>
          <w:color w:val="1C1C1C"/>
        </w:rPr>
      </w:pPr>
    </w:p>
    <w:p w14:paraId="2275A91F" w14:textId="77777777" w:rsidR="00A5567B" w:rsidRDefault="00F63440">
      <w:pPr>
        <w:pStyle w:val="Heading1"/>
        <w:rPr>
          <w:rFonts w:ascii="Times New Roman" w:hAnsi="Times New Roman"/>
        </w:rPr>
      </w:pPr>
      <w:r>
        <w:rPr>
          <w:rFonts w:ascii="Times New Roman" w:hAnsi="Times New Roman"/>
        </w:rPr>
        <w:t>REFERENCES</w:t>
      </w:r>
    </w:p>
    <w:p w14:paraId="16E5DCFC" w14:textId="77777777" w:rsidR="00A5567B" w:rsidRDefault="00F63440">
      <w:pPr>
        <w:pStyle w:val="Standard"/>
        <w:widowControl/>
        <w:spacing w:line="360" w:lineRule="auto"/>
        <w:jc w:val="both"/>
        <w:rPr>
          <w:rFonts w:ascii="Times New Roman" w:hAnsi="Times New Roman"/>
          <w:color w:val="1C1C1C"/>
        </w:rPr>
      </w:pPr>
      <w:r>
        <w:rPr>
          <w:rFonts w:ascii="Times New Roman" w:hAnsi="Times New Roman"/>
          <w:color w:val="1C1C1C"/>
          <w:u w:val="single"/>
        </w:rPr>
        <w:t xml:space="preserve">Books and </w:t>
      </w:r>
      <w:proofErr w:type="spellStart"/>
      <w:r>
        <w:rPr>
          <w:rFonts w:ascii="Times New Roman" w:hAnsi="Times New Roman"/>
          <w:color w:val="1C1C1C"/>
          <w:u w:val="single"/>
        </w:rPr>
        <w:t>Journlas</w:t>
      </w:r>
      <w:proofErr w:type="spellEnd"/>
    </w:p>
    <w:p w14:paraId="0B5B7768" w14:textId="77777777" w:rsidR="00A5567B" w:rsidRDefault="00A5567B">
      <w:pPr>
        <w:pStyle w:val="Standard"/>
        <w:widowControl/>
        <w:spacing w:line="360" w:lineRule="auto"/>
        <w:ind w:left="870" w:hanging="885"/>
        <w:jc w:val="both"/>
        <w:rPr>
          <w:rFonts w:ascii="Times New Roman" w:hAnsi="Times New Roman"/>
          <w:color w:val="1C1C1C"/>
          <w:u w:val="single"/>
        </w:rPr>
      </w:pPr>
    </w:p>
    <w:p w14:paraId="4F008BAD" w14:textId="77777777" w:rsidR="00A5567B" w:rsidRDefault="00F63440">
      <w:pPr>
        <w:pStyle w:val="Standard"/>
        <w:widowControl/>
        <w:spacing w:line="360" w:lineRule="auto"/>
        <w:ind w:left="870" w:hanging="885"/>
        <w:jc w:val="both"/>
        <w:rPr>
          <w:rFonts w:ascii="DM Sans" w:hAnsi="DM Sans"/>
          <w:color w:val="4C5966"/>
          <w:u w:val="single"/>
        </w:rPr>
      </w:pPr>
      <w:r>
        <w:rPr>
          <w:rFonts w:ascii="Times New Roman" w:hAnsi="Times New Roman"/>
          <w:color w:val="1C1C1C"/>
        </w:rPr>
        <w:t>Zhang, Y., Xiong, F., Xie, Y., Fan, X. and Gu, H., 2020. The impact of artificial intelligence and blockchain on the accounting profession. </w:t>
      </w:r>
      <w:proofErr w:type="spellStart"/>
      <w:r>
        <w:rPr>
          <w:rFonts w:ascii="Times New Roman" w:hAnsi="Times New Roman"/>
          <w:i/>
          <w:color w:val="1C1C1C"/>
        </w:rPr>
        <w:t>Ieee</w:t>
      </w:r>
      <w:proofErr w:type="spellEnd"/>
      <w:r>
        <w:rPr>
          <w:rFonts w:ascii="Times New Roman" w:hAnsi="Times New Roman"/>
          <w:i/>
          <w:color w:val="1C1C1C"/>
        </w:rPr>
        <w:t xml:space="preserve"> Access</w:t>
      </w:r>
      <w:r>
        <w:rPr>
          <w:rFonts w:ascii="Times New Roman" w:hAnsi="Times New Roman"/>
          <w:color w:val="1C1C1C"/>
        </w:rPr>
        <w:t>, </w:t>
      </w:r>
      <w:r>
        <w:rPr>
          <w:rFonts w:ascii="Times New Roman" w:hAnsi="Times New Roman"/>
          <w:i/>
          <w:color w:val="1C1C1C"/>
        </w:rPr>
        <w:t>8</w:t>
      </w:r>
      <w:r>
        <w:rPr>
          <w:rFonts w:ascii="Times New Roman" w:hAnsi="Times New Roman"/>
          <w:color w:val="1C1C1C"/>
        </w:rPr>
        <w:t>, pp.</w:t>
      </w:r>
      <w:bookmarkStart w:id="0" w:name="OBJ_PREFIX_DWT46_com_zimbra_phone"/>
      <w:bookmarkEnd w:id="0"/>
      <w:r>
        <w:rPr>
          <w:rFonts w:ascii="DM Sans" w:hAnsi="DM Sans"/>
          <w:color w:val="4C5966"/>
          <w:u w:val="single"/>
        </w:rPr>
        <w:fldChar w:fldCharType="begin"/>
      </w:r>
      <w:r>
        <w:rPr>
          <w:rFonts w:ascii="DM Sans" w:hAnsi="DM Sans"/>
          <w:color w:val="4C5966"/>
          <w:u w:val="single"/>
        </w:rPr>
        <w:instrText xml:space="preserve"> HYPERLINK  "callto:110461-110477" </w:instrText>
      </w:r>
      <w:r>
        <w:rPr>
          <w:rFonts w:ascii="DM Sans" w:hAnsi="DM Sans"/>
          <w:color w:val="4C5966"/>
          <w:u w:val="single"/>
        </w:rPr>
      </w:r>
      <w:r>
        <w:rPr>
          <w:rFonts w:ascii="DM Sans" w:hAnsi="DM Sans"/>
          <w:color w:val="4C5966"/>
          <w:u w:val="single"/>
        </w:rPr>
        <w:fldChar w:fldCharType="separate"/>
      </w:r>
      <w:r>
        <w:rPr>
          <w:rFonts w:ascii="Times New Roman" w:hAnsi="Times New Roman"/>
          <w:color w:val="1C1C1C"/>
        </w:rPr>
        <w:t>110461-110477</w:t>
      </w:r>
      <w:r>
        <w:rPr>
          <w:rFonts w:ascii="Times New Roman" w:hAnsi="Times New Roman"/>
          <w:color w:val="1C1C1C"/>
        </w:rPr>
        <w:fldChar w:fldCharType="end"/>
      </w:r>
      <w:r>
        <w:rPr>
          <w:rFonts w:ascii="Times New Roman" w:hAnsi="Times New Roman"/>
          <w:color w:val="1C1C1C"/>
        </w:rPr>
        <w:t>.</w:t>
      </w:r>
    </w:p>
    <w:p w14:paraId="62FB3CD8" w14:textId="77777777" w:rsidR="00A5567B" w:rsidRDefault="00F63440">
      <w:pPr>
        <w:pStyle w:val="Standard"/>
        <w:widowControl/>
        <w:spacing w:line="360" w:lineRule="auto"/>
        <w:ind w:left="870" w:hanging="885"/>
        <w:jc w:val="both"/>
        <w:rPr>
          <w:rFonts w:ascii="Times New Roman" w:hAnsi="Times New Roman"/>
          <w:color w:val="1C1C1C"/>
        </w:rPr>
      </w:pPr>
      <w:r>
        <w:rPr>
          <w:rFonts w:ascii="Times New Roman" w:hAnsi="Times New Roman"/>
          <w:color w:val="1C1C1C"/>
          <w:shd w:val="clear" w:color="auto" w:fill="FFFFFF"/>
        </w:rPr>
        <w:t xml:space="preserve">Payne, D.M., Corey, C., </w:t>
      </w:r>
      <w:proofErr w:type="spellStart"/>
      <w:r>
        <w:rPr>
          <w:rFonts w:ascii="Times New Roman" w:hAnsi="Times New Roman"/>
          <w:color w:val="1C1C1C"/>
          <w:shd w:val="clear" w:color="auto" w:fill="FFFFFF"/>
        </w:rPr>
        <w:t>Raiborn</w:t>
      </w:r>
      <w:proofErr w:type="spellEnd"/>
      <w:r>
        <w:rPr>
          <w:rFonts w:ascii="Times New Roman" w:hAnsi="Times New Roman"/>
          <w:color w:val="1C1C1C"/>
          <w:shd w:val="clear" w:color="auto" w:fill="FFFFFF"/>
        </w:rPr>
        <w:t xml:space="preserve">, C. and </w:t>
      </w:r>
      <w:proofErr w:type="spellStart"/>
      <w:r>
        <w:rPr>
          <w:rFonts w:ascii="Times New Roman" w:hAnsi="Times New Roman"/>
          <w:color w:val="1C1C1C"/>
          <w:shd w:val="clear" w:color="auto" w:fill="FFFFFF"/>
        </w:rPr>
        <w:t>Zingoni</w:t>
      </w:r>
      <w:proofErr w:type="spellEnd"/>
      <w:r>
        <w:rPr>
          <w:rFonts w:ascii="Times New Roman" w:hAnsi="Times New Roman"/>
          <w:color w:val="1C1C1C"/>
          <w:shd w:val="clear" w:color="auto" w:fill="FFFFFF"/>
        </w:rPr>
        <w:t>, M., 2020. An applied code of ethics model for decision-making in the accounting profession. </w:t>
      </w:r>
      <w:r>
        <w:rPr>
          <w:rFonts w:ascii="Times New Roman" w:hAnsi="Times New Roman"/>
          <w:i/>
          <w:color w:val="1C1C1C"/>
          <w:shd w:val="clear" w:color="auto" w:fill="FFFFFF"/>
        </w:rPr>
        <w:t>Management Research Review</w:t>
      </w:r>
      <w:r>
        <w:rPr>
          <w:rFonts w:ascii="Times New Roman" w:hAnsi="Times New Roman"/>
          <w:color w:val="1C1C1C"/>
          <w:shd w:val="clear" w:color="auto" w:fill="FFFFFF"/>
        </w:rPr>
        <w:t>, </w:t>
      </w:r>
      <w:r>
        <w:rPr>
          <w:rFonts w:ascii="Times New Roman" w:hAnsi="Times New Roman"/>
          <w:i/>
          <w:color w:val="1C1C1C"/>
          <w:shd w:val="clear" w:color="auto" w:fill="FFFFFF"/>
        </w:rPr>
        <w:t>43</w:t>
      </w:r>
      <w:r>
        <w:rPr>
          <w:rFonts w:ascii="Times New Roman" w:hAnsi="Times New Roman"/>
          <w:color w:val="1C1C1C"/>
          <w:shd w:val="clear" w:color="auto" w:fill="FFFFFF"/>
        </w:rPr>
        <w:t>(9), pp.1117-1134.</w:t>
      </w:r>
    </w:p>
    <w:p w14:paraId="5B5A11DE" w14:textId="77777777" w:rsidR="00A5567B" w:rsidRDefault="00F63440">
      <w:pPr>
        <w:pStyle w:val="Standard"/>
        <w:widowControl/>
        <w:spacing w:line="360" w:lineRule="auto"/>
        <w:ind w:left="870" w:hanging="885"/>
        <w:jc w:val="both"/>
        <w:rPr>
          <w:rFonts w:ascii="Times New Roman" w:hAnsi="Times New Roman"/>
          <w:color w:val="1C1C1C"/>
        </w:rPr>
      </w:pPr>
      <w:proofErr w:type="spellStart"/>
      <w:r>
        <w:rPr>
          <w:rFonts w:ascii="Times New Roman" w:hAnsi="Times New Roman"/>
          <w:color w:val="1C1C1C"/>
          <w:shd w:val="clear" w:color="auto" w:fill="FFFFFF"/>
        </w:rPr>
        <w:t>Rogošić</w:t>
      </w:r>
      <w:proofErr w:type="spellEnd"/>
      <w:r>
        <w:rPr>
          <w:rFonts w:ascii="Times New Roman" w:hAnsi="Times New Roman"/>
          <w:color w:val="1C1C1C"/>
          <w:shd w:val="clear" w:color="auto" w:fill="FFFFFF"/>
        </w:rPr>
        <w:t>, A. and Perica, I., 2023. Affective professional commitment and accounting ethics principles: examining the mediating role of the code of ethics. </w:t>
      </w:r>
      <w:r>
        <w:rPr>
          <w:rFonts w:ascii="Times New Roman" w:hAnsi="Times New Roman"/>
          <w:i/>
          <w:color w:val="1C1C1C"/>
          <w:shd w:val="clear" w:color="auto" w:fill="FFFFFF"/>
        </w:rPr>
        <w:t>Economic research-</w:t>
      </w:r>
      <w:proofErr w:type="spellStart"/>
      <w:r>
        <w:rPr>
          <w:rFonts w:ascii="Times New Roman" w:hAnsi="Times New Roman"/>
          <w:i/>
          <w:color w:val="1C1C1C"/>
          <w:shd w:val="clear" w:color="auto" w:fill="FFFFFF"/>
        </w:rPr>
        <w:t>Ekonomska</w:t>
      </w:r>
      <w:proofErr w:type="spellEnd"/>
      <w:r>
        <w:rPr>
          <w:rFonts w:ascii="Times New Roman" w:hAnsi="Times New Roman"/>
          <w:i/>
          <w:color w:val="1C1C1C"/>
          <w:shd w:val="clear" w:color="auto" w:fill="FFFFFF"/>
        </w:rPr>
        <w:t xml:space="preserve"> </w:t>
      </w:r>
      <w:proofErr w:type="spellStart"/>
      <w:r>
        <w:rPr>
          <w:rFonts w:ascii="Times New Roman" w:hAnsi="Times New Roman"/>
          <w:i/>
          <w:color w:val="1C1C1C"/>
          <w:shd w:val="clear" w:color="auto" w:fill="FFFFFF"/>
        </w:rPr>
        <w:t>istraživanja</w:t>
      </w:r>
      <w:proofErr w:type="spellEnd"/>
      <w:r>
        <w:rPr>
          <w:rFonts w:ascii="Times New Roman" w:hAnsi="Times New Roman"/>
          <w:color w:val="1C1C1C"/>
          <w:shd w:val="clear" w:color="auto" w:fill="FFFFFF"/>
        </w:rPr>
        <w:t>, </w:t>
      </w:r>
      <w:r>
        <w:rPr>
          <w:rFonts w:ascii="Times New Roman" w:hAnsi="Times New Roman"/>
          <w:i/>
          <w:color w:val="1C1C1C"/>
          <w:shd w:val="clear" w:color="auto" w:fill="FFFFFF"/>
        </w:rPr>
        <w:t>36</w:t>
      </w:r>
      <w:r>
        <w:rPr>
          <w:rFonts w:ascii="Times New Roman" w:hAnsi="Times New Roman"/>
          <w:color w:val="1C1C1C"/>
          <w:shd w:val="clear" w:color="auto" w:fill="FFFFFF"/>
        </w:rPr>
        <w:t>(1), pp.480-498.</w:t>
      </w:r>
    </w:p>
    <w:p w14:paraId="296C64F7" w14:textId="77777777" w:rsidR="00A5567B" w:rsidRDefault="00F63440">
      <w:pPr>
        <w:pStyle w:val="Standard"/>
        <w:widowControl/>
        <w:spacing w:line="360" w:lineRule="auto"/>
        <w:ind w:left="870" w:hanging="885"/>
        <w:jc w:val="both"/>
        <w:rPr>
          <w:rFonts w:ascii="Times New Roman" w:hAnsi="Times New Roman"/>
          <w:color w:val="1C1C1C"/>
        </w:rPr>
      </w:pPr>
      <w:proofErr w:type="spellStart"/>
      <w:r>
        <w:rPr>
          <w:rFonts w:ascii="Times New Roman" w:hAnsi="Times New Roman"/>
          <w:color w:val="1C1C1C"/>
          <w:shd w:val="clear" w:color="auto" w:fill="FFFFFF"/>
        </w:rPr>
        <w:t>Fridson</w:t>
      </w:r>
      <w:proofErr w:type="spellEnd"/>
      <w:r>
        <w:rPr>
          <w:rFonts w:ascii="Times New Roman" w:hAnsi="Times New Roman"/>
          <w:color w:val="1C1C1C"/>
          <w:shd w:val="clear" w:color="auto" w:fill="FFFFFF"/>
        </w:rPr>
        <w:t>, M.S. and Alvarez, F., 2022. </w:t>
      </w:r>
      <w:r>
        <w:rPr>
          <w:rFonts w:ascii="Times New Roman" w:hAnsi="Times New Roman"/>
          <w:i/>
          <w:color w:val="1C1C1C"/>
          <w:shd w:val="clear" w:color="auto" w:fill="FFFFFF"/>
        </w:rPr>
        <w:t>Financial statement analysis: a practitioner's guide</w:t>
      </w:r>
      <w:r>
        <w:rPr>
          <w:rFonts w:ascii="Times New Roman" w:hAnsi="Times New Roman"/>
          <w:color w:val="1C1C1C"/>
          <w:shd w:val="clear" w:color="auto" w:fill="FFFFFF"/>
        </w:rPr>
        <w:t>. John Wiley &amp; Sons.</w:t>
      </w:r>
    </w:p>
    <w:p w14:paraId="3E6A201D" w14:textId="77777777" w:rsidR="00A5567B" w:rsidRDefault="00F63440">
      <w:pPr>
        <w:pStyle w:val="Standard"/>
        <w:widowControl/>
        <w:spacing w:line="360" w:lineRule="auto"/>
        <w:ind w:left="870" w:hanging="885"/>
        <w:jc w:val="both"/>
        <w:rPr>
          <w:rFonts w:ascii="Times New Roman" w:hAnsi="Times New Roman"/>
          <w:color w:val="1C1C1C"/>
        </w:rPr>
      </w:pPr>
      <w:proofErr w:type="spellStart"/>
      <w:r>
        <w:rPr>
          <w:rFonts w:ascii="Times New Roman" w:hAnsi="Times New Roman"/>
          <w:color w:val="1C1C1C"/>
          <w:shd w:val="clear" w:color="auto" w:fill="FFFFFF"/>
        </w:rPr>
        <w:t>Revsine</w:t>
      </w:r>
      <w:proofErr w:type="spellEnd"/>
      <w:r>
        <w:rPr>
          <w:rFonts w:ascii="Times New Roman" w:hAnsi="Times New Roman"/>
          <w:color w:val="1C1C1C"/>
          <w:shd w:val="clear" w:color="auto" w:fill="FFFFFF"/>
        </w:rPr>
        <w:t>, L., Collins, D.W. and Johnson, W.B., 2021. </w:t>
      </w:r>
      <w:r>
        <w:rPr>
          <w:rFonts w:ascii="Times New Roman" w:hAnsi="Times New Roman"/>
          <w:i/>
          <w:color w:val="1C1C1C"/>
          <w:shd w:val="clear" w:color="auto" w:fill="FFFFFF"/>
        </w:rPr>
        <w:t>Financial reporting &amp; analysis</w:t>
      </w:r>
      <w:r>
        <w:rPr>
          <w:rFonts w:ascii="Times New Roman" w:hAnsi="Times New Roman"/>
          <w:color w:val="1C1C1C"/>
          <w:shd w:val="clear" w:color="auto" w:fill="FFFFFF"/>
        </w:rPr>
        <w:t>. McGraw-Hill.</w:t>
      </w:r>
    </w:p>
    <w:p w14:paraId="085EBDD9" w14:textId="77777777" w:rsidR="00A5567B" w:rsidRDefault="00F63440">
      <w:pPr>
        <w:pStyle w:val="Standard"/>
        <w:widowControl/>
        <w:spacing w:line="360" w:lineRule="auto"/>
        <w:ind w:left="870" w:hanging="885"/>
        <w:jc w:val="both"/>
        <w:rPr>
          <w:rFonts w:ascii="Times New Roman" w:hAnsi="Times New Roman"/>
          <w:color w:val="1C1C1C"/>
        </w:rPr>
      </w:pPr>
      <w:r>
        <w:rPr>
          <w:rFonts w:ascii="Times New Roman" w:hAnsi="Times New Roman"/>
          <w:color w:val="1C1C1C"/>
          <w:shd w:val="clear" w:color="auto" w:fill="FFFFFF"/>
        </w:rPr>
        <w:t>Hasanaj, P. and Kuqi, B., 2019. Analysis of financial statements. </w:t>
      </w:r>
      <w:r>
        <w:rPr>
          <w:rFonts w:ascii="Times New Roman" w:hAnsi="Times New Roman"/>
          <w:i/>
          <w:color w:val="1C1C1C"/>
          <w:shd w:val="clear" w:color="auto" w:fill="FFFFFF"/>
        </w:rPr>
        <w:t>Humanities and Social Science Research</w:t>
      </w:r>
      <w:r>
        <w:rPr>
          <w:rFonts w:ascii="Times New Roman" w:hAnsi="Times New Roman"/>
          <w:color w:val="1C1C1C"/>
          <w:shd w:val="clear" w:color="auto" w:fill="FFFFFF"/>
        </w:rPr>
        <w:t>, </w:t>
      </w:r>
      <w:r>
        <w:rPr>
          <w:rFonts w:ascii="Times New Roman" w:hAnsi="Times New Roman"/>
          <w:i/>
          <w:color w:val="1C1C1C"/>
          <w:shd w:val="clear" w:color="auto" w:fill="FFFFFF"/>
        </w:rPr>
        <w:t>2</w:t>
      </w:r>
      <w:r>
        <w:rPr>
          <w:rFonts w:ascii="Times New Roman" w:hAnsi="Times New Roman"/>
          <w:color w:val="1C1C1C"/>
          <w:shd w:val="clear" w:color="auto" w:fill="FFFFFF"/>
        </w:rPr>
        <w:t xml:space="preserve">(2), </w:t>
      </w:r>
      <w:proofErr w:type="gramStart"/>
      <w:r>
        <w:rPr>
          <w:rFonts w:ascii="Times New Roman" w:hAnsi="Times New Roman"/>
          <w:color w:val="1C1C1C"/>
          <w:shd w:val="clear" w:color="auto" w:fill="FFFFFF"/>
        </w:rPr>
        <w:t>pp.p</w:t>
      </w:r>
      <w:proofErr w:type="gramEnd"/>
      <w:r>
        <w:rPr>
          <w:rFonts w:ascii="Times New Roman" w:hAnsi="Times New Roman"/>
          <w:color w:val="1C1C1C"/>
          <w:shd w:val="clear" w:color="auto" w:fill="FFFFFF"/>
        </w:rPr>
        <w:t>17-p17.</w:t>
      </w:r>
    </w:p>
    <w:p w14:paraId="35A5E1FC" w14:textId="77777777" w:rsidR="00A5567B" w:rsidRDefault="00F63440">
      <w:pPr>
        <w:pStyle w:val="Standard"/>
        <w:widowControl/>
        <w:spacing w:line="360" w:lineRule="auto"/>
        <w:ind w:left="870" w:hanging="885"/>
        <w:jc w:val="both"/>
        <w:rPr>
          <w:rFonts w:ascii="Times New Roman" w:hAnsi="Times New Roman"/>
          <w:color w:val="1C1C1C"/>
        </w:rPr>
      </w:pPr>
      <w:r>
        <w:rPr>
          <w:rFonts w:ascii="Times New Roman" w:hAnsi="Times New Roman"/>
          <w:color w:val="1C1C1C"/>
          <w:shd w:val="clear" w:color="auto" w:fill="FFFFFF"/>
        </w:rPr>
        <w:t xml:space="preserve">Shabbir, M.S. and Wisdom, O., 2020. The relationship between corporate social responsibility, environmental </w:t>
      </w:r>
      <w:proofErr w:type="gramStart"/>
      <w:r>
        <w:rPr>
          <w:rFonts w:ascii="Times New Roman" w:hAnsi="Times New Roman"/>
          <w:color w:val="1C1C1C"/>
          <w:shd w:val="clear" w:color="auto" w:fill="FFFFFF"/>
        </w:rPr>
        <w:t>investments</w:t>
      </w:r>
      <w:proofErr w:type="gramEnd"/>
      <w:r>
        <w:rPr>
          <w:rFonts w:ascii="Times New Roman" w:hAnsi="Times New Roman"/>
          <w:color w:val="1C1C1C"/>
          <w:shd w:val="clear" w:color="auto" w:fill="FFFFFF"/>
        </w:rPr>
        <w:t xml:space="preserve"> and financial performance: evidence from manufacturing companies. </w:t>
      </w:r>
      <w:r>
        <w:rPr>
          <w:rFonts w:ascii="Times New Roman" w:hAnsi="Times New Roman"/>
          <w:i/>
          <w:color w:val="1C1C1C"/>
          <w:shd w:val="clear" w:color="auto" w:fill="FFFFFF"/>
        </w:rPr>
        <w:t>Environmental Science and Pollution Research</w:t>
      </w:r>
      <w:r>
        <w:rPr>
          <w:rFonts w:ascii="Times New Roman" w:hAnsi="Times New Roman"/>
          <w:color w:val="1C1C1C"/>
          <w:shd w:val="clear" w:color="auto" w:fill="FFFFFF"/>
        </w:rPr>
        <w:t>, </w:t>
      </w:r>
      <w:r>
        <w:rPr>
          <w:rFonts w:ascii="Times New Roman" w:hAnsi="Times New Roman"/>
          <w:i/>
          <w:color w:val="1C1C1C"/>
          <w:shd w:val="clear" w:color="auto" w:fill="FFFFFF"/>
        </w:rPr>
        <w:t>27</w:t>
      </w:r>
      <w:r>
        <w:rPr>
          <w:rFonts w:ascii="Times New Roman" w:hAnsi="Times New Roman"/>
          <w:color w:val="1C1C1C"/>
          <w:shd w:val="clear" w:color="auto" w:fill="FFFFFF"/>
        </w:rPr>
        <w:t>, pp.39946-39957.</w:t>
      </w:r>
    </w:p>
    <w:p w14:paraId="37DB4435" w14:textId="77777777" w:rsidR="00A5567B" w:rsidRDefault="00F63440">
      <w:pPr>
        <w:pStyle w:val="Standard"/>
        <w:widowControl/>
        <w:spacing w:line="360" w:lineRule="auto"/>
        <w:ind w:left="870" w:hanging="885"/>
        <w:jc w:val="both"/>
        <w:rPr>
          <w:rFonts w:ascii="Times New Roman" w:hAnsi="Times New Roman"/>
          <w:color w:val="1C1C1C"/>
          <w:shd w:val="clear" w:color="auto" w:fill="FFFFFF"/>
        </w:rPr>
      </w:pPr>
      <w:proofErr w:type="spellStart"/>
      <w:r>
        <w:rPr>
          <w:rFonts w:ascii="Times New Roman" w:hAnsi="Times New Roman"/>
          <w:color w:val="1C1C1C"/>
          <w:shd w:val="clear" w:color="auto" w:fill="FFFFFF"/>
        </w:rPr>
        <w:t>Gofwan</w:t>
      </w:r>
      <w:proofErr w:type="spellEnd"/>
      <w:r>
        <w:rPr>
          <w:rFonts w:ascii="Times New Roman" w:hAnsi="Times New Roman"/>
          <w:color w:val="1C1C1C"/>
          <w:shd w:val="clear" w:color="auto" w:fill="FFFFFF"/>
        </w:rPr>
        <w:t>, H., 2022. Effect of accounting information system on financial performance of firms: A review of literature. DEPARTMENT OF ACCOUNTING (BINGHAM UNIVERSITY)-2nd Departmental Seminar Series with the Theme–History of Accounting Thoughts: A Methodological Approach. Vol. 2, No. 1.</w:t>
      </w:r>
    </w:p>
    <w:p w14:paraId="71D47FEA" w14:textId="77777777" w:rsidR="00A5567B" w:rsidRDefault="00F63440">
      <w:pPr>
        <w:pStyle w:val="Standard"/>
        <w:widowControl/>
        <w:spacing w:line="360" w:lineRule="auto"/>
        <w:ind w:left="870" w:hanging="885"/>
        <w:jc w:val="both"/>
        <w:rPr>
          <w:rFonts w:ascii="Times New Roman" w:hAnsi="Times New Roman"/>
          <w:color w:val="1C1C1C"/>
          <w:shd w:val="clear" w:color="auto" w:fill="FFFFFF"/>
        </w:rPr>
      </w:pPr>
      <w:r>
        <w:rPr>
          <w:rFonts w:ascii="Times New Roman" w:hAnsi="Times New Roman"/>
          <w:color w:val="1C1C1C"/>
          <w:shd w:val="clear" w:color="auto" w:fill="FFFFFF"/>
        </w:rPr>
        <w:t>Kariyawasam, A.H.N., 2019. Analysing the impact of financial ratios on a company’s financial performance.</w:t>
      </w:r>
    </w:p>
    <w:p w14:paraId="003C2BF9" w14:textId="77777777" w:rsidR="00A5567B" w:rsidRDefault="00F63440">
      <w:pPr>
        <w:pStyle w:val="Standard"/>
        <w:widowControl/>
        <w:spacing w:line="360" w:lineRule="auto"/>
        <w:ind w:left="870" w:hanging="885"/>
        <w:jc w:val="both"/>
        <w:rPr>
          <w:rFonts w:ascii="Times New Roman" w:hAnsi="Times New Roman"/>
          <w:color w:val="1C1C1C"/>
        </w:rPr>
      </w:pPr>
      <w:proofErr w:type="spellStart"/>
      <w:r w:rsidRPr="000C03CF">
        <w:rPr>
          <w:rFonts w:ascii="Times New Roman" w:hAnsi="Times New Roman"/>
          <w:color w:val="1C1C1C"/>
          <w:shd w:val="clear" w:color="auto" w:fill="FFFFFF"/>
          <w:lang w:val="de-DE"/>
        </w:rPr>
        <w:t>Tenney</w:t>
      </w:r>
      <w:proofErr w:type="spellEnd"/>
      <w:r w:rsidRPr="000C03CF">
        <w:rPr>
          <w:rFonts w:ascii="Times New Roman" w:hAnsi="Times New Roman"/>
          <w:color w:val="1C1C1C"/>
          <w:shd w:val="clear" w:color="auto" w:fill="FFFFFF"/>
          <w:lang w:val="de-DE"/>
        </w:rPr>
        <w:t xml:space="preserve">, J.A. and </w:t>
      </w:r>
      <w:proofErr w:type="spellStart"/>
      <w:r w:rsidRPr="000C03CF">
        <w:rPr>
          <w:rFonts w:ascii="Times New Roman" w:hAnsi="Times New Roman"/>
          <w:color w:val="1C1C1C"/>
          <w:shd w:val="clear" w:color="auto" w:fill="FFFFFF"/>
          <w:lang w:val="de-DE"/>
        </w:rPr>
        <w:t>Kalenkoski</w:t>
      </w:r>
      <w:proofErr w:type="spellEnd"/>
      <w:r w:rsidRPr="000C03CF">
        <w:rPr>
          <w:rFonts w:ascii="Times New Roman" w:hAnsi="Times New Roman"/>
          <w:color w:val="1C1C1C"/>
          <w:shd w:val="clear" w:color="auto" w:fill="FFFFFF"/>
          <w:lang w:val="de-DE"/>
        </w:rPr>
        <w:t xml:space="preserve">, C.M., 2019. </w:t>
      </w:r>
      <w:r>
        <w:rPr>
          <w:rFonts w:ascii="Times New Roman" w:hAnsi="Times New Roman"/>
          <w:color w:val="1C1C1C"/>
          <w:shd w:val="clear" w:color="auto" w:fill="FFFFFF"/>
        </w:rPr>
        <w:t>Financial ratios and financial satisfaction: Exploring associations between objective and subjective measures of financial well-being among older Americans. </w:t>
      </w:r>
      <w:r>
        <w:rPr>
          <w:rFonts w:ascii="Times New Roman" w:hAnsi="Times New Roman"/>
          <w:i/>
          <w:color w:val="1C1C1C"/>
          <w:shd w:val="clear" w:color="auto" w:fill="FFFFFF"/>
        </w:rPr>
        <w:t xml:space="preserve">Journal of Financial </w:t>
      </w:r>
      <w:proofErr w:type="spellStart"/>
      <w:r>
        <w:rPr>
          <w:rFonts w:ascii="Times New Roman" w:hAnsi="Times New Roman"/>
          <w:i/>
          <w:color w:val="1C1C1C"/>
          <w:shd w:val="clear" w:color="auto" w:fill="FFFFFF"/>
        </w:rPr>
        <w:t>Counseling</w:t>
      </w:r>
      <w:proofErr w:type="spellEnd"/>
      <w:r>
        <w:rPr>
          <w:rFonts w:ascii="Times New Roman" w:hAnsi="Times New Roman"/>
          <w:i/>
          <w:color w:val="1C1C1C"/>
          <w:shd w:val="clear" w:color="auto" w:fill="FFFFFF"/>
        </w:rPr>
        <w:t xml:space="preserve"> and Planning</w:t>
      </w:r>
      <w:r>
        <w:rPr>
          <w:rFonts w:ascii="Times New Roman" w:hAnsi="Times New Roman"/>
          <w:color w:val="1C1C1C"/>
          <w:shd w:val="clear" w:color="auto" w:fill="FFFFFF"/>
        </w:rPr>
        <w:t>, </w:t>
      </w:r>
      <w:r>
        <w:rPr>
          <w:rFonts w:ascii="Times New Roman" w:hAnsi="Times New Roman"/>
          <w:i/>
          <w:color w:val="1C1C1C"/>
          <w:shd w:val="clear" w:color="auto" w:fill="FFFFFF"/>
        </w:rPr>
        <w:t>30</w:t>
      </w:r>
      <w:r>
        <w:rPr>
          <w:rFonts w:ascii="Times New Roman" w:hAnsi="Times New Roman"/>
          <w:color w:val="1C1C1C"/>
          <w:shd w:val="clear" w:color="auto" w:fill="FFFFFF"/>
        </w:rPr>
        <w:t>(2), pp.231-243.</w:t>
      </w:r>
    </w:p>
    <w:p w14:paraId="1F6F9B98" w14:textId="77777777" w:rsidR="00A5567B" w:rsidRDefault="00A5567B">
      <w:pPr>
        <w:pStyle w:val="Standard"/>
        <w:widowControl/>
        <w:spacing w:line="360" w:lineRule="auto"/>
        <w:ind w:left="870" w:hanging="885"/>
        <w:jc w:val="both"/>
        <w:rPr>
          <w:rFonts w:ascii="Times New Roman" w:hAnsi="Times New Roman"/>
          <w:color w:val="1C1C1C"/>
          <w:u w:val="single"/>
        </w:rPr>
      </w:pPr>
    </w:p>
    <w:sectPr w:rsidR="00A5567B">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7636D" w14:textId="77777777" w:rsidR="00217062" w:rsidRDefault="00217062">
      <w:r>
        <w:separator/>
      </w:r>
    </w:p>
  </w:endnote>
  <w:endnote w:type="continuationSeparator" w:id="0">
    <w:p w14:paraId="77D58350" w14:textId="77777777" w:rsidR="00217062" w:rsidRDefault="00217062">
      <w:r>
        <w:continuationSeparator/>
      </w:r>
    </w:p>
  </w:endnote>
  <w:endnote w:type="continuationNotice" w:id="1">
    <w:p w14:paraId="1CEBB3B3" w14:textId="77777777" w:rsidR="00217062" w:rsidRDefault="002170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Klee One"/>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Tinos">
    <w:altName w:val="HGPMinchoE"/>
    <w:charset w:val="80"/>
    <w:family w:val="roman"/>
    <w:pitch w:val="variable"/>
  </w:font>
  <w:font w:name="Noto Sans CJK SC">
    <w:altName w:val="Calibri"/>
    <w:charset w:val="00"/>
    <w:family w:val="auto"/>
    <w:pitch w:val="variable"/>
  </w:font>
  <w:font w:name="DejaVu Sans">
    <w:altName w:val="Klee One"/>
    <w:charset w:val="80"/>
    <w:family w:val="auto"/>
    <w:pitch w:val="variable"/>
  </w:font>
  <w:font w:name="Arimo">
    <w:altName w:val="Calibri"/>
    <w:charset w:val="00"/>
    <w:family w:val="swiss"/>
    <w:pitch w:val="variable"/>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DM Sans">
    <w:charset w:val="00"/>
    <w:family w:val="auto"/>
    <w:pitch w:val="variable"/>
    <w:sig w:usb0="8000002F" w:usb1="5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C31FA" w14:textId="77777777" w:rsidR="00217062" w:rsidRDefault="00217062">
      <w:r>
        <w:rPr>
          <w:color w:val="000000"/>
        </w:rPr>
        <w:separator/>
      </w:r>
    </w:p>
  </w:footnote>
  <w:footnote w:type="continuationSeparator" w:id="0">
    <w:p w14:paraId="0CD7243E" w14:textId="77777777" w:rsidR="00217062" w:rsidRDefault="00217062">
      <w:r>
        <w:continuationSeparator/>
      </w:r>
    </w:p>
  </w:footnote>
  <w:footnote w:type="continuationNotice" w:id="1">
    <w:p w14:paraId="7B3AA74F" w14:textId="77777777" w:rsidR="00217062" w:rsidRDefault="0021706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5378"/>
    <w:multiLevelType w:val="multilevel"/>
    <w:tmpl w:val="D7487C4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09C33222"/>
    <w:multiLevelType w:val="hybridMultilevel"/>
    <w:tmpl w:val="5164F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D865EA"/>
    <w:multiLevelType w:val="multilevel"/>
    <w:tmpl w:val="1F624AA0"/>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num w:numId="1" w16cid:durableId="956327320">
    <w:abstractNumId w:val="2"/>
  </w:num>
  <w:num w:numId="2" w16cid:durableId="456919670">
    <w:abstractNumId w:val="0"/>
  </w:num>
  <w:num w:numId="3" w16cid:durableId="8698762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9"/>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67B"/>
    <w:rsid w:val="000028E8"/>
    <w:rsid w:val="00024F12"/>
    <w:rsid w:val="00054AA8"/>
    <w:rsid w:val="000970CA"/>
    <w:rsid w:val="000C03CF"/>
    <w:rsid w:val="000C4AC3"/>
    <w:rsid w:val="00111035"/>
    <w:rsid w:val="001322E4"/>
    <w:rsid w:val="00144C2C"/>
    <w:rsid w:val="00163BCC"/>
    <w:rsid w:val="001669E0"/>
    <w:rsid w:val="00170342"/>
    <w:rsid w:val="001B5AE0"/>
    <w:rsid w:val="001D03B6"/>
    <w:rsid w:val="002030FA"/>
    <w:rsid w:val="00217062"/>
    <w:rsid w:val="0022028E"/>
    <w:rsid w:val="002471A2"/>
    <w:rsid w:val="002D49AC"/>
    <w:rsid w:val="00323CCA"/>
    <w:rsid w:val="003A777F"/>
    <w:rsid w:val="003C2891"/>
    <w:rsid w:val="003C4FAE"/>
    <w:rsid w:val="003D41A0"/>
    <w:rsid w:val="003D4819"/>
    <w:rsid w:val="003E087F"/>
    <w:rsid w:val="003F219F"/>
    <w:rsid w:val="003F5EC3"/>
    <w:rsid w:val="00402263"/>
    <w:rsid w:val="0041467D"/>
    <w:rsid w:val="00415BA5"/>
    <w:rsid w:val="004322D0"/>
    <w:rsid w:val="004349E8"/>
    <w:rsid w:val="00442A6F"/>
    <w:rsid w:val="004602EC"/>
    <w:rsid w:val="004641E9"/>
    <w:rsid w:val="00471C47"/>
    <w:rsid w:val="004A2D13"/>
    <w:rsid w:val="004B2209"/>
    <w:rsid w:val="004C3E52"/>
    <w:rsid w:val="004F181C"/>
    <w:rsid w:val="004F35FF"/>
    <w:rsid w:val="00501429"/>
    <w:rsid w:val="00502F09"/>
    <w:rsid w:val="00520E5E"/>
    <w:rsid w:val="005214A2"/>
    <w:rsid w:val="00565010"/>
    <w:rsid w:val="00565E3C"/>
    <w:rsid w:val="0056733A"/>
    <w:rsid w:val="00576150"/>
    <w:rsid w:val="005A0610"/>
    <w:rsid w:val="005A60C0"/>
    <w:rsid w:val="005B5E95"/>
    <w:rsid w:val="005C28EC"/>
    <w:rsid w:val="005C356F"/>
    <w:rsid w:val="005E7B9D"/>
    <w:rsid w:val="00616CEE"/>
    <w:rsid w:val="00625B64"/>
    <w:rsid w:val="006548DA"/>
    <w:rsid w:val="00677586"/>
    <w:rsid w:val="006B2434"/>
    <w:rsid w:val="006B2E31"/>
    <w:rsid w:val="006C7000"/>
    <w:rsid w:val="006E2670"/>
    <w:rsid w:val="006E6C02"/>
    <w:rsid w:val="006F3D1B"/>
    <w:rsid w:val="0073410B"/>
    <w:rsid w:val="00774A53"/>
    <w:rsid w:val="007C4287"/>
    <w:rsid w:val="007C4D1C"/>
    <w:rsid w:val="007D3DD6"/>
    <w:rsid w:val="007E4868"/>
    <w:rsid w:val="00817506"/>
    <w:rsid w:val="00860CEB"/>
    <w:rsid w:val="00887404"/>
    <w:rsid w:val="008C5156"/>
    <w:rsid w:val="008C69AF"/>
    <w:rsid w:val="008F1521"/>
    <w:rsid w:val="008F1AE2"/>
    <w:rsid w:val="0092779D"/>
    <w:rsid w:val="00941349"/>
    <w:rsid w:val="00952372"/>
    <w:rsid w:val="00973094"/>
    <w:rsid w:val="00995777"/>
    <w:rsid w:val="009B559F"/>
    <w:rsid w:val="009B6062"/>
    <w:rsid w:val="009F26EF"/>
    <w:rsid w:val="00A02C42"/>
    <w:rsid w:val="00A1388A"/>
    <w:rsid w:val="00A13A89"/>
    <w:rsid w:val="00A362A5"/>
    <w:rsid w:val="00A4786B"/>
    <w:rsid w:val="00A52225"/>
    <w:rsid w:val="00A5438E"/>
    <w:rsid w:val="00A5567B"/>
    <w:rsid w:val="00A57590"/>
    <w:rsid w:val="00AC7944"/>
    <w:rsid w:val="00B242E0"/>
    <w:rsid w:val="00B341FF"/>
    <w:rsid w:val="00B41591"/>
    <w:rsid w:val="00B51637"/>
    <w:rsid w:val="00B7196C"/>
    <w:rsid w:val="00B96BCA"/>
    <w:rsid w:val="00B96F58"/>
    <w:rsid w:val="00C06409"/>
    <w:rsid w:val="00C33ADE"/>
    <w:rsid w:val="00C634A3"/>
    <w:rsid w:val="00C644DB"/>
    <w:rsid w:val="00CA2F0F"/>
    <w:rsid w:val="00CA6CDA"/>
    <w:rsid w:val="00CE428D"/>
    <w:rsid w:val="00D27355"/>
    <w:rsid w:val="00D352E5"/>
    <w:rsid w:val="00D50940"/>
    <w:rsid w:val="00D7044A"/>
    <w:rsid w:val="00D74115"/>
    <w:rsid w:val="00D74720"/>
    <w:rsid w:val="00D87FE5"/>
    <w:rsid w:val="00DA11D3"/>
    <w:rsid w:val="00DC2472"/>
    <w:rsid w:val="00DC521A"/>
    <w:rsid w:val="00DF12B1"/>
    <w:rsid w:val="00E074CB"/>
    <w:rsid w:val="00E12AF9"/>
    <w:rsid w:val="00E162CC"/>
    <w:rsid w:val="00E369BA"/>
    <w:rsid w:val="00E5588D"/>
    <w:rsid w:val="00E604D1"/>
    <w:rsid w:val="00E62EDA"/>
    <w:rsid w:val="00E744CF"/>
    <w:rsid w:val="00E949B6"/>
    <w:rsid w:val="00EC3F87"/>
    <w:rsid w:val="00EE19ED"/>
    <w:rsid w:val="00EF5E5F"/>
    <w:rsid w:val="00F06C43"/>
    <w:rsid w:val="00F1200E"/>
    <w:rsid w:val="00F16E7E"/>
    <w:rsid w:val="00F37A76"/>
    <w:rsid w:val="00F626CF"/>
    <w:rsid w:val="00F63440"/>
    <w:rsid w:val="00F87EA9"/>
    <w:rsid w:val="00FD7566"/>
    <w:rsid w:val="00FE4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B40ED"/>
  <w15:docId w15:val="{97A99343-5932-A84D-938C-A1F16F248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nos" w:eastAsia="Noto Sans CJK SC" w:hAnsi="Tinos" w:cs="DejaVu Sans"/>
        <w:kern w:val="3"/>
        <w:sz w:val="24"/>
        <w:szCs w:val="24"/>
        <w:lang w:val="en-GB"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Textbody"/>
    <w:uiPriority w:val="9"/>
    <w:qFormat/>
    <w:pPr>
      <w:outlineLvl w:val="0"/>
    </w:pPr>
    <w:rPr>
      <w:b/>
      <w:bCs/>
    </w:rPr>
  </w:style>
  <w:style w:type="paragraph" w:styleId="Heading2">
    <w:name w:val="heading 2"/>
    <w:basedOn w:val="Heading"/>
    <w:next w:val="Textbody"/>
    <w:uiPriority w:val="9"/>
    <w:unhideWhenUsed/>
    <w:qFormat/>
    <w:pPr>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mo" w:hAnsi="Arimo"/>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TableContents">
    <w:name w:val="Table Contents"/>
    <w:basedOn w:val="Standard"/>
    <w:pPr>
      <w:suppressLineNumbers/>
    </w:pPr>
  </w:style>
  <w:style w:type="paragraph" w:customStyle="1" w:styleId="ContentsHeading">
    <w:name w:val="Contents Heading"/>
    <w:basedOn w:val="Heading"/>
    <w:pPr>
      <w:suppressLineNumbers/>
    </w:pPr>
    <w:rPr>
      <w:b/>
      <w:bCs/>
      <w:sz w:val="32"/>
      <w:szCs w:val="32"/>
    </w:rPr>
  </w:style>
  <w:style w:type="paragraph" w:customStyle="1" w:styleId="Contents1">
    <w:name w:val="Contents 1"/>
    <w:basedOn w:val="Index"/>
    <w:pPr>
      <w:tabs>
        <w:tab w:val="right" w:leader="dot" w:pos="9638"/>
      </w:tabs>
    </w:pPr>
  </w:style>
  <w:style w:type="paragraph" w:customStyle="1" w:styleId="Contents2">
    <w:name w:val="Contents 2"/>
    <w:basedOn w:val="Index"/>
    <w:pPr>
      <w:tabs>
        <w:tab w:val="right" w:leader="dot" w:pos="9638"/>
      </w:tabs>
      <w:ind w:left="283"/>
    </w:pPr>
  </w:style>
  <w:style w:type="character" w:customStyle="1" w:styleId="BulletSymbols">
    <w:name w:val="Bullet Symbols"/>
    <w:rPr>
      <w:rFonts w:ascii="OpenSymbol" w:eastAsia="OpenSymbol" w:hAnsi="OpenSymbol" w:cs="OpenSymbol"/>
    </w:rPr>
  </w:style>
  <w:style w:type="character" w:customStyle="1" w:styleId="NumberingSymbols">
    <w:name w:val="Numbering Symbols"/>
  </w:style>
  <w:style w:type="character" w:customStyle="1" w:styleId="Internetlink">
    <w:name w:val="Internet link"/>
    <w:rPr>
      <w:color w:val="000080"/>
      <w:u w:val="single"/>
    </w:rPr>
  </w:style>
  <w:style w:type="paragraph" w:styleId="Header">
    <w:name w:val="header"/>
    <w:basedOn w:val="Normal"/>
    <w:link w:val="HeaderChar"/>
    <w:uiPriority w:val="99"/>
    <w:semiHidden/>
    <w:unhideWhenUsed/>
    <w:rsid w:val="00973094"/>
    <w:pPr>
      <w:tabs>
        <w:tab w:val="center" w:pos="4513"/>
        <w:tab w:val="right" w:pos="9026"/>
      </w:tabs>
    </w:pPr>
    <w:rPr>
      <w:rFonts w:cs="Mangal"/>
      <w:szCs w:val="21"/>
    </w:rPr>
  </w:style>
  <w:style w:type="character" w:customStyle="1" w:styleId="HeaderChar">
    <w:name w:val="Header Char"/>
    <w:basedOn w:val="DefaultParagraphFont"/>
    <w:link w:val="Header"/>
    <w:uiPriority w:val="99"/>
    <w:semiHidden/>
    <w:rsid w:val="00973094"/>
    <w:rPr>
      <w:rFonts w:cs="Mangal"/>
      <w:szCs w:val="21"/>
    </w:rPr>
  </w:style>
  <w:style w:type="paragraph" w:styleId="Footer">
    <w:name w:val="footer"/>
    <w:basedOn w:val="Normal"/>
    <w:link w:val="FooterChar"/>
    <w:uiPriority w:val="99"/>
    <w:semiHidden/>
    <w:unhideWhenUsed/>
    <w:rsid w:val="00973094"/>
    <w:pPr>
      <w:tabs>
        <w:tab w:val="center" w:pos="4513"/>
        <w:tab w:val="right" w:pos="9026"/>
      </w:tabs>
    </w:pPr>
    <w:rPr>
      <w:rFonts w:cs="Mangal"/>
      <w:szCs w:val="21"/>
    </w:rPr>
  </w:style>
  <w:style w:type="character" w:customStyle="1" w:styleId="FooterChar">
    <w:name w:val="Footer Char"/>
    <w:basedOn w:val="DefaultParagraphFont"/>
    <w:link w:val="Footer"/>
    <w:uiPriority w:val="99"/>
    <w:semiHidden/>
    <w:rsid w:val="00973094"/>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57638-6571-4CA0-8006-50AF41CD0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13</Pages>
  <Words>2605</Words>
  <Characters>14851</Characters>
  <Application>Microsoft Office Word</Application>
  <DocSecurity>0</DocSecurity>
  <Lines>123</Lines>
  <Paragraphs>34</Paragraphs>
  <ScaleCrop>false</ScaleCrop>
  <Company/>
  <LinksUpToDate>false</LinksUpToDate>
  <CharactersWithSpaces>17422</CharactersWithSpaces>
  <SharedDoc>false</SharedDoc>
  <HLinks>
    <vt:vector size="6" baseType="variant">
      <vt:variant>
        <vt:i4>4849731</vt:i4>
      </vt:variant>
      <vt:variant>
        <vt:i4>3</vt:i4>
      </vt:variant>
      <vt:variant>
        <vt:i4>0</vt:i4>
      </vt:variant>
      <vt:variant>
        <vt:i4>5</vt:i4>
      </vt:variant>
      <vt:variant>
        <vt:lpwstr>callto:110461-110477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Sendrev (2235334)</dc:creator>
  <cp:keywords/>
  <cp:lastModifiedBy>Ivan Sendrev (2235334)</cp:lastModifiedBy>
  <cp:revision>117</cp:revision>
  <dcterms:created xsi:type="dcterms:W3CDTF">2023-11-04T14:52:00Z</dcterms:created>
  <dcterms:modified xsi:type="dcterms:W3CDTF">2023-12-18T12:23:00Z</dcterms:modified>
</cp:coreProperties>
</file>