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CA3D5A" w14:textId="77777777" w:rsidR="00531D05" w:rsidRPr="00A77A04" w:rsidRDefault="00531D05">
      <w:pPr>
        <w:rPr>
          <w:b/>
          <w:sz w:val="28"/>
          <w:u w:val="single"/>
        </w:rPr>
      </w:pPr>
      <w:r w:rsidRPr="00A77A04">
        <w:rPr>
          <w:b/>
          <w:sz w:val="28"/>
          <w:u w:val="single"/>
        </w:rPr>
        <w:t>The Odyssey, Homer [4.243-260]</w:t>
      </w:r>
    </w:p>
    <w:p w14:paraId="0BA04E4F" w14:textId="77777777" w:rsidR="00531D05" w:rsidRPr="00A77A04" w:rsidRDefault="00531D05">
      <w:pPr>
        <w:rPr>
          <w:sz w:val="24"/>
        </w:rPr>
      </w:pPr>
      <w:r w:rsidRPr="00A77A04">
        <w:rPr>
          <w:sz w:val="24"/>
        </w:rPr>
        <w:t>The extract of The Odyssey, originally composed by Homer comes from Book 4 ‘Menelaus and Helen’ in which Odysseus’ son Telemachus has travelled to Sparta to speak to Menelaus about the last time he had seen his father. T</w:t>
      </w:r>
      <w:r w:rsidR="00A77A04">
        <w:rPr>
          <w:sz w:val="24"/>
        </w:rPr>
        <w:t xml:space="preserve">he extract is referencing </w:t>
      </w:r>
      <w:r w:rsidRPr="00A77A04">
        <w:rPr>
          <w:sz w:val="24"/>
        </w:rPr>
        <w:t xml:space="preserve">the story Helen tells over dinner </w:t>
      </w:r>
      <w:r w:rsidR="00A77A04">
        <w:rPr>
          <w:sz w:val="24"/>
        </w:rPr>
        <w:t>to</w:t>
      </w:r>
      <w:r w:rsidRPr="00A77A04">
        <w:rPr>
          <w:sz w:val="24"/>
        </w:rPr>
        <w:t xml:space="preserve"> Menelaus, Telemachus and Peisistratus, another son of Nestor</w:t>
      </w:r>
      <w:r w:rsidRPr="00A77A04">
        <w:rPr>
          <w:rStyle w:val="FootnoteReference"/>
          <w:sz w:val="24"/>
        </w:rPr>
        <w:footnoteReference w:id="1"/>
      </w:r>
      <w:r w:rsidRPr="00A77A04">
        <w:rPr>
          <w:sz w:val="24"/>
        </w:rPr>
        <w:t xml:space="preserve">. </w:t>
      </w:r>
      <w:r w:rsidR="00A77A04">
        <w:rPr>
          <w:sz w:val="24"/>
        </w:rPr>
        <w:t>Menelaus believes it’s his fault Odysseus hasn’t returned to Telemachus</w:t>
      </w:r>
      <w:r w:rsidRPr="00A77A04">
        <w:rPr>
          <w:rStyle w:val="FootnoteReference"/>
          <w:sz w:val="24"/>
        </w:rPr>
        <w:footnoteReference w:id="2"/>
      </w:r>
      <w:r w:rsidRPr="00A77A04">
        <w:rPr>
          <w:sz w:val="24"/>
        </w:rPr>
        <w:t xml:space="preserve"> and Helen drugs their wine to honour Odysseus memory with stories of his exploits without </w:t>
      </w:r>
      <w:r w:rsidR="00A77A04">
        <w:rPr>
          <w:sz w:val="24"/>
        </w:rPr>
        <w:t>negative emotion</w:t>
      </w:r>
      <w:r w:rsidRPr="00A77A04">
        <w:rPr>
          <w:rStyle w:val="FootnoteReference"/>
          <w:sz w:val="24"/>
        </w:rPr>
        <w:footnoteReference w:id="3"/>
      </w:r>
      <w:r w:rsidRPr="00A77A04">
        <w:rPr>
          <w:sz w:val="24"/>
        </w:rPr>
        <w:t>.</w:t>
      </w:r>
    </w:p>
    <w:p w14:paraId="1FE8F169" w14:textId="77777777" w:rsidR="00531D05" w:rsidRPr="00A77A04" w:rsidRDefault="002E46F1">
      <w:pPr>
        <w:rPr>
          <w:sz w:val="24"/>
        </w:rPr>
      </w:pPr>
      <w:r w:rsidRPr="00A77A04">
        <w:rPr>
          <w:sz w:val="24"/>
        </w:rPr>
        <w:t>Helen focuses on</w:t>
      </w:r>
      <w:r w:rsidR="00531D05" w:rsidRPr="00A77A04">
        <w:rPr>
          <w:sz w:val="24"/>
        </w:rPr>
        <w:t xml:space="preserve"> Odysseus</w:t>
      </w:r>
      <w:r w:rsidRPr="00A77A04">
        <w:rPr>
          <w:sz w:val="24"/>
        </w:rPr>
        <w:t>’</w:t>
      </w:r>
      <w:r w:rsidR="00531D05" w:rsidRPr="00A77A04">
        <w:rPr>
          <w:sz w:val="24"/>
        </w:rPr>
        <w:t xml:space="preserve"> expedition</w:t>
      </w:r>
      <w:r w:rsidRPr="00A77A04">
        <w:rPr>
          <w:sz w:val="24"/>
        </w:rPr>
        <w:t xml:space="preserve"> into Troy</w:t>
      </w:r>
      <w:r w:rsidR="00531D05" w:rsidRPr="00A77A04">
        <w:rPr>
          <w:sz w:val="24"/>
        </w:rPr>
        <w:t xml:space="preserve"> while disguised</w:t>
      </w:r>
      <w:r w:rsidRPr="00A77A04">
        <w:rPr>
          <w:rStyle w:val="FootnoteReference"/>
          <w:sz w:val="24"/>
        </w:rPr>
        <w:footnoteReference w:id="4"/>
      </w:r>
      <w:r w:rsidR="00531D05" w:rsidRPr="00A77A04">
        <w:rPr>
          <w:sz w:val="24"/>
        </w:rPr>
        <w:t>. Odysseus is known in Epic for being a commander wit</w:t>
      </w:r>
      <w:r w:rsidRPr="00A77A04">
        <w:rPr>
          <w:sz w:val="24"/>
        </w:rPr>
        <w:t>h high</w:t>
      </w:r>
      <w:r w:rsidR="00531D05" w:rsidRPr="00A77A04">
        <w:rPr>
          <w:sz w:val="24"/>
        </w:rPr>
        <w:t xml:space="preserve"> intelligence and finding alternative methods to brute force, the Trojan horse</w:t>
      </w:r>
      <w:r w:rsidRPr="00A77A04">
        <w:rPr>
          <w:sz w:val="24"/>
        </w:rPr>
        <w:t xml:space="preserve"> is one example of this</w:t>
      </w:r>
      <w:r w:rsidR="00531D05" w:rsidRPr="00A77A04">
        <w:rPr>
          <w:rStyle w:val="FootnoteReference"/>
          <w:sz w:val="24"/>
        </w:rPr>
        <w:footnoteReference w:id="5"/>
      </w:r>
      <w:r w:rsidR="00531D05" w:rsidRPr="00A77A04">
        <w:rPr>
          <w:sz w:val="24"/>
        </w:rPr>
        <w:t>.</w:t>
      </w:r>
      <w:r w:rsidR="00AD1264">
        <w:rPr>
          <w:sz w:val="24"/>
        </w:rPr>
        <w:t xml:space="preserve"> </w:t>
      </w:r>
      <w:r w:rsidR="00531D05" w:rsidRPr="00A77A04">
        <w:rPr>
          <w:sz w:val="24"/>
        </w:rPr>
        <w:t>Helen says that Odysseus had flogged his own body</w:t>
      </w:r>
      <w:r w:rsidR="00531D05" w:rsidRPr="00A77A04">
        <w:rPr>
          <w:rStyle w:val="FootnoteReference"/>
          <w:sz w:val="24"/>
        </w:rPr>
        <w:footnoteReference w:id="6"/>
      </w:r>
      <w:r w:rsidR="00531D05" w:rsidRPr="00A77A04">
        <w:rPr>
          <w:sz w:val="24"/>
        </w:rPr>
        <w:t xml:space="preserve"> to show “marks of ill-usage”</w:t>
      </w:r>
      <w:r w:rsidR="00531D05" w:rsidRPr="00A77A04">
        <w:rPr>
          <w:rStyle w:val="FootnoteReference"/>
          <w:sz w:val="24"/>
        </w:rPr>
        <w:footnoteReference w:id="7"/>
      </w:r>
      <w:r w:rsidR="00531D05" w:rsidRPr="00A77A04">
        <w:rPr>
          <w:sz w:val="24"/>
        </w:rPr>
        <w:t xml:space="preserve"> this could be either a narrative device or a calculated commitment to his disguise. Helen also states “he made himself look like a slave” in order to hide how “different a figure”</w:t>
      </w:r>
      <w:r w:rsidR="00E65D97" w:rsidRPr="00A77A04">
        <w:rPr>
          <w:rStyle w:val="FootnoteReference"/>
          <w:sz w:val="24"/>
        </w:rPr>
        <w:footnoteReference w:id="8"/>
      </w:r>
      <w:r w:rsidR="00531D05" w:rsidRPr="00A77A04">
        <w:rPr>
          <w:sz w:val="24"/>
        </w:rPr>
        <w:t xml:space="preserve"> he was by the ships of his army.</w:t>
      </w:r>
      <w:r w:rsidR="00E65D97" w:rsidRPr="00A77A04">
        <w:rPr>
          <w:sz w:val="24"/>
        </w:rPr>
        <w:t xml:space="preserve"> By adopting a guise in juxtaposition to the one that Helen and the Ach</w:t>
      </w:r>
      <w:r w:rsidR="00386C5D" w:rsidRPr="00A77A04">
        <w:rPr>
          <w:sz w:val="24"/>
        </w:rPr>
        <w:t>a</w:t>
      </w:r>
      <w:r w:rsidR="00E65D97" w:rsidRPr="00A77A04">
        <w:rPr>
          <w:sz w:val="24"/>
        </w:rPr>
        <w:t>eans saw him he was able to get into the city without the Trojans raising the alarm</w:t>
      </w:r>
      <w:r w:rsidR="00E65D97" w:rsidRPr="00A77A04">
        <w:rPr>
          <w:rStyle w:val="FootnoteReference"/>
          <w:sz w:val="24"/>
        </w:rPr>
        <w:footnoteReference w:id="9"/>
      </w:r>
      <w:r w:rsidR="00E65D97" w:rsidRPr="00A77A04">
        <w:rPr>
          <w:sz w:val="24"/>
        </w:rPr>
        <w:t>.</w:t>
      </w:r>
    </w:p>
    <w:p w14:paraId="46821246" w14:textId="77777777" w:rsidR="00E65D97" w:rsidRPr="00A77A04" w:rsidRDefault="00E65D97">
      <w:pPr>
        <w:rPr>
          <w:sz w:val="24"/>
        </w:rPr>
      </w:pPr>
      <w:r w:rsidRPr="00A77A04">
        <w:rPr>
          <w:sz w:val="24"/>
        </w:rPr>
        <w:t>The extract states</w:t>
      </w:r>
      <w:r w:rsidR="00AD1264">
        <w:rPr>
          <w:sz w:val="24"/>
        </w:rPr>
        <w:t xml:space="preserve"> she was the only one to see through the disguise,</w:t>
      </w:r>
      <w:r w:rsidRPr="00A77A04">
        <w:rPr>
          <w:sz w:val="24"/>
        </w:rPr>
        <w:t xml:space="preserve"> </w:t>
      </w:r>
      <w:r w:rsidR="002E46F1" w:rsidRPr="00A77A04">
        <w:rPr>
          <w:sz w:val="24"/>
        </w:rPr>
        <w:t xml:space="preserve">combined with </w:t>
      </w:r>
      <w:r w:rsidRPr="00A77A04">
        <w:rPr>
          <w:sz w:val="24"/>
        </w:rPr>
        <w:t>Odysseus</w:t>
      </w:r>
      <w:r w:rsidR="002E46F1" w:rsidRPr="00A77A04">
        <w:rPr>
          <w:sz w:val="24"/>
        </w:rPr>
        <w:t>’</w:t>
      </w:r>
      <w:r w:rsidRPr="00A77A04">
        <w:rPr>
          <w:sz w:val="24"/>
        </w:rPr>
        <w:t xml:space="preserve"> initial reluctance to share the details of the Achaeans with Helen suggests a distrust of her but could also be a commitment to the success of their mission. There is a debate as to what extent Helen’s elopement was willing</w:t>
      </w:r>
      <w:r w:rsidRPr="00A77A04">
        <w:rPr>
          <w:rStyle w:val="FootnoteReference"/>
          <w:sz w:val="24"/>
        </w:rPr>
        <w:footnoteReference w:id="10"/>
      </w:r>
      <w:r w:rsidRPr="00A77A04">
        <w:rPr>
          <w:sz w:val="24"/>
        </w:rPr>
        <w:t>, by continuing her story to say that Odysseus shared “full details” of their plans with her suggested that Odysseus who was known for his quick mind and then saw her as an ally, although from a tactical perspective it could be argued that Odysseus would see that having someone on the inside of Troy aware of their plans as a strategic benefit.</w:t>
      </w:r>
    </w:p>
    <w:p w14:paraId="0703EC10" w14:textId="77777777" w:rsidR="00E65D97" w:rsidRPr="00A77A04" w:rsidRDefault="002E46F1">
      <w:pPr>
        <w:rPr>
          <w:sz w:val="24"/>
        </w:rPr>
      </w:pPr>
      <w:r w:rsidRPr="00A77A04">
        <w:rPr>
          <w:sz w:val="24"/>
        </w:rPr>
        <w:t xml:space="preserve">During the story Helen </w:t>
      </w:r>
      <w:r w:rsidR="00AD1264">
        <w:rPr>
          <w:sz w:val="24"/>
        </w:rPr>
        <w:t>while praising his cunning also eludes to his skill as a fighter</w:t>
      </w:r>
      <w:r w:rsidRPr="00A77A04">
        <w:rPr>
          <w:sz w:val="24"/>
        </w:rPr>
        <w:t xml:space="preserve"> and that although the women of Troy “were loud in lamentation” she rejoiced he had escaped the city</w:t>
      </w:r>
      <w:r w:rsidR="00A77A04" w:rsidRPr="00A77A04">
        <w:rPr>
          <w:rStyle w:val="FootnoteReference"/>
          <w:sz w:val="24"/>
        </w:rPr>
        <w:footnoteReference w:id="11"/>
      </w:r>
      <w:r w:rsidR="00AD1264">
        <w:rPr>
          <w:sz w:val="24"/>
        </w:rPr>
        <w:t xml:space="preserve"> even by killing Trojans</w:t>
      </w:r>
      <w:r w:rsidRPr="00A77A04">
        <w:rPr>
          <w:sz w:val="24"/>
        </w:rPr>
        <w:t>. Drawing on the debate as to whether Helen went to Troy somewhat willingly leads the closing statement of the extract to potentially mean as she had been returned to Menelaus, she had to be happy his comrade had escaped the city with “a harvest of information” to help the siege conclude</w:t>
      </w:r>
      <w:r w:rsidR="00A77A04" w:rsidRPr="00A77A04">
        <w:rPr>
          <w:rStyle w:val="FootnoteReference"/>
          <w:sz w:val="24"/>
        </w:rPr>
        <w:footnoteReference w:id="12"/>
      </w:r>
      <w:r w:rsidRPr="00A77A04">
        <w:rPr>
          <w:sz w:val="24"/>
        </w:rPr>
        <w:t>.</w:t>
      </w:r>
    </w:p>
    <w:p w14:paraId="3C83D31E" w14:textId="77777777" w:rsidR="002E46F1" w:rsidRPr="00A77A04" w:rsidRDefault="002E46F1">
      <w:pPr>
        <w:rPr>
          <w:sz w:val="24"/>
        </w:rPr>
      </w:pPr>
      <w:r w:rsidRPr="00A77A04">
        <w:rPr>
          <w:sz w:val="24"/>
        </w:rPr>
        <w:t xml:space="preserve">While this extract appears to be a story honouring a general of great skill and tactical mind it can also be argued to present Helen in a better light in front of her husband once she had </w:t>
      </w:r>
      <w:r w:rsidRPr="00A77A04">
        <w:rPr>
          <w:sz w:val="24"/>
        </w:rPr>
        <w:lastRenderedPageBreak/>
        <w:t>been returned to him, suggesting that she wanted to come back the entire time and helped Odysseus with his mission in order to do so. However, Odysseus is presumed missing and dead at this stage so there is no one to counter her story.</w:t>
      </w:r>
    </w:p>
    <w:p w14:paraId="2846ED4F" w14:textId="77777777" w:rsidR="00A77A04" w:rsidRDefault="00A77A04"/>
    <w:p w14:paraId="440AA725" w14:textId="77777777" w:rsidR="00A77A04" w:rsidRDefault="00A77A04"/>
    <w:p w14:paraId="67BB202A" w14:textId="77777777" w:rsidR="00A77A04" w:rsidRDefault="00AD1264">
      <w:r>
        <w:tab/>
      </w:r>
      <w:r>
        <w:tab/>
      </w:r>
      <w:r>
        <w:tab/>
      </w:r>
      <w:r>
        <w:tab/>
      </w:r>
      <w:r>
        <w:tab/>
      </w:r>
      <w:r>
        <w:tab/>
      </w:r>
      <w:r>
        <w:tab/>
      </w:r>
      <w:r>
        <w:tab/>
        <w:t>[Final word Count: 547 words]</w:t>
      </w:r>
    </w:p>
    <w:p w14:paraId="10CDD06A" w14:textId="77777777" w:rsidR="00A77A04" w:rsidRDefault="00A77A04"/>
    <w:p w14:paraId="42C12E3A" w14:textId="77777777" w:rsidR="00A77A04" w:rsidRDefault="00A77A04"/>
    <w:p w14:paraId="081737FF" w14:textId="77777777" w:rsidR="00A77A04" w:rsidRDefault="00A77A04"/>
    <w:p w14:paraId="7DCBEBB4" w14:textId="77777777" w:rsidR="00A77A04" w:rsidRDefault="00A77A04"/>
    <w:p w14:paraId="131E4FD4" w14:textId="77777777" w:rsidR="00A77A04" w:rsidRDefault="00A77A04"/>
    <w:p w14:paraId="0CE9402D" w14:textId="77777777" w:rsidR="00A77A04" w:rsidRDefault="00A77A04"/>
    <w:p w14:paraId="6B4FAEC0" w14:textId="77777777" w:rsidR="00A77A04" w:rsidRDefault="00A77A04"/>
    <w:p w14:paraId="6AEFE2A0" w14:textId="77777777" w:rsidR="00A77A04" w:rsidRDefault="00A77A04"/>
    <w:p w14:paraId="0FD5FD1A" w14:textId="77777777" w:rsidR="00A77A04" w:rsidRDefault="00A77A04"/>
    <w:p w14:paraId="1F5B945B" w14:textId="77777777" w:rsidR="00A77A04" w:rsidRDefault="00A77A04"/>
    <w:p w14:paraId="17572C98" w14:textId="77777777" w:rsidR="00A77A04" w:rsidRDefault="00A77A04"/>
    <w:p w14:paraId="06568C47" w14:textId="77777777" w:rsidR="00A77A04" w:rsidRDefault="00A77A04"/>
    <w:p w14:paraId="41503717" w14:textId="77777777" w:rsidR="00A77A04" w:rsidRDefault="00A77A04"/>
    <w:p w14:paraId="3D5E4925" w14:textId="77777777" w:rsidR="00A77A04" w:rsidRDefault="00A77A04"/>
    <w:p w14:paraId="6528D779" w14:textId="77777777" w:rsidR="00A77A04" w:rsidRDefault="00A77A04"/>
    <w:p w14:paraId="6ADF1E49" w14:textId="77777777" w:rsidR="00A77A04" w:rsidRDefault="00A77A04"/>
    <w:p w14:paraId="0C99D4DA" w14:textId="77777777" w:rsidR="00A77A04" w:rsidRDefault="00A77A04"/>
    <w:p w14:paraId="04876C44" w14:textId="77777777" w:rsidR="00A77A04" w:rsidRDefault="00A77A04"/>
    <w:p w14:paraId="5A51219A" w14:textId="77777777" w:rsidR="00A77A04" w:rsidRDefault="00A77A04"/>
    <w:p w14:paraId="7582F3EC" w14:textId="77777777" w:rsidR="00A77A04" w:rsidRDefault="00A77A04"/>
    <w:p w14:paraId="3BD4A2EA" w14:textId="77777777" w:rsidR="00A77A04" w:rsidRDefault="00A77A04"/>
    <w:p w14:paraId="677AC059" w14:textId="77777777" w:rsidR="00A77A04" w:rsidRDefault="00A77A04"/>
    <w:p w14:paraId="6B321243" w14:textId="77777777" w:rsidR="00A77A04" w:rsidRDefault="00A77A04"/>
    <w:p w14:paraId="7AF37ECF" w14:textId="77777777" w:rsidR="00A77A04" w:rsidRDefault="00A77A04"/>
    <w:p w14:paraId="6A54CFBF" w14:textId="77777777" w:rsidR="00A77A04" w:rsidRDefault="00A77A04"/>
    <w:p w14:paraId="52B2B8AA" w14:textId="77777777" w:rsidR="00A77A04" w:rsidRDefault="00A77A04"/>
    <w:p w14:paraId="2D632947" w14:textId="77777777" w:rsidR="00A77A04" w:rsidRPr="00A77A04" w:rsidRDefault="00A77A04" w:rsidP="00A77A04">
      <w:pPr>
        <w:pStyle w:val="NormalWeb"/>
        <w:shd w:val="clear" w:color="auto" w:fill="FFFFFF"/>
        <w:rPr>
          <w:rFonts w:ascii="Arial" w:hAnsi="Arial" w:cs="Arial"/>
          <w:b/>
          <w:color w:val="000000"/>
          <w:u w:val="single"/>
          <w:lang w:val="en"/>
        </w:rPr>
      </w:pPr>
      <w:r w:rsidRPr="00A77A04">
        <w:rPr>
          <w:rFonts w:ascii="Arial" w:hAnsi="Arial" w:cs="Arial"/>
          <w:b/>
          <w:color w:val="000000"/>
          <w:u w:val="single"/>
          <w:lang w:val="en"/>
        </w:rPr>
        <w:t>Bibliography</w:t>
      </w:r>
    </w:p>
    <w:p w14:paraId="50334243" w14:textId="77777777" w:rsidR="00A77A04" w:rsidRDefault="00A77A04" w:rsidP="00A77A04">
      <w:pPr>
        <w:pStyle w:val="NormalWeb"/>
        <w:shd w:val="clear" w:color="auto" w:fill="FFFFFF"/>
        <w:rPr>
          <w:rFonts w:ascii="Arial" w:hAnsi="Arial" w:cs="Arial"/>
          <w:color w:val="000000"/>
          <w:lang w:val="en"/>
        </w:rPr>
      </w:pPr>
      <w:r>
        <w:rPr>
          <w:rFonts w:ascii="Arial" w:hAnsi="Arial" w:cs="Arial"/>
          <w:color w:val="000000"/>
          <w:lang w:val="en"/>
        </w:rPr>
        <w:t xml:space="preserve">Euripides and Allan, W. (2013). </w:t>
      </w:r>
      <w:r>
        <w:rPr>
          <w:rFonts w:ascii="Arial" w:hAnsi="Arial" w:cs="Arial"/>
          <w:i/>
          <w:iCs/>
          <w:color w:val="000000"/>
          <w:lang w:val="en"/>
        </w:rPr>
        <w:t>Helen</w:t>
      </w:r>
      <w:r>
        <w:rPr>
          <w:rFonts w:ascii="Arial" w:hAnsi="Arial" w:cs="Arial"/>
          <w:color w:val="000000"/>
          <w:lang w:val="en"/>
        </w:rPr>
        <w:t>. Cambridg</w:t>
      </w:r>
      <w:bookmarkStart w:id="0" w:name="_GoBack"/>
      <w:bookmarkEnd w:id="0"/>
      <w:r>
        <w:rPr>
          <w:rFonts w:ascii="Arial" w:hAnsi="Arial" w:cs="Arial"/>
          <w:color w:val="000000"/>
          <w:lang w:val="en"/>
        </w:rPr>
        <w:t>e: Cambridge University Press, pp.11, Line 3-4.</w:t>
      </w:r>
    </w:p>
    <w:p w14:paraId="5981EA64" w14:textId="77777777" w:rsidR="00A77A04" w:rsidRDefault="00A77A04" w:rsidP="00A77A04">
      <w:pPr>
        <w:pStyle w:val="NormalWeb"/>
        <w:shd w:val="clear" w:color="auto" w:fill="FFFFFF"/>
        <w:rPr>
          <w:rFonts w:ascii="Arial" w:hAnsi="Arial" w:cs="Arial"/>
          <w:color w:val="000000"/>
          <w:lang w:val="en"/>
        </w:rPr>
      </w:pPr>
      <w:r>
        <w:rPr>
          <w:rFonts w:ascii="Arial" w:hAnsi="Arial" w:cs="Arial"/>
          <w:color w:val="000000"/>
          <w:lang w:val="en"/>
        </w:rPr>
        <w:t xml:space="preserve">Euripides., Euripides., Euripides. and Euripides. (2004). </w:t>
      </w:r>
      <w:r>
        <w:rPr>
          <w:rFonts w:ascii="Arial" w:hAnsi="Arial" w:cs="Arial"/>
          <w:i/>
          <w:iCs/>
          <w:color w:val="000000"/>
          <w:lang w:val="en"/>
        </w:rPr>
        <w:t>Medea and other plays</w:t>
      </w:r>
      <w:r>
        <w:rPr>
          <w:rFonts w:ascii="Arial" w:hAnsi="Arial" w:cs="Arial"/>
          <w:color w:val="000000"/>
          <w:lang w:val="en"/>
        </w:rPr>
        <w:t>. London: Penguin.</w:t>
      </w:r>
    </w:p>
    <w:p w14:paraId="6809E74D" w14:textId="77777777" w:rsidR="00A77A04" w:rsidRDefault="00A77A04" w:rsidP="00A77A04">
      <w:pPr>
        <w:pStyle w:val="NormalWeb"/>
        <w:shd w:val="clear" w:color="auto" w:fill="FFFFFF"/>
        <w:rPr>
          <w:rFonts w:ascii="Arial" w:hAnsi="Arial" w:cs="Arial"/>
          <w:color w:val="000000"/>
          <w:lang w:val="en"/>
        </w:rPr>
      </w:pPr>
      <w:r>
        <w:rPr>
          <w:rFonts w:ascii="Arial" w:hAnsi="Arial" w:cs="Arial"/>
          <w:color w:val="000000"/>
          <w:lang w:val="en"/>
        </w:rPr>
        <w:t xml:space="preserve">Euripides., </w:t>
      </w:r>
      <w:proofErr w:type="spellStart"/>
      <w:r>
        <w:rPr>
          <w:rFonts w:ascii="Arial" w:hAnsi="Arial" w:cs="Arial"/>
          <w:color w:val="000000"/>
          <w:lang w:val="en"/>
        </w:rPr>
        <w:t>Michie</w:t>
      </w:r>
      <w:proofErr w:type="spellEnd"/>
      <w:r>
        <w:rPr>
          <w:rFonts w:ascii="Arial" w:hAnsi="Arial" w:cs="Arial"/>
          <w:color w:val="000000"/>
          <w:lang w:val="en"/>
        </w:rPr>
        <w:t xml:space="preserve">, J. and Leach, C. (1992). </w:t>
      </w:r>
      <w:r>
        <w:rPr>
          <w:rFonts w:ascii="Arial" w:hAnsi="Arial" w:cs="Arial"/>
          <w:i/>
          <w:iCs/>
          <w:color w:val="000000"/>
          <w:lang w:val="en"/>
        </w:rPr>
        <w:t>Helen</w:t>
      </w:r>
      <w:r>
        <w:rPr>
          <w:rFonts w:ascii="Arial" w:hAnsi="Arial" w:cs="Arial"/>
          <w:color w:val="000000"/>
          <w:lang w:val="en"/>
        </w:rPr>
        <w:t>. New York: Oxford University Press, pp.165, Line 6-9.</w:t>
      </w:r>
    </w:p>
    <w:p w14:paraId="5EFB612B" w14:textId="77777777" w:rsidR="00A77A04" w:rsidRDefault="00A77A04" w:rsidP="00A77A04">
      <w:pPr>
        <w:pStyle w:val="NormalWeb"/>
        <w:shd w:val="clear" w:color="auto" w:fill="FFFFFF"/>
        <w:rPr>
          <w:rFonts w:ascii="Arial" w:hAnsi="Arial" w:cs="Arial"/>
          <w:color w:val="000000"/>
          <w:lang w:val="en"/>
        </w:rPr>
      </w:pPr>
      <w:r>
        <w:rPr>
          <w:rFonts w:ascii="Arial" w:hAnsi="Arial" w:cs="Arial"/>
          <w:color w:val="000000"/>
          <w:lang w:val="en"/>
        </w:rPr>
        <w:t xml:space="preserve">Homer. and </w:t>
      </w:r>
      <w:proofErr w:type="spellStart"/>
      <w:r>
        <w:rPr>
          <w:rFonts w:ascii="Arial" w:hAnsi="Arial" w:cs="Arial"/>
          <w:color w:val="000000"/>
          <w:lang w:val="en"/>
        </w:rPr>
        <w:t>Rieu</w:t>
      </w:r>
      <w:proofErr w:type="spellEnd"/>
      <w:r>
        <w:rPr>
          <w:rFonts w:ascii="Arial" w:hAnsi="Arial" w:cs="Arial"/>
          <w:color w:val="000000"/>
          <w:lang w:val="en"/>
        </w:rPr>
        <w:t xml:space="preserve">, E. (2011). </w:t>
      </w:r>
      <w:r>
        <w:rPr>
          <w:rFonts w:ascii="Arial" w:hAnsi="Arial" w:cs="Arial"/>
          <w:i/>
          <w:iCs/>
          <w:color w:val="000000"/>
          <w:lang w:val="en"/>
        </w:rPr>
        <w:t>The Odyssey (Penguin Classics)</w:t>
      </w:r>
      <w:r>
        <w:rPr>
          <w:rFonts w:ascii="Arial" w:hAnsi="Arial" w:cs="Arial"/>
          <w:color w:val="000000"/>
          <w:lang w:val="en"/>
        </w:rPr>
        <w:t xml:space="preserve">. Cambridge [England]: </w:t>
      </w:r>
      <w:proofErr w:type="spellStart"/>
      <w:r>
        <w:rPr>
          <w:rFonts w:ascii="Arial" w:hAnsi="Arial" w:cs="Arial"/>
          <w:color w:val="000000"/>
          <w:lang w:val="en"/>
        </w:rPr>
        <w:t>Proquest</w:t>
      </w:r>
      <w:proofErr w:type="spellEnd"/>
      <w:r>
        <w:rPr>
          <w:rFonts w:ascii="Arial" w:hAnsi="Arial" w:cs="Arial"/>
          <w:color w:val="000000"/>
          <w:lang w:val="en"/>
        </w:rPr>
        <w:t xml:space="preserve"> LLC.</w:t>
      </w:r>
    </w:p>
    <w:p w14:paraId="6CCB938C" w14:textId="77777777" w:rsidR="00A77A04" w:rsidRDefault="00A77A04" w:rsidP="00A77A04">
      <w:pPr>
        <w:pStyle w:val="NormalWeb"/>
        <w:shd w:val="clear" w:color="auto" w:fill="FFFFFF"/>
        <w:rPr>
          <w:rFonts w:ascii="Arial" w:hAnsi="Arial" w:cs="Arial"/>
          <w:color w:val="000000"/>
          <w:lang w:val="en"/>
        </w:rPr>
      </w:pPr>
      <w:r>
        <w:rPr>
          <w:rFonts w:ascii="Arial" w:hAnsi="Arial" w:cs="Arial"/>
          <w:color w:val="000000"/>
          <w:lang w:val="en"/>
        </w:rPr>
        <w:t xml:space="preserve">Homer., </w:t>
      </w:r>
      <w:proofErr w:type="spellStart"/>
      <w:r>
        <w:rPr>
          <w:rFonts w:ascii="Arial" w:hAnsi="Arial" w:cs="Arial"/>
          <w:color w:val="000000"/>
          <w:lang w:val="en"/>
        </w:rPr>
        <w:t>Rieu</w:t>
      </w:r>
      <w:proofErr w:type="spellEnd"/>
      <w:r>
        <w:rPr>
          <w:rFonts w:ascii="Arial" w:hAnsi="Arial" w:cs="Arial"/>
          <w:color w:val="000000"/>
          <w:lang w:val="en"/>
        </w:rPr>
        <w:t xml:space="preserve">, E., </w:t>
      </w:r>
      <w:proofErr w:type="spellStart"/>
      <w:r>
        <w:rPr>
          <w:rFonts w:ascii="Arial" w:hAnsi="Arial" w:cs="Arial"/>
          <w:color w:val="000000"/>
          <w:lang w:val="en"/>
        </w:rPr>
        <w:t>Rieu</w:t>
      </w:r>
      <w:proofErr w:type="spellEnd"/>
      <w:r>
        <w:rPr>
          <w:rFonts w:ascii="Arial" w:hAnsi="Arial" w:cs="Arial"/>
          <w:color w:val="000000"/>
          <w:lang w:val="en"/>
        </w:rPr>
        <w:t xml:space="preserve">, D. and Jones, P. (2003). </w:t>
      </w:r>
      <w:r>
        <w:rPr>
          <w:rFonts w:ascii="Arial" w:hAnsi="Arial" w:cs="Arial"/>
          <w:i/>
          <w:iCs/>
          <w:color w:val="000000"/>
          <w:lang w:val="en"/>
        </w:rPr>
        <w:t>The Iliad</w:t>
      </w:r>
      <w:r>
        <w:rPr>
          <w:rFonts w:ascii="Arial" w:hAnsi="Arial" w:cs="Arial"/>
          <w:color w:val="000000"/>
          <w:lang w:val="en"/>
        </w:rPr>
        <w:t>. London: Penguin.</w:t>
      </w:r>
    </w:p>
    <w:p w14:paraId="58E85566" w14:textId="77777777" w:rsidR="00386C5D" w:rsidRDefault="00386C5D">
      <w:pPr>
        <w:rPr>
          <w:i/>
        </w:rPr>
      </w:pPr>
    </w:p>
    <w:p w14:paraId="6421077D" w14:textId="77777777" w:rsidR="00A77A04" w:rsidRDefault="00A77A04">
      <w:pPr>
        <w:rPr>
          <w:rStyle w:val="selectable"/>
          <w:rFonts w:ascii="Arial" w:hAnsi="Arial" w:cs="Arial"/>
          <w:color w:val="000000"/>
          <w:lang w:val="en"/>
        </w:rPr>
      </w:pPr>
    </w:p>
    <w:p w14:paraId="622933A7" w14:textId="77777777" w:rsidR="00A77A04" w:rsidRPr="00531D05" w:rsidRDefault="00A77A04">
      <w:pPr>
        <w:rPr>
          <w:i/>
        </w:rPr>
      </w:pPr>
    </w:p>
    <w:sectPr w:rsidR="00A77A04" w:rsidRPr="00531D0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9967F" w14:textId="77777777" w:rsidR="00531D05" w:rsidRDefault="00531D05" w:rsidP="00531D05">
      <w:pPr>
        <w:spacing w:after="0" w:line="240" w:lineRule="auto"/>
      </w:pPr>
      <w:r>
        <w:separator/>
      </w:r>
    </w:p>
  </w:endnote>
  <w:endnote w:type="continuationSeparator" w:id="0">
    <w:p w14:paraId="795A8A62" w14:textId="77777777" w:rsidR="00531D05" w:rsidRDefault="00531D05" w:rsidP="00531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EB40CF" w14:textId="77777777" w:rsidR="00531D05" w:rsidRDefault="00531D05" w:rsidP="00531D05">
      <w:pPr>
        <w:spacing w:after="0" w:line="240" w:lineRule="auto"/>
      </w:pPr>
      <w:r>
        <w:separator/>
      </w:r>
    </w:p>
  </w:footnote>
  <w:footnote w:type="continuationSeparator" w:id="0">
    <w:p w14:paraId="2C9B4785" w14:textId="77777777" w:rsidR="00531D05" w:rsidRDefault="00531D05" w:rsidP="00531D05">
      <w:pPr>
        <w:spacing w:after="0" w:line="240" w:lineRule="auto"/>
      </w:pPr>
      <w:r>
        <w:continuationSeparator/>
      </w:r>
    </w:p>
  </w:footnote>
  <w:footnote w:id="1">
    <w:p w14:paraId="2299B8D2" w14:textId="77777777" w:rsidR="00531D05" w:rsidRPr="00A77A04" w:rsidRDefault="00531D05" w:rsidP="00A77A04">
      <w:pPr>
        <w:spacing w:after="0" w:line="240" w:lineRule="auto"/>
        <w:rPr>
          <w:rFonts w:cstheme="minorHAnsi"/>
          <w:color w:val="000000"/>
          <w:sz w:val="20"/>
          <w:szCs w:val="16"/>
          <w:lang w:val="en"/>
        </w:rPr>
      </w:pPr>
      <w:r w:rsidRPr="00A77A04">
        <w:rPr>
          <w:rStyle w:val="FootnoteReference"/>
          <w:rFonts w:cstheme="minorHAnsi"/>
          <w:sz w:val="20"/>
          <w:szCs w:val="16"/>
        </w:rPr>
        <w:footnoteRef/>
      </w:r>
      <w:r w:rsidRPr="00A77A04">
        <w:rPr>
          <w:rFonts w:cstheme="minorHAnsi"/>
          <w:sz w:val="20"/>
          <w:szCs w:val="16"/>
        </w:rPr>
        <w:t xml:space="preserve"> </w:t>
      </w:r>
      <w:r w:rsidR="00A77A04" w:rsidRPr="00A77A04">
        <w:rPr>
          <w:rStyle w:val="selectable"/>
          <w:rFonts w:cstheme="minorHAnsi"/>
          <w:color w:val="000000"/>
          <w:sz w:val="20"/>
          <w:szCs w:val="16"/>
          <w:lang w:val="en"/>
        </w:rPr>
        <w:t xml:space="preserve">(Homer. and </w:t>
      </w:r>
      <w:proofErr w:type="spellStart"/>
      <w:r w:rsidR="00A77A04" w:rsidRPr="00A77A04">
        <w:rPr>
          <w:rStyle w:val="selectable"/>
          <w:rFonts w:cstheme="minorHAnsi"/>
          <w:color w:val="000000"/>
          <w:sz w:val="20"/>
          <w:szCs w:val="16"/>
          <w:lang w:val="en"/>
        </w:rPr>
        <w:t>Rieu</w:t>
      </w:r>
      <w:proofErr w:type="spellEnd"/>
      <w:r w:rsidR="00A77A04" w:rsidRPr="00A77A04">
        <w:rPr>
          <w:rStyle w:val="selectable"/>
          <w:rFonts w:cstheme="minorHAnsi"/>
          <w:color w:val="000000"/>
          <w:sz w:val="20"/>
          <w:szCs w:val="16"/>
          <w:lang w:val="en"/>
        </w:rPr>
        <w:t>, 2011)</w:t>
      </w:r>
    </w:p>
  </w:footnote>
  <w:footnote w:id="2">
    <w:p w14:paraId="7E54130C" w14:textId="77777777" w:rsidR="00531D05" w:rsidRPr="00A77A04" w:rsidRDefault="00531D05" w:rsidP="00A77A04">
      <w:pPr>
        <w:pStyle w:val="FootnoteText"/>
        <w:rPr>
          <w:rFonts w:cstheme="minorHAnsi"/>
          <w:szCs w:val="16"/>
        </w:rPr>
      </w:pPr>
      <w:r w:rsidRPr="00A77A04">
        <w:rPr>
          <w:rStyle w:val="FootnoteReference"/>
          <w:rFonts w:cstheme="minorHAnsi"/>
          <w:szCs w:val="16"/>
        </w:rPr>
        <w:footnoteRef/>
      </w:r>
      <w:r w:rsidRPr="00A77A04">
        <w:rPr>
          <w:rFonts w:cstheme="minorHAnsi"/>
          <w:szCs w:val="16"/>
        </w:rPr>
        <w:t xml:space="preserve"> </w:t>
      </w:r>
      <w:r w:rsidR="00A77A04" w:rsidRPr="00A77A04">
        <w:rPr>
          <w:rStyle w:val="selectable"/>
          <w:rFonts w:cstheme="minorHAnsi"/>
          <w:color w:val="000000"/>
          <w:szCs w:val="16"/>
          <w:lang w:val="en"/>
        </w:rPr>
        <w:t xml:space="preserve">(Homer. and </w:t>
      </w:r>
      <w:proofErr w:type="spellStart"/>
      <w:r w:rsidR="00A77A04" w:rsidRPr="00A77A04">
        <w:rPr>
          <w:rStyle w:val="selectable"/>
          <w:rFonts w:cstheme="minorHAnsi"/>
          <w:color w:val="000000"/>
          <w:szCs w:val="16"/>
          <w:lang w:val="en"/>
        </w:rPr>
        <w:t>Rieu</w:t>
      </w:r>
      <w:proofErr w:type="spellEnd"/>
      <w:r w:rsidR="00A77A04" w:rsidRPr="00A77A04">
        <w:rPr>
          <w:rStyle w:val="selectable"/>
          <w:rFonts w:cstheme="minorHAnsi"/>
          <w:color w:val="000000"/>
          <w:szCs w:val="16"/>
          <w:lang w:val="en"/>
        </w:rPr>
        <w:t>, 2011)</w:t>
      </w:r>
    </w:p>
  </w:footnote>
  <w:footnote w:id="3">
    <w:p w14:paraId="7A6BAD7D" w14:textId="77777777" w:rsidR="00531D05" w:rsidRPr="00A77A04" w:rsidRDefault="00531D05" w:rsidP="00A77A04">
      <w:pPr>
        <w:pStyle w:val="FootnoteText"/>
        <w:rPr>
          <w:rFonts w:cstheme="minorHAnsi"/>
          <w:szCs w:val="16"/>
        </w:rPr>
      </w:pPr>
      <w:r w:rsidRPr="00A77A04">
        <w:rPr>
          <w:rStyle w:val="FootnoteReference"/>
          <w:rFonts w:cstheme="minorHAnsi"/>
          <w:szCs w:val="16"/>
        </w:rPr>
        <w:footnoteRef/>
      </w:r>
      <w:r w:rsidRPr="00A77A04">
        <w:rPr>
          <w:rFonts w:cstheme="minorHAnsi"/>
          <w:szCs w:val="16"/>
        </w:rPr>
        <w:t xml:space="preserve"> </w:t>
      </w:r>
      <w:r w:rsidR="00A77A04" w:rsidRPr="00A77A04">
        <w:rPr>
          <w:rStyle w:val="selectable"/>
          <w:rFonts w:cstheme="minorHAnsi"/>
          <w:color w:val="000000"/>
          <w:szCs w:val="16"/>
          <w:lang w:val="en"/>
        </w:rPr>
        <w:t xml:space="preserve">(Homer. and </w:t>
      </w:r>
      <w:proofErr w:type="spellStart"/>
      <w:r w:rsidR="00A77A04" w:rsidRPr="00A77A04">
        <w:rPr>
          <w:rStyle w:val="selectable"/>
          <w:rFonts w:cstheme="minorHAnsi"/>
          <w:color w:val="000000"/>
          <w:szCs w:val="16"/>
          <w:lang w:val="en"/>
        </w:rPr>
        <w:t>Rieu</w:t>
      </w:r>
      <w:proofErr w:type="spellEnd"/>
      <w:r w:rsidR="00A77A04" w:rsidRPr="00A77A04">
        <w:rPr>
          <w:rStyle w:val="selectable"/>
          <w:rFonts w:cstheme="minorHAnsi"/>
          <w:color w:val="000000"/>
          <w:szCs w:val="16"/>
          <w:lang w:val="en"/>
        </w:rPr>
        <w:t>, 2011)</w:t>
      </w:r>
    </w:p>
  </w:footnote>
  <w:footnote w:id="4">
    <w:p w14:paraId="0FEB979D" w14:textId="77777777" w:rsidR="002E46F1" w:rsidRPr="00A77A04" w:rsidRDefault="002E46F1" w:rsidP="00A77A04">
      <w:pPr>
        <w:spacing w:after="0" w:line="240" w:lineRule="auto"/>
        <w:rPr>
          <w:rFonts w:cstheme="minorHAnsi"/>
          <w:i/>
          <w:sz w:val="20"/>
          <w:szCs w:val="16"/>
        </w:rPr>
      </w:pPr>
      <w:r w:rsidRPr="00A77A04">
        <w:rPr>
          <w:rStyle w:val="FootnoteReference"/>
          <w:rFonts w:cstheme="minorHAnsi"/>
          <w:sz w:val="20"/>
          <w:szCs w:val="16"/>
        </w:rPr>
        <w:footnoteRef/>
      </w:r>
      <w:r w:rsidRPr="00A77A04">
        <w:rPr>
          <w:rFonts w:cstheme="minorHAnsi"/>
          <w:sz w:val="20"/>
          <w:szCs w:val="16"/>
        </w:rPr>
        <w:t xml:space="preserve"> </w:t>
      </w:r>
      <w:r w:rsidR="00A77A04" w:rsidRPr="00A77A04">
        <w:rPr>
          <w:rStyle w:val="selectable"/>
          <w:rFonts w:cstheme="minorHAnsi"/>
          <w:color w:val="000000"/>
          <w:sz w:val="20"/>
          <w:szCs w:val="16"/>
          <w:lang w:val="en"/>
        </w:rPr>
        <w:t xml:space="preserve">(Homer. and </w:t>
      </w:r>
      <w:proofErr w:type="spellStart"/>
      <w:r w:rsidR="00A77A04" w:rsidRPr="00A77A04">
        <w:rPr>
          <w:rStyle w:val="selectable"/>
          <w:rFonts w:cstheme="minorHAnsi"/>
          <w:color w:val="000000"/>
          <w:sz w:val="20"/>
          <w:szCs w:val="16"/>
          <w:lang w:val="en"/>
        </w:rPr>
        <w:t>Rieu</w:t>
      </w:r>
      <w:proofErr w:type="spellEnd"/>
      <w:r w:rsidR="00A77A04" w:rsidRPr="00A77A04">
        <w:rPr>
          <w:rStyle w:val="selectable"/>
          <w:rFonts w:cstheme="minorHAnsi"/>
          <w:color w:val="000000"/>
          <w:sz w:val="20"/>
          <w:szCs w:val="16"/>
          <w:lang w:val="en"/>
        </w:rPr>
        <w:t>., 2003)</w:t>
      </w:r>
    </w:p>
  </w:footnote>
  <w:footnote w:id="5">
    <w:p w14:paraId="5C24179C" w14:textId="77777777" w:rsidR="00531D05" w:rsidRPr="00A77A04" w:rsidRDefault="00531D05" w:rsidP="00A77A04">
      <w:pPr>
        <w:spacing w:after="0" w:line="240" w:lineRule="auto"/>
        <w:rPr>
          <w:rFonts w:cstheme="minorHAnsi"/>
          <w:i/>
          <w:sz w:val="20"/>
          <w:szCs w:val="16"/>
        </w:rPr>
      </w:pPr>
      <w:r w:rsidRPr="00A77A04">
        <w:rPr>
          <w:rStyle w:val="FootnoteReference"/>
          <w:rFonts w:cstheme="minorHAnsi"/>
          <w:sz w:val="20"/>
          <w:szCs w:val="16"/>
        </w:rPr>
        <w:footnoteRef/>
      </w:r>
      <w:r w:rsidRPr="00A77A04">
        <w:rPr>
          <w:rFonts w:cstheme="minorHAnsi"/>
          <w:sz w:val="20"/>
          <w:szCs w:val="16"/>
        </w:rPr>
        <w:t xml:space="preserve"> </w:t>
      </w:r>
      <w:r w:rsidR="00A77A04" w:rsidRPr="00A77A04">
        <w:rPr>
          <w:rStyle w:val="selectable"/>
          <w:rFonts w:cstheme="minorHAnsi"/>
          <w:color w:val="000000"/>
          <w:sz w:val="20"/>
          <w:szCs w:val="16"/>
          <w:lang w:val="en"/>
        </w:rPr>
        <w:t xml:space="preserve">(Homer. and </w:t>
      </w:r>
      <w:proofErr w:type="spellStart"/>
      <w:r w:rsidR="00A77A04" w:rsidRPr="00A77A04">
        <w:rPr>
          <w:rStyle w:val="selectable"/>
          <w:rFonts w:cstheme="minorHAnsi"/>
          <w:color w:val="000000"/>
          <w:sz w:val="20"/>
          <w:szCs w:val="16"/>
          <w:lang w:val="en"/>
        </w:rPr>
        <w:t>Rieu</w:t>
      </w:r>
      <w:proofErr w:type="spellEnd"/>
      <w:r w:rsidR="00A77A04" w:rsidRPr="00A77A04">
        <w:rPr>
          <w:rStyle w:val="selectable"/>
          <w:rFonts w:cstheme="minorHAnsi"/>
          <w:color w:val="000000"/>
          <w:sz w:val="20"/>
          <w:szCs w:val="16"/>
          <w:lang w:val="en"/>
        </w:rPr>
        <w:t>., 2003)</w:t>
      </w:r>
    </w:p>
  </w:footnote>
  <w:footnote w:id="6">
    <w:p w14:paraId="6FAA90A3" w14:textId="77777777" w:rsidR="00531D05" w:rsidRPr="00A77A04" w:rsidRDefault="00531D05" w:rsidP="00A77A04">
      <w:pPr>
        <w:pStyle w:val="FootnoteText"/>
        <w:rPr>
          <w:rFonts w:cstheme="minorHAnsi"/>
          <w:szCs w:val="16"/>
        </w:rPr>
      </w:pPr>
      <w:r w:rsidRPr="00A77A04">
        <w:rPr>
          <w:rStyle w:val="FootnoteReference"/>
          <w:rFonts w:cstheme="minorHAnsi"/>
          <w:szCs w:val="16"/>
        </w:rPr>
        <w:footnoteRef/>
      </w:r>
      <w:r w:rsidRPr="00A77A04">
        <w:rPr>
          <w:rFonts w:cstheme="minorHAnsi"/>
          <w:szCs w:val="16"/>
        </w:rPr>
        <w:t xml:space="preserve"> </w:t>
      </w:r>
      <w:r w:rsidR="00A77A04" w:rsidRPr="00A77A04">
        <w:rPr>
          <w:rStyle w:val="selectable"/>
          <w:rFonts w:cstheme="minorHAnsi"/>
          <w:color w:val="000000"/>
          <w:szCs w:val="16"/>
          <w:lang w:val="en"/>
        </w:rPr>
        <w:t xml:space="preserve">(Homer. and </w:t>
      </w:r>
      <w:proofErr w:type="spellStart"/>
      <w:r w:rsidR="00A77A04" w:rsidRPr="00A77A04">
        <w:rPr>
          <w:rStyle w:val="selectable"/>
          <w:rFonts w:cstheme="minorHAnsi"/>
          <w:color w:val="000000"/>
          <w:szCs w:val="16"/>
          <w:lang w:val="en"/>
        </w:rPr>
        <w:t>Rieu</w:t>
      </w:r>
      <w:proofErr w:type="spellEnd"/>
      <w:r w:rsidR="00A77A04" w:rsidRPr="00A77A04">
        <w:rPr>
          <w:rStyle w:val="selectable"/>
          <w:rFonts w:cstheme="minorHAnsi"/>
          <w:color w:val="000000"/>
          <w:szCs w:val="16"/>
          <w:lang w:val="en"/>
        </w:rPr>
        <w:t>, 2011)</w:t>
      </w:r>
    </w:p>
  </w:footnote>
  <w:footnote w:id="7">
    <w:p w14:paraId="7D7BBCAA" w14:textId="77777777" w:rsidR="00531D05" w:rsidRPr="00A77A04" w:rsidRDefault="00531D05" w:rsidP="00A77A04">
      <w:pPr>
        <w:pStyle w:val="FootnoteText"/>
        <w:rPr>
          <w:rFonts w:cstheme="minorHAnsi"/>
          <w:szCs w:val="16"/>
        </w:rPr>
      </w:pPr>
      <w:r w:rsidRPr="00A77A04">
        <w:rPr>
          <w:rStyle w:val="FootnoteReference"/>
          <w:rFonts w:cstheme="minorHAnsi"/>
          <w:szCs w:val="16"/>
        </w:rPr>
        <w:footnoteRef/>
      </w:r>
      <w:r w:rsidRPr="00A77A04">
        <w:rPr>
          <w:rFonts w:cstheme="minorHAnsi"/>
          <w:szCs w:val="16"/>
        </w:rPr>
        <w:t xml:space="preserve"> </w:t>
      </w:r>
      <w:r w:rsidR="00A77A04" w:rsidRPr="00A77A04">
        <w:rPr>
          <w:rStyle w:val="selectable"/>
          <w:rFonts w:cstheme="minorHAnsi"/>
          <w:color w:val="000000"/>
          <w:szCs w:val="16"/>
          <w:lang w:val="en"/>
        </w:rPr>
        <w:t xml:space="preserve">(Homer. and </w:t>
      </w:r>
      <w:proofErr w:type="spellStart"/>
      <w:r w:rsidR="00A77A04" w:rsidRPr="00A77A04">
        <w:rPr>
          <w:rStyle w:val="selectable"/>
          <w:rFonts w:cstheme="minorHAnsi"/>
          <w:color w:val="000000"/>
          <w:szCs w:val="16"/>
          <w:lang w:val="en"/>
        </w:rPr>
        <w:t>Rieu</w:t>
      </w:r>
      <w:proofErr w:type="spellEnd"/>
      <w:r w:rsidR="00A77A04" w:rsidRPr="00A77A04">
        <w:rPr>
          <w:rStyle w:val="selectable"/>
          <w:rFonts w:cstheme="minorHAnsi"/>
          <w:color w:val="000000"/>
          <w:szCs w:val="16"/>
          <w:lang w:val="en"/>
        </w:rPr>
        <w:t>, 2011)</w:t>
      </w:r>
    </w:p>
  </w:footnote>
  <w:footnote w:id="8">
    <w:p w14:paraId="0F01C4EA" w14:textId="77777777" w:rsidR="00E65D97" w:rsidRPr="00A77A04" w:rsidRDefault="00E65D97" w:rsidP="00A77A04">
      <w:pPr>
        <w:pStyle w:val="FootnoteText"/>
        <w:rPr>
          <w:rFonts w:cstheme="minorHAnsi"/>
          <w:szCs w:val="16"/>
        </w:rPr>
      </w:pPr>
      <w:r w:rsidRPr="00A77A04">
        <w:rPr>
          <w:rStyle w:val="FootnoteReference"/>
          <w:rFonts w:cstheme="minorHAnsi"/>
          <w:szCs w:val="16"/>
        </w:rPr>
        <w:footnoteRef/>
      </w:r>
      <w:r w:rsidRPr="00A77A04">
        <w:rPr>
          <w:rFonts w:cstheme="minorHAnsi"/>
          <w:szCs w:val="16"/>
        </w:rPr>
        <w:t xml:space="preserve"> </w:t>
      </w:r>
      <w:r w:rsidR="00A77A04" w:rsidRPr="00A77A04">
        <w:rPr>
          <w:rStyle w:val="selectable"/>
          <w:rFonts w:cstheme="minorHAnsi"/>
          <w:color w:val="000000"/>
          <w:szCs w:val="16"/>
          <w:lang w:val="en"/>
        </w:rPr>
        <w:t xml:space="preserve">(Homer. and </w:t>
      </w:r>
      <w:proofErr w:type="spellStart"/>
      <w:r w:rsidR="00A77A04" w:rsidRPr="00A77A04">
        <w:rPr>
          <w:rStyle w:val="selectable"/>
          <w:rFonts w:cstheme="minorHAnsi"/>
          <w:color w:val="000000"/>
          <w:szCs w:val="16"/>
          <w:lang w:val="en"/>
        </w:rPr>
        <w:t>Rieu</w:t>
      </w:r>
      <w:proofErr w:type="spellEnd"/>
      <w:r w:rsidR="00A77A04" w:rsidRPr="00A77A04">
        <w:rPr>
          <w:rStyle w:val="selectable"/>
          <w:rFonts w:cstheme="minorHAnsi"/>
          <w:color w:val="000000"/>
          <w:szCs w:val="16"/>
          <w:lang w:val="en"/>
        </w:rPr>
        <w:t>, 2011)</w:t>
      </w:r>
    </w:p>
  </w:footnote>
  <w:footnote w:id="9">
    <w:p w14:paraId="51EC01EC" w14:textId="77777777" w:rsidR="00E65D97" w:rsidRPr="00A77A04" w:rsidRDefault="00E65D97" w:rsidP="00A77A04">
      <w:pPr>
        <w:pStyle w:val="FootnoteText"/>
        <w:rPr>
          <w:rFonts w:cstheme="minorHAnsi"/>
          <w:szCs w:val="16"/>
        </w:rPr>
      </w:pPr>
      <w:r w:rsidRPr="00A77A04">
        <w:rPr>
          <w:rStyle w:val="FootnoteReference"/>
          <w:rFonts w:cstheme="minorHAnsi"/>
          <w:szCs w:val="16"/>
        </w:rPr>
        <w:footnoteRef/>
      </w:r>
      <w:r w:rsidRPr="00A77A04">
        <w:rPr>
          <w:rFonts w:cstheme="minorHAnsi"/>
          <w:szCs w:val="16"/>
        </w:rPr>
        <w:t xml:space="preserve"> </w:t>
      </w:r>
      <w:r w:rsidR="00A77A04" w:rsidRPr="00A77A04">
        <w:rPr>
          <w:rStyle w:val="selectable"/>
          <w:rFonts w:cstheme="minorHAnsi"/>
          <w:color w:val="000000"/>
          <w:szCs w:val="16"/>
          <w:lang w:val="en"/>
        </w:rPr>
        <w:t xml:space="preserve">(Homer. and </w:t>
      </w:r>
      <w:proofErr w:type="spellStart"/>
      <w:r w:rsidR="00A77A04" w:rsidRPr="00A77A04">
        <w:rPr>
          <w:rStyle w:val="selectable"/>
          <w:rFonts w:cstheme="minorHAnsi"/>
          <w:color w:val="000000"/>
          <w:szCs w:val="16"/>
          <w:lang w:val="en"/>
        </w:rPr>
        <w:t>Rieu</w:t>
      </w:r>
      <w:proofErr w:type="spellEnd"/>
      <w:r w:rsidR="00A77A04" w:rsidRPr="00A77A04">
        <w:rPr>
          <w:rStyle w:val="selectable"/>
          <w:rFonts w:cstheme="minorHAnsi"/>
          <w:color w:val="000000"/>
          <w:szCs w:val="16"/>
          <w:lang w:val="en"/>
        </w:rPr>
        <w:t>, 2011)</w:t>
      </w:r>
    </w:p>
  </w:footnote>
  <w:footnote w:id="10">
    <w:p w14:paraId="6612AE6C" w14:textId="77777777" w:rsidR="00E65D97" w:rsidRPr="00A77A04" w:rsidRDefault="00E65D97" w:rsidP="00A77A04">
      <w:pPr>
        <w:spacing w:after="0" w:line="240" w:lineRule="auto"/>
        <w:rPr>
          <w:rFonts w:cstheme="minorHAnsi"/>
          <w:i/>
          <w:sz w:val="20"/>
          <w:szCs w:val="16"/>
        </w:rPr>
      </w:pPr>
      <w:r w:rsidRPr="00A77A04">
        <w:rPr>
          <w:rStyle w:val="FootnoteReference"/>
          <w:rFonts w:cstheme="minorHAnsi"/>
          <w:sz w:val="20"/>
          <w:szCs w:val="16"/>
        </w:rPr>
        <w:footnoteRef/>
      </w:r>
      <w:r w:rsidRPr="00A77A04">
        <w:rPr>
          <w:rFonts w:cstheme="minorHAnsi"/>
          <w:sz w:val="20"/>
          <w:szCs w:val="16"/>
        </w:rPr>
        <w:t xml:space="preserve"> </w:t>
      </w:r>
      <w:r w:rsidR="00A77A04" w:rsidRPr="00A77A04">
        <w:rPr>
          <w:rStyle w:val="selectable"/>
          <w:rFonts w:cstheme="minorHAnsi"/>
          <w:color w:val="000000"/>
          <w:sz w:val="20"/>
          <w:szCs w:val="16"/>
          <w:lang w:val="en"/>
        </w:rPr>
        <w:t>(Euripides and Allan, 2013)</w:t>
      </w:r>
    </w:p>
  </w:footnote>
  <w:footnote w:id="11">
    <w:p w14:paraId="75BA5074" w14:textId="77777777" w:rsidR="00A77A04" w:rsidRPr="00A77A04" w:rsidRDefault="00A77A04" w:rsidP="00A77A04">
      <w:pPr>
        <w:pStyle w:val="FootnoteText"/>
        <w:rPr>
          <w:rFonts w:cstheme="minorHAnsi"/>
          <w:szCs w:val="16"/>
        </w:rPr>
      </w:pPr>
      <w:r w:rsidRPr="00A77A04">
        <w:rPr>
          <w:rStyle w:val="FootnoteReference"/>
          <w:rFonts w:cstheme="minorHAnsi"/>
          <w:szCs w:val="16"/>
        </w:rPr>
        <w:footnoteRef/>
      </w:r>
      <w:r w:rsidRPr="00A77A04">
        <w:rPr>
          <w:rFonts w:cstheme="minorHAnsi"/>
          <w:szCs w:val="16"/>
        </w:rPr>
        <w:t xml:space="preserve"> </w:t>
      </w:r>
      <w:r w:rsidRPr="00A77A04">
        <w:rPr>
          <w:rStyle w:val="selectable"/>
          <w:rFonts w:cstheme="minorHAnsi"/>
          <w:color w:val="000000"/>
          <w:szCs w:val="16"/>
          <w:lang w:val="en"/>
        </w:rPr>
        <w:t xml:space="preserve">(Homer. and </w:t>
      </w:r>
      <w:proofErr w:type="spellStart"/>
      <w:r w:rsidRPr="00A77A04">
        <w:rPr>
          <w:rStyle w:val="selectable"/>
          <w:rFonts w:cstheme="minorHAnsi"/>
          <w:color w:val="000000"/>
          <w:szCs w:val="16"/>
          <w:lang w:val="en"/>
        </w:rPr>
        <w:t>Rieu</w:t>
      </w:r>
      <w:proofErr w:type="spellEnd"/>
      <w:r w:rsidRPr="00A77A04">
        <w:rPr>
          <w:rStyle w:val="selectable"/>
          <w:rFonts w:cstheme="minorHAnsi"/>
          <w:color w:val="000000"/>
          <w:szCs w:val="16"/>
          <w:lang w:val="en"/>
        </w:rPr>
        <w:t>, 2011)</w:t>
      </w:r>
    </w:p>
  </w:footnote>
  <w:footnote w:id="12">
    <w:p w14:paraId="07AD6F93" w14:textId="77777777" w:rsidR="00A77A04" w:rsidRDefault="00A77A04" w:rsidP="00A77A04">
      <w:pPr>
        <w:pStyle w:val="FootnoteText"/>
      </w:pPr>
      <w:r w:rsidRPr="00A77A04">
        <w:rPr>
          <w:rStyle w:val="FootnoteReference"/>
          <w:rFonts w:cstheme="minorHAnsi"/>
          <w:szCs w:val="16"/>
        </w:rPr>
        <w:footnoteRef/>
      </w:r>
      <w:r w:rsidRPr="00A77A04">
        <w:rPr>
          <w:rFonts w:cstheme="minorHAnsi"/>
          <w:szCs w:val="16"/>
        </w:rPr>
        <w:t xml:space="preserve"> </w:t>
      </w:r>
      <w:r w:rsidRPr="00A77A04">
        <w:rPr>
          <w:rStyle w:val="selectable"/>
          <w:rFonts w:cstheme="minorHAnsi"/>
          <w:color w:val="000000"/>
          <w:szCs w:val="16"/>
          <w:lang w:val="en"/>
        </w:rPr>
        <w:t xml:space="preserve">(Homer. and </w:t>
      </w:r>
      <w:proofErr w:type="spellStart"/>
      <w:r w:rsidRPr="00A77A04">
        <w:rPr>
          <w:rStyle w:val="selectable"/>
          <w:rFonts w:cstheme="minorHAnsi"/>
          <w:color w:val="000000"/>
          <w:szCs w:val="16"/>
          <w:lang w:val="en"/>
        </w:rPr>
        <w:t>Rieu</w:t>
      </w:r>
      <w:proofErr w:type="spellEnd"/>
      <w:r w:rsidRPr="00A77A04">
        <w:rPr>
          <w:rStyle w:val="selectable"/>
          <w:rFonts w:cstheme="minorHAnsi"/>
          <w:color w:val="000000"/>
          <w:szCs w:val="16"/>
          <w:lang w:val="en"/>
        </w:rPr>
        <w:t>, 2011)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7BBB8" w14:textId="77777777" w:rsidR="00A77A04" w:rsidRDefault="00A77A04">
    <w:pPr>
      <w:pStyle w:val="Header"/>
    </w:pPr>
    <w:r>
      <w:t>The Muses’ Playground</w:t>
    </w:r>
    <w:r>
      <w:tab/>
      <w:t>Tamara Bowie</w:t>
    </w:r>
    <w:r>
      <w:tab/>
      <w:t>1601293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D05"/>
    <w:rsid w:val="002E46F1"/>
    <w:rsid w:val="00386C5D"/>
    <w:rsid w:val="00531D05"/>
    <w:rsid w:val="00A665E0"/>
    <w:rsid w:val="00A77A04"/>
    <w:rsid w:val="00AD1264"/>
    <w:rsid w:val="00E65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F27399"/>
  <w15:chartTrackingRefBased/>
  <w15:docId w15:val="{760C5966-1DF4-4F66-9428-85821873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86C5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1D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1D05"/>
    <w:rPr>
      <w:sz w:val="20"/>
      <w:szCs w:val="20"/>
    </w:rPr>
  </w:style>
  <w:style w:type="character" w:styleId="FootnoteReference">
    <w:name w:val="footnote reference"/>
    <w:basedOn w:val="DefaultParagraphFont"/>
    <w:uiPriority w:val="99"/>
    <w:semiHidden/>
    <w:unhideWhenUsed/>
    <w:rsid w:val="00531D05"/>
    <w:rPr>
      <w:vertAlign w:val="superscript"/>
    </w:rPr>
  </w:style>
  <w:style w:type="character" w:customStyle="1" w:styleId="Heading2Char">
    <w:name w:val="Heading 2 Char"/>
    <w:basedOn w:val="DefaultParagraphFont"/>
    <w:link w:val="Heading2"/>
    <w:uiPriority w:val="9"/>
    <w:rsid w:val="00386C5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6C5D"/>
    <w:pPr>
      <w:spacing w:after="150"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A77A04"/>
  </w:style>
  <w:style w:type="paragraph" w:styleId="Header">
    <w:name w:val="header"/>
    <w:basedOn w:val="Normal"/>
    <w:link w:val="HeaderChar"/>
    <w:uiPriority w:val="99"/>
    <w:unhideWhenUsed/>
    <w:rsid w:val="00A77A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A04"/>
  </w:style>
  <w:style w:type="paragraph" w:styleId="Footer">
    <w:name w:val="footer"/>
    <w:basedOn w:val="Normal"/>
    <w:link w:val="FooterChar"/>
    <w:uiPriority w:val="99"/>
    <w:unhideWhenUsed/>
    <w:rsid w:val="00A77A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566839">
      <w:bodyDiv w:val="1"/>
      <w:marLeft w:val="0"/>
      <w:marRight w:val="0"/>
      <w:marTop w:val="0"/>
      <w:marBottom w:val="0"/>
      <w:divBdr>
        <w:top w:val="none" w:sz="0" w:space="0" w:color="auto"/>
        <w:left w:val="none" w:sz="0" w:space="0" w:color="auto"/>
        <w:bottom w:val="none" w:sz="0" w:space="0" w:color="auto"/>
        <w:right w:val="none" w:sz="0" w:space="0" w:color="auto"/>
      </w:divBdr>
      <w:divsChild>
        <w:div w:id="1578902999">
          <w:marLeft w:val="0"/>
          <w:marRight w:val="0"/>
          <w:marTop w:val="0"/>
          <w:marBottom w:val="0"/>
          <w:divBdr>
            <w:top w:val="none" w:sz="0" w:space="0" w:color="auto"/>
            <w:left w:val="none" w:sz="0" w:space="0" w:color="auto"/>
            <w:bottom w:val="none" w:sz="0" w:space="0" w:color="auto"/>
            <w:right w:val="none" w:sz="0" w:space="0" w:color="auto"/>
          </w:divBdr>
          <w:divsChild>
            <w:div w:id="1653408387">
              <w:marLeft w:val="0"/>
              <w:marRight w:val="0"/>
              <w:marTop w:val="0"/>
              <w:marBottom w:val="0"/>
              <w:divBdr>
                <w:top w:val="none" w:sz="0" w:space="0" w:color="auto"/>
                <w:left w:val="none" w:sz="0" w:space="0" w:color="auto"/>
                <w:bottom w:val="none" w:sz="0" w:space="0" w:color="auto"/>
                <w:right w:val="none" w:sz="0" w:space="0" w:color="auto"/>
              </w:divBdr>
              <w:divsChild>
                <w:div w:id="602809556">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1846704915">
      <w:bodyDiv w:val="1"/>
      <w:marLeft w:val="0"/>
      <w:marRight w:val="0"/>
      <w:marTop w:val="0"/>
      <w:marBottom w:val="0"/>
      <w:divBdr>
        <w:top w:val="none" w:sz="0" w:space="0" w:color="auto"/>
        <w:left w:val="none" w:sz="0" w:space="0" w:color="auto"/>
        <w:bottom w:val="none" w:sz="0" w:space="0" w:color="auto"/>
        <w:right w:val="none" w:sz="0" w:space="0" w:color="auto"/>
      </w:divBdr>
      <w:divsChild>
        <w:div w:id="1946300299">
          <w:marLeft w:val="0"/>
          <w:marRight w:val="0"/>
          <w:marTop w:val="0"/>
          <w:marBottom w:val="0"/>
          <w:divBdr>
            <w:top w:val="none" w:sz="0" w:space="0" w:color="auto"/>
            <w:left w:val="none" w:sz="0" w:space="0" w:color="auto"/>
            <w:bottom w:val="none" w:sz="0" w:space="0" w:color="auto"/>
            <w:right w:val="none" w:sz="0" w:space="0" w:color="auto"/>
          </w:divBdr>
          <w:divsChild>
            <w:div w:id="1978602514">
              <w:marLeft w:val="0"/>
              <w:marRight w:val="0"/>
              <w:marTop w:val="0"/>
              <w:marBottom w:val="0"/>
              <w:divBdr>
                <w:top w:val="none" w:sz="0" w:space="0" w:color="auto"/>
                <w:left w:val="none" w:sz="0" w:space="0" w:color="auto"/>
                <w:bottom w:val="none" w:sz="0" w:space="0" w:color="auto"/>
                <w:right w:val="none" w:sz="0" w:space="0" w:color="auto"/>
              </w:divBdr>
              <w:divsChild>
                <w:div w:id="373580023">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57091-4856-4BE4-8D0D-4ECCB3420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504</Words>
  <Characters>2876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 (1601293)</dc:creator>
  <cp:keywords/>
  <dc:description/>
  <cp:lastModifiedBy>Tamara Bowie (1601293)</cp:lastModifiedBy>
  <cp:revision>2</cp:revision>
  <dcterms:created xsi:type="dcterms:W3CDTF">2017-10-24T20:37:00Z</dcterms:created>
  <dcterms:modified xsi:type="dcterms:W3CDTF">2017-10-24T20:37:00Z</dcterms:modified>
</cp:coreProperties>
</file>