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341DC" w14:textId="72397FCA" w:rsidR="00B151A8" w:rsidRPr="00E73856" w:rsidRDefault="00E73856" w:rsidP="00E73856">
      <w:pPr>
        <w:pBdr>
          <w:bottom w:val="single" w:sz="4" w:space="1" w:color="auto"/>
        </w:pBdr>
        <w:jc w:val="center"/>
        <w:rPr>
          <w:rFonts w:ascii="Arial" w:hAnsi="Arial" w:cs="Arial"/>
          <w:b/>
          <w:bCs/>
          <w:sz w:val="36"/>
          <w:szCs w:val="36"/>
        </w:rPr>
      </w:pPr>
      <w:r w:rsidRPr="00E73856">
        <w:rPr>
          <w:rFonts w:ascii="Arial" w:hAnsi="Arial" w:cs="Arial"/>
          <w:b/>
          <w:bCs/>
          <w:sz w:val="36"/>
          <w:szCs w:val="36"/>
        </w:rPr>
        <w:t>Introducing the Modern Workplace</w:t>
      </w:r>
    </w:p>
    <w:p w14:paraId="30A72AB3" w14:textId="199265D7" w:rsidR="00E73856" w:rsidRPr="00E73856" w:rsidRDefault="00E73856" w:rsidP="00E73856">
      <w:pPr>
        <w:pBdr>
          <w:bottom w:val="single" w:sz="4" w:space="1" w:color="auto"/>
        </w:pBdr>
        <w:jc w:val="center"/>
        <w:rPr>
          <w:rFonts w:ascii="Arial" w:hAnsi="Arial" w:cs="Arial"/>
          <w:sz w:val="24"/>
          <w:szCs w:val="24"/>
        </w:rPr>
      </w:pPr>
      <w:r w:rsidRPr="00E73856">
        <w:rPr>
          <w:rFonts w:ascii="Arial" w:hAnsi="Arial" w:cs="Arial"/>
          <w:sz w:val="24"/>
          <w:szCs w:val="24"/>
        </w:rPr>
        <w:t>LCBB4003</w:t>
      </w:r>
    </w:p>
    <w:p w14:paraId="1B2C004B" w14:textId="77777777" w:rsidR="00E73856" w:rsidRPr="00E73856" w:rsidRDefault="00E73856" w:rsidP="00E73856">
      <w:pPr>
        <w:pBdr>
          <w:bottom w:val="single" w:sz="4" w:space="1" w:color="auto"/>
        </w:pBdr>
        <w:jc w:val="center"/>
        <w:rPr>
          <w:rFonts w:ascii="Arial" w:hAnsi="Arial" w:cs="Arial"/>
          <w:sz w:val="24"/>
          <w:szCs w:val="24"/>
        </w:rPr>
      </w:pPr>
    </w:p>
    <w:p w14:paraId="51DE7CB0" w14:textId="48DA8666" w:rsidR="00E73856" w:rsidRPr="00E73856" w:rsidRDefault="00E73856" w:rsidP="00E73856">
      <w:pPr>
        <w:pBdr>
          <w:bottom w:val="single" w:sz="4" w:space="1" w:color="auto"/>
        </w:pBdr>
        <w:jc w:val="center"/>
        <w:rPr>
          <w:rFonts w:ascii="Arial" w:hAnsi="Arial" w:cs="Arial"/>
          <w:sz w:val="24"/>
          <w:szCs w:val="24"/>
        </w:rPr>
      </w:pPr>
      <w:r w:rsidRPr="00E73856">
        <w:rPr>
          <w:rFonts w:ascii="Arial" w:hAnsi="Arial" w:cs="Arial"/>
          <w:sz w:val="24"/>
          <w:szCs w:val="24"/>
        </w:rPr>
        <w:t>Essay</w:t>
      </w:r>
    </w:p>
    <w:p w14:paraId="5160E66B" w14:textId="77777777" w:rsidR="00E73856" w:rsidRDefault="00E73856" w:rsidP="00E73856">
      <w:pPr>
        <w:jc w:val="center"/>
        <w:rPr>
          <w:rFonts w:ascii="Arial" w:hAnsi="Arial" w:cs="Arial"/>
          <w:sz w:val="24"/>
          <w:szCs w:val="24"/>
        </w:rPr>
      </w:pPr>
    </w:p>
    <w:p w14:paraId="7A44B00B" w14:textId="77777777" w:rsidR="00E73856" w:rsidRDefault="00E73856" w:rsidP="00E73856">
      <w:pPr>
        <w:jc w:val="center"/>
        <w:rPr>
          <w:rFonts w:ascii="Arial" w:hAnsi="Arial" w:cs="Arial"/>
          <w:sz w:val="24"/>
          <w:szCs w:val="24"/>
        </w:rPr>
      </w:pPr>
    </w:p>
    <w:p w14:paraId="052EA1A2" w14:textId="5C1FB66B" w:rsidR="00E73856" w:rsidRPr="00E73856" w:rsidRDefault="00E73856" w:rsidP="00E73856">
      <w:pPr>
        <w:jc w:val="center"/>
        <w:rPr>
          <w:rFonts w:ascii="Arial" w:hAnsi="Arial" w:cs="Arial"/>
          <w:sz w:val="24"/>
          <w:szCs w:val="24"/>
        </w:rPr>
      </w:pPr>
      <w:r w:rsidRPr="00E73856">
        <w:rPr>
          <w:rFonts w:ascii="Arial" w:hAnsi="Arial" w:cs="Arial"/>
          <w:noProof/>
          <w:sz w:val="24"/>
          <w:szCs w:val="24"/>
        </w:rPr>
        <w:drawing>
          <wp:inline distT="0" distB="0" distL="0" distR="0" wp14:anchorId="47A60B6D" wp14:editId="629C3C26">
            <wp:extent cx="3867349" cy="1949550"/>
            <wp:effectExtent l="152400" t="152400" r="361950" b="355600"/>
            <wp:docPr id="630714933" name="Picture 1" descr="A sign on the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14933" name="Picture 1" descr="A sign on the front of a building&#10;&#10;Description automatically generated"/>
                    <pic:cNvPicPr/>
                  </pic:nvPicPr>
                  <pic:blipFill>
                    <a:blip r:embed="rId7"/>
                    <a:stretch>
                      <a:fillRect/>
                    </a:stretch>
                  </pic:blipFill>
                  <pic:spPr>
                    <a:xfrm>
                      <a:off x="0" y="0"/>
                      <a:ext cx="3867349" cy="1949550"/>
                    </a:xfrm>
                    <a:prstGeom prst="rect">
                      <a:avLst/>
                    </a:prstGeom>
                    <a:ln>
                      <a:noFill/>
                    </a:ln>
                    <a:effectLst>
                      <a:outerShdw blurRad="292100" dist="139700" dir="2700000" algn="tl" rotWithShape="0">
                        <a:srgbClr val="333333">
                          <a:alpha val="65000"/>
                        </a:srgbClr>
                      </a:outerShdw>
                    </a:effectLst>
                  </pic:spPr>
                </pic:pic>
              </a:graphicData>
            </a:graphic>
          </wp:inline>
        </w:drawing>
      </w:r>
    </w:p>
    <w:p w14:paraId="47D83EFF" w14:textId="7B94DEDB" w:rsidR="00E73856" w:rsidRDefault="00E73856" w:rsidP="00E73856">
      <w:pPr>
        <w:jc w:val="center"/>
        <w:rPr>
          <w:rFonts w:ascii="Arial" w:hAnsi="Arial" w:cs="Arial"/>
          <w:sz w:val="24"/>
          <w:szCs w:val="24"/>
        </w:rPr>
      </w:pPr>
      <w:r w:rsidRPr="00E73856">
        <w:rPr>
          <w:rFonts w:ascii="Arial" w:hAnsi="Arial" w:cs="Arial"/>
          <w:sz w:val="24"/>
          <w:szCs w:val="24"/>
        </w:rPr>
        <w:t>Lecturer: Dr Hoang Dang Nguyen</w:t>
      </w:r>
    </w:p>
    <w:p w14:paraId="22FFC7A8" w14:textId="579A082C" w:rsidR="00E73856" w:rsidRDefault="00E73856" w:rsidP="00E73856">
      <w:pPr>
        <w:jc w:val="center"/>
        <w:rPr>
          <w:rFonts w:ascii="Arial" w:hAnsi="Arial" w:cs="Arial"/>
          <w:sz w:val="24"/>
          <w:szCs w:val="24"/>
        </w:rPr>
      </w:pPr>
      <w:r>
        <w:rPr>
          <w:rFonts w:ascii="Arial" w:hAnsi="Arial" w:cs="Arial"/>
          <w:sz w:val="24"/>
          <w:szCs w:val="24"/>
        </w:rPr>
        <w:t>Student id:</w:t>
      </w:r>
      <w:r w:rsidR="00835F51">
        <w:rPr>
          <w:rFonts w:ascii="Arial" w:hAnsi="Arial" w:cs="Arial"/>
          <w:sz w:val="24"/>
          <w:szCs w:val="24"/>
        </w:rPr>
        <w:t xml:space="preserve"> 2246853</w:t>
      </w:r>
    </w:p>
    <w:p w14:paraId="0DFB60D2" w14:textId="0191D4DD" w:rsidR="00E73856" w:rsidRDefault="00E73856" w:rsidP="00E73856">
      <w:pPr>
        <w:jc w:val="center"/>
        <w:rPr>
          <w:rFonts w:ascii="Arial" w:hAnsi="Arial" w:cs="Arial"/>
          <w:sz w:val="24"/>
          <w:szCs w:val="24"/>
        </w:rPr>
      </w:pPr>
      <w:r>
        <w:rPr>
          <w:rFonts w:ascii="Arial" w:hAnsi="Arial" w:cs="Arial"/>
          <w:sz w:val="24"/>
          <w:szCs w:val="24"/>
        </w:rPr>
        <w:t>Student name:</w:t>
      </w:r>
      <w:r w:rsidR="003806E5">
        <w:rPr>
          <w:rFonts w:ascii="Arial" w:hAnsi="Arial" w:cs="Arial"/>
          <w:sz w:val="24"/>
          <w:szCs w:val="24"/>
        </w:rPr>
        <w:t xml:space="preserve"> Ioana Girigan</w:t>
      </w:r>
    </w:p>
    <w:p w14:paraId="7C32C974" w14:textId="7DFBD83F" w:rsidR="00E73856" w:rsidRDefault="00E73856" w:rsidP="00E73856">
      <w:pPr>
        <w:jc w:val="center"/>
        <w:rPr>
          <w:rFonts w:ascii="Arial" w:hAnsi="Arial" w:cs="Arial"/>
          <w:sz w:val="24"/>
          <w:szCs w:val="24"/>
        </w:rPr>
      </w:pPr>
      <w:r>
        <w:rPr>
          <w:rFonts w:ascii="Arial" w:hAnsi="Arial" w:cs="Arial"/>
          <w:sz w:val="24"/>
          <w:szCs w:val="24"/>
        </w:rPr>
        <w:t xml:space="preserve">Word count: </w:t>
      </w:r>
      <w:r w:rsidR="003C133E">
        <w:rPr>
          <w:rFonts w:ascii="Arial" w:hAnsi="Arial" w:cs="Arial"/>
          <w:sz w:val="24"/>
          <w:szCs w:val="24"/>
        </w:rPr>
        <w:t>20</w:t>
      </w:r>
      <w:r w:rsidR="00AD3E92">
        <w:rPr>
          <w:rFonts w:ascii="Arial" w:hAnsi="Arial" w:cs="Arial"/>
          <w:sz w:val="24"/>
          <w:szCs w:val="24"/>
        </w:rPr>
        <w:t>1</w:t>
      </w:r>
      <w:r w:rsidR="003C133E">
        <w:rPr>
          <w:rFonts w:ascii="Arial" w:hAnsi="Arial" w:cs="Arial"/>
          <w:sz w:val="24"/>
          <w:szCs w:val="24"/>
        </w:rPr>
        <w:t>0</w:t>
      </w:r>
    </w:p>
    <w:p w14:paraId="335E9DC4" w14:textId="77777777" w:rsidR="00E73856" w:rsidRDefault="00E73856" w:rsidP="00E73856">
      <w:pPr>
        <w:jc w:val="center"/>
        <w:rPr>
          <w:rFonts w:ascii="Arial" w:hAnsi="Arial" w:cs="Arial"/>
          <w:sz w:val="24"/>
          <w:szCs w:val="24"/>
        </w:rPr>
      </w:pPr>
    </w:p>
    <w:p w14:paraId="0BF440E0" w14:textId="77777777" w:rsidR="00E73856" w:rsidRDefault="00E73856" w:rsidP="00E73856">
      <w:pPr>
        <w:jc w:val="center"/>
        <w:rPr>
          <w:rFonts w:ascii="Arial" w:hAnsi="Arial" w:cs="Arial"/>
          <w:sz w:val="24"/>
          <w:szCs w:val="24"/>
        </w:rPr>
      </w:pPr>
    </w:p>
    <w:p w14:paraId="503CC3CE" w14:textId="77777777" w:rsidR="00E73856" w:rsidRDefault="00E73856" w:rsidP="00E73856">
      <w:pPr>
        <w:jc w:val="center"/>
        <w:rPr>
          <w:rFonts w:ascii="Arial" w:hAnsi="Arial" w:cs="Arial"/>
          <w:sz w:val="24"/>
          <w:szCs w:val="24"/>
        </w:rPr>
      </w:pPr>
    </w:p>
    <w:p w14:paraId="50D0C856" w14:textId="77777777" w:rsidR="00E73856" w:rsidRDefault="00E73856" w:rsidP="00E73856">
      <w:pPr>
        <w:jc w:val="center"/>
        <w:rPr>
          <w:rFonts w:ascii="Arial" w:hAnsi="Arial" w:cs="Arial"/>
          <w:sz w:val="24"/>
          <w:szCs w:val="24"/>
        </w:rPr>
      </w:pPr>
    </w:p>
    <w:p w14:paraId="17207061" w14:textId="77777777" w:rsidR="00E73856" w:rsidRDefault="00E73856" w:rsidP="00E73856">
      <w:pPr>
        <w:jc w:val="center"/>
        <w:rPr>
          <w:rFonts w:ascii="Arial" w:hAnsi="Arial" w:cs="Arial"/>
          <w:sz w:val="24"/>
          <w:szCs w:val="24"/>
        </w:rPr>
      </w:pPr>
    </w:p>
    <w:p w14:paraId="2AC97265" w14:textId="77777777" w:rsidR="00E73856" w:rsidRDefault="00E73856" w:rsidP="00E73856">
      <w:pPr>
        <w:jc w:val="center"/>
        <w:rPr>
          <w:rFonts w:ascii="Arial" w:hAnsi="Arial" w:cs="Arial"/>
          <w:sz w:val="24"/>
          <w:szCs w:val="24"/>
        </w:rPr>
      </w:pPr>
    </w:p>
    <w:p w14:paraId="76AE2CE2" w14:textId="19B88DA3" w:rsidR="00E73856" w:rsidRDefault="00E73856" w:rsidP="00A65009">
      <w:pPr>
        <w:ind w:left="0"/>
        <w:rPr>
          <w:rFonts w:ascii="Arial" w:hAnsi="Arial" w:cs="Arial"/>
          <w:b/>
          <w:bCs/>
          <w:sz w:val="24"/>
          <w:szCs w:val="24"/>
        </w:rPr>
      </w:pPr>
    </w:p>
    <w:p w14:paraId="4B1BB7C9" w14:textId="77777777" w:rsidR="00E73856" w:rsidRPr="007E5A02" w:rsidRDefault="00E73856" w:rsidP="007E5A02">
      <w:pPr>
        <w:jc w:val="center"/>
        <w:rPr>
          <w:rFonts w:ascii="Arial" w:hAnsi="Arial" w:cs="Arial"/>
          <w:b/>
          <w:bCs/>
          <w:sz w:val="24"/>
          <w:szCs w:val="24"/>
        </w:rPr>
      </w:pPr>
    </w:p>
    <w:p w14:paraId="52357391" w14:textId="316D7341" w:rsidR="00E73856" w:rsidRPr="007E5A02" w:rsidRDefault="000F7192" w:rsidP="007E5A02">
      <w:pPr>
        <w:rPr>
          <w:rFonts w:ascii="Arial" w:hAnsi="Arial" w:cs="Arial"/>
          <w:sz w:val="24"/>
          <w:szCs w:val="24"/>
        </w:rPr>
      </w:pPr>
      <w:r w:rsidRPr="007E5A02">
        <w:rPr>
          <w:rFonts w:ascii="Arial" w:hAnsi="Arial" w:cs="Arial"/>
          <w:sz w:val="24"/>
          <w:szCs w:val="24"/>
        </w:rPr>
        <w:t xml:space="preserve">Sainsbury's was established in 1869 and is based in London. Sainsbury's is a well-known British multi-channel store that sells food, goods, and clothes. Sainsbury's owns the brands Argos, Habitat, Tu, Nectar, and Sainsbury's Bank. </w:t>
      </w:r>
      <w:r w:rsidR="008D5B96" w:rsidRPr="007E5A02">
        <w:rPr>
          <w:rFonts w:ascii="Arial" w:hAnsi="Arial" w:cs="Arial"/>
          <w:sz w:val="24"/>
          <w:szCs w:val="24"/>
        </w:rPr>
        <w:t xml:space="preserve">Moreover, Sainsbury's new Hook shop, which uses renewable energy and modern LED lighting, decreases energy use dramatically, improving sustainability and performance. </w:t>
      </w:r>
      <w:r w:rsidRPr="007E5A02">
        <w:rPr>
          <w:rFonts w:ascii="Arial" w:hAnsi="Arial" w:cs="Arial"/>
          <w:sz w:val="24"/>
          <w:szCs w:val="24"/>
        </w:rPr>
        <w:t>The firm operates outlets in the United Kingdom and Ireland</w:t>
      </w:r>
      <w:r w:rsidR="00717A9D" w:rsidRPr="007E5A02">
        <w:rPr>
          <w:rFonts w:ascii="Arial" w:hAnsi="Arial" w:cs="Arial"/>
          <w:sz w:val="24"/>
          <w:szCs w:val="24"/>
        </w:rPr>
        <w:t xml:space="preserve"> (IBISWorld, 2023). </w:t>
      </w:r>
      <w:r w:rsidRPr="007E5A02">
        <w:rPr>
          <w:rFonts w:ascii="Arial" w:hAnsi="Arial" w:cs="Arial"/>
          <w:sz w:val="24"/>
          <w:szCs w:val="24"/>
        </w:rPr>
        <w:t>Sainsbury's offers multiple own-brand ranges that appeal to various income levels, including Sainsbury's main own brand range, Taste the Difference, an upscale assortment of superior products and drinks, SO Organic, and FreeFrom</w:t>
      </w:r>
      <w:r w:rsidR="00E018AF" w:rsidRPr="007E5A02">
        <w:rPr>
          <w:rFonts w:ascii="Arial" w:hAnsi="Arial" w:cs="Arial"/>
          <w:sz w:val="24"/>
          <w:szCs w:val="24"/>
        </w:rPr>
        <w:t xml:space="preserve"> (Sainsbury, n.d.). </w:t>
      </w:r>
      <w:r w:rsidR="00254DBD" w:rsidRPr="007E5A02">
        <w:rPr>
          <w:rFonts w:ascii="Arial" w:hAnsi="Arial" w:cs="Arial"/>
          <w:sz w:val="24"/>
          <w:szCs w:val="24"/>
        </w:rPr>
        <w:t xml:space="preserve"> The study of organisational factors, in relation to major merchants such as Sainsbury's, comes from a desire to comprehend how conventional organisations adjust to changing consumer needs and internal leadership issues. </w:t>
      </w:r>
      <w:r w:rsidR="00C05E35" w:rsidRPr="007E5A02">
        <w:rPr>
          <w:rFonts w:ascii="Arial" w:hAnsi="Arial" w:cs="Arial"/>
          <w:sz w:val="24"/>
          <w:szCs w:val="24"/>
        </w:rPr>
        <w:t xml:space="preserve">The aim of the essay is </w:t>
      </w:r>
      <w:r w:rsidR="00F07DEA" w:rsidRPr="007E5A02">
        <w:rPr>
          <w:rFonts w:ascii="Arial" w:hAnsi="Arial" w:cs="Arial"/>
          <w:sz w:val="24"/>
          <w:szCs w:val="24"/>
        </w:rPr>
        <w:t>to examine how Sainsbury's organisational structure, culture, and motivational tactics contribute to the company's success and goal achievement.</w:t>
      </w:r>
    </w:p>
    <w:p w14:paraId="3458A1D7" w14:textId="702B31EA" w:rsidR="00B90CAA" w:rsidRPr="007E5A02" w:rsidRDefault="002B148F" w:rsidP="007E5A02">
      <w:pPr>
        <w:rPr>
          <w:rFonts w:ascii="Arial" w:hAnsi="Arial" w:cs="Arial"/>
          <w:sz w:val="24"/>
          <w:szCs w:val="24"/>
        </w:rPr>
      </w:pPr>
      <w:r w:rsidRPr="007E5A02">
        <w:rPr>
          <w:rFonts w:ascii="Arial" w:hAnsi="Arial" w:cs="Arial"/>
          <w:sz w:val="24"/>
          <w:szCs w:val="24"/>
        </w:rPr>
        <w:t xml:space="preserve">Organisational structure and culture are essential elements for </w:t>
      </w:r>
      <w:r w:rsidR="002633B4" w:rsidRPr="007E5A02">
        <w:rPr>
          <w:rFonts w:ascii="Arial" w:hAnsi="Arial" w:cs="Arial"/>
          <w:sz w:val="24"/>
          <w:szCs w:val="24"/>
        </w:rPr>
        <w:t>understanding</w:t>
      </w:r>
      <w:r w:rsidRPr="007E5A02">
        <w:rPr>
          <w:rFonts w:ascii="Arial" w:hAnsi="Arial" w:cs="Arial"/>
          <w:sz w:val="24"/>
          <w:szCs w:val="24"/>
        </w:rPr>
        <w:t xml:space="preserve"> how organisations work. The hierarchical organisation of roles, responsibilities, and authority within an organisation dictates how actions such as job distribution, collaboration, and control are oriented towards accomplishing organisational goals (Robbins </w:t>
      </w:r>
      <w:r w:rsidR="00A03BE2" w:rsidRPr="007E5A02">
        <w:rPr>
          <w:rFonts w:ascii="Arial" w:hAnsi="Arial" w:cs="Arial"/>
          <w:sz w:val="24"/>
          <w:szCs w:val="24"/>
        </w:rPr>
        <w:t>and</w:t>
      </w:r>
      <w:r w:rsidRPr="007E5A02">
        <w:rPr>
          <w:rFonts w:ascii="Arial" w:hAnsi="Arial" w:cs="Arial"/>
          <w:sz w:val="24"/>
          <w:szCs w:val="24"/>
        </w:rPr>
        <w:t xml:space="preserve"> Judge, 2017). It could vary from traditional hierarchies to more flexible and flat arrangements. Organisational culture, on the other hand, is defined as a set of common assumptions, values, and ideas that determine how individuals act in organisations (Schein, 2010). This culture creates an atmosphere for the workplace and determines how workers connect to one another and with stakeholders across the organisation. Structure and culture are both critical to an organization's functioning and success, determining its ability to adapt, evolve, and confront difficulties.</w:t>
      </w:r>
    </w:p>
    <w:p w14:paraId="63E1A2FD" w14:textId="59868537" w:rsidR="007D68B4" w:rsidRPr="007E5A02" w:rsidRDefault="007D68B4" w:rsidP="007E5A02">
      <w:pPr>
        <w:rPr>
          <w:rFonts w:ascii="Arial" w:hAnsi="Arial" w:cs="Arial"/>
          <w:sz w:val="24"/>
          <w:szCs w:val="24"/>
        </w:rPr>
      </w:pPr>
      <w:r w:rsidRPr="007E5A02">
        <w:rPr>
          <w:rFonts w:ascii="Arial" w:hAnsi="Arial" w:cs="Arial"/>
          <w:sz w:val="24"/>
          <w:szCs w:val="24"/>
        </w:rPr>
        <w:t xml:space="preserve">The organisational structure of Sainsbury's is hierarchical. This structure is divided into layers, with each level regulated by the one over it, resulting in </w:t>
      </w:r>
      <w:r w:rsidRPr="007E5A02">
        <w:rPr>
          <w:rFonts w:ascii="Arial" w:hAnsi="Arial" w:cs="Arial"/>
          <w:sz w:val="24"/>
          <w:szCs w:val="24"/>
        </w:rPr>
        <w:lastRenderedPageBreak/>
        <w:t>an apparent line of command. Senior managers, for example, supervise line managers, who in turn supervise sales assistants. This type of hierarchical structure is typical in major organisations such as Sainsbury's, where clearly defined roles and duties are critical for smooth operations and decision-making processes</w:t>
      </w:r>
      <w:r w:rsidR="00413C5D" w:rsidRPr="007E5A02">
        <w:rPr>
          <w:rFonts w:ascii="Arial" w:hAnsi="Arial" w:cs="Arial"/>
          <w:sz w:val="24"/>
          <w:szCs w:val="24"/>
        </w:rPr>
        <w:t xml:space="preserve"> (Sainsbury, 2019).</w:t>
      </w:r>
      <w:r w:rsidR="00E27280" w:rsidRPr="007E5A02">
        <w:rPr>
          <w:rFonts w:ascii="Arial" w:hAnsi="Arial" w:cs="Arial"/>
          <w:sz w:val="24"/>
          <w:szCs w:val="24"/>
        </w:rPr>
        <w:t xml:space="preserve"> Sainsbury's operations show a hierarchical structure in several ways. For example, the company's development objectives, such as constructing new supermarkets, enlarging existing ones, and expanding their online and physical presence, all need an organised strategy, which a hierarchical structure facilitates</w:t>
      </w:r>
      <w:r w:rsidR="00D4259D" w:rsidRPr="007E5A02">
        <w:rPr>
          <w:rFonts w:ascii="Arial" w:hAnsi="Arial" w:cs="Arial"/>
          <w:sz w:val="24"/>
          <w:szCs w:val="24"/>
        </w:rPr>
        <w:t xml:space="preserve"> (Sainsbury, 2023). </w:t>
      </w:r>
      <w:r w:rsidR="00E27280" w:rsidRPr="007E5A02">
        <w:rPr>
          <w:rFonts w:ascii="Arial" w:hAnsi="Arial" w:cs="Arial"/>
          <w:sz w:val="24"/>
          <w:szCs w:val="24"/>
        </w:rPr>
        <w:t>Furthermore, Sainsbury's expansion into new economic sectors like as banking and energy represents a complicated structure in which several divisions are governed under a cohesive corporate roof.</w:t>
      </w:r>
    </w:p>
    <w:p w14:paraId="6514D97D" w14:textId="3E160E79" w:rsidR="002E6B23" w:rsidRPr="007E5A02" w:rsidRDefault="00FB1907" w:rsidP="007E5A02">
      <w:pPr>
        <w:rPr>
          <w:rFonts w:ascii="Arial" w:hAnsi="Arial" w:cs="Arial"/>
          <w:sz w:val="24"/>
          <w:szCs w:val="24"/>
        </w:rPr>
      </w:pPr>
      <w:r w:rsidRPr="007E5A02">
        <w:rPr>
          <w:rFonts w:ascii="Arial" w:hAnsi="Arial" w:cs="Arial"/>
          <w:sz w:val="24"/>
          <w:szCs w:val="24"/>
        </w:rPr>
        <w:t>Additionally, various influences have shaped Sainsbury's organisational culture throughout the years. The organisation has exhibited a dedication to cultural inclusion, moral behaviour, and the welfare of the community, demonstrating a socially responsible culture</w:t>
      </w:r>
      <w:r w:rsidR="00D4259D" w:rsidRPr="007E5A02">
        <w:rPr>
          <w:rFonts w:ascii="Arial" w:hAnsi="Arial" w:cs="Arial"/>
          <w:sz w:val="24"/>
          <w:szCs w:val="24"/>
        </w:rPr>
        <w:t xml:space="preserve"> (IBISWorld, 2023).</w:t>
      </w:r>
      <w:r w:rsidRPr="007E5A02">
        <w:rPr>
          <w:rFonts w:ascii="Arial" w:hAnsi="Arial" w:cs="Arial"/>
          <w:sz w:val="24"/>
          <w:szCs w:val="24"/>
        </w:rPr>
        <w:t xml:space="preserve"> For example, Sainsbury's initiatives to reduce energy usage, promote better diets, and support community projects such as Active Kids demonstrate a culture strongly committed to sustainability and social stability</w:t>
      </w:r>
      <w:r w:rsidR="008B3241" w:rsidRPr="007E5A02">
        <w:rPr>
          <w:rFonts w:ascii="Arial" w:hAnsi="Arial" w:cs="Arial"/>
          <w:sz w:val="24"/>
          <w:szCs w:val="24"/>
        </w:rPr>
        <w:t xml:space="preserve"> (Sainsbury, 2023)</w:t>
      </w:r>
      <w:r w:rsidR="007D4693" w:rsidRPr="007E5A02">
        <w:rPr>
          <w:rFonts w:ascii="Arial" w:hAnsi="Arial" w:cs="Arial"/>
          <w:sz w:val="24"/>
          <w:szCs w:val="24"/>
        </w:rPr>
        <w:t xml:space="preserve">. </w:t>
      </w:r>
      <w:r w:rsidR="002E6B23" w:rsidRPr="007E5A02">
        <w:rPr>
          <w:rFonts w:ascii="Arial" w:hAnsi="Arial" w:cs="Arial"/>
          <w:sz w:val="24"/>
          <w:szCs w:val="24"/>
        </w:rPr>
        <w:t>According to Handy's Cultural Model, Sainsbury's cultural model promotes a participatory and supportive corporate culture. This culture is important in inspiring people to meet high job performance goals. The more evident components of Sainsbury's culture, such as uniformed employees, store designs, and customer interaction initiatives, are supplemented by the less visible but as essential values, attitudes, and beliefs that govern employee behaviour</w:t>
      </w:r>
      <w:r w:rsidR="0074353B" w:rsidRPr="007E5A02">
        <w:rPr>
          <w:rFonts w:ascii="Arial" w:hAnsi="Arial" w:cs="Arial"/>
          <w:sz w:val="24"/>
          <w:szCs w:val="24"/>
        </w:rPr>
        <w:t xml:space="preserve"> (Nasa</w:t>
      </w:r>
      <w:r w:rsidR="00BE02C6" w:rsidRPr="007E5A02">
        <w:rPr>
          <w:rFonts w:ascii="Arial" w:hAnsi="Arial" w:cs="Arial"/>
          <w:sz w:val="24"/>
          <w:szCs w:val="24"/>
        </w:rPr>
        <w:t>i</w:t>
      </w:r>
      <w:r w:rsidR="0074353B" w:rsidRPr="007E5A02">
        <w:rPr>
          <w:rFonts w:ascii="Arial" w:hAnsi="Arial" w:cs="Arial"/>
          <w:sz w:val="24"/>
          <w:szCs w:val="24"/>
        </w:rPr>
        <w:t xml:space="preserve">reh, </w:t>
      </w:r>
      <w:r w:rsidR="00BE02C6" w:rsidRPr="007E5A02">
        <w:rPr>
          <w:rFonts w:ascii="Arial" w:hAnsi="Arial" w:cs="Arial"/>
          <w:sz w:val="24"/>
          <w:szCs w:val="24"/>
        </w:rPr>
        <w:t>Abdullah, and Obeidal, 2019).</w:t>
      </w:r>
    </w:p>
    <w:p w14:paraId="71006DF7" w14:textId="730C6732" w:rsidR="000C0485" w:rsidRPr="007E5A02" w:rsidRDefault="000C0485" w:rsidP="007E5A02">
      <w:pPr>
        <w:rPr>
          <w:rFonts w:ascii="Arial" w:hAnsi="Arial" w:cs="Arial"/>
          <w:sz w:val="24"/>
          <w:szCs w:val="24"/>
        </w:rPr>
      </w:pPr>
      <w:r w:rsidRPr="007E5A02">
        <w:rPr>
          <w:rFonts w:ascii="Arial" w:hAnsi="Arial" w:cs="Arial"/>
          <w:sz w:val="24"/>
          <w:szCs w:val="24"/>
        </w:rPr>
        <w:t xml:space="preserve">The Two-Factor Theory of Herzberg, an essential notion to comprehend motivation among staff members, distinguishes between "hygiene" elements and "motivators." The wage, job stability, and working facilities are vital for reducing employee dissatisfaction but do not always drive them. Motivators like as accomplishment, acknowledgment, accountability, and personal growth, on the other hand, are directly linked to job satisfaction and are essential drivers of employee </w:t>
      </w:r>
      <w:r w:rsidR="0098599E" w:rsidRPr="007E5A02">
        <w:rPr>
          <w:rFonts w:ascii="Arial" w:hAnsi="Arial" w:cs="Arial"/>
          <w:sz w:val="24"/>
          <w:szCs w:val="24"/>
        </w:rPr>
        <w:t xml:space="preserve">motivation </w:t>
      </w:r>
      <w:r w:rsidR="0098599E" w:rsidRPr="007E5A02">
        <w:rPr>
          <w:rFonts w:ascii="Arial" w:hAnsi="Arial" w:cs="Arial"/>
          <w:sz w:val="24"/>
          <w:szCs w:val="24"/>
          <w:shd w:val="clear" w:color="auto" w:fill="FFFFFF"/>
        </w:rPr>
        <w:t>(</w:t>
      </w:r>
      <w:r w:rsidR="001A773F" w:rsidRPr="007E5A02">
        <w:rPr>
          <w:rFonts w:ascii="Arial" w:hAnsi="Arial" w:cs="Arial"/>
          <w:sz w:val="24"/>
          <w:szCs w:val="24"/>
          <w:shd w:val="clear" w:color="auto" w:fill="FFFFFF"/>
        </w:rPr>
        <w:t xml:space="preserve">Alfayad </w:t>
      </w:r>
      <w:r w:rsidR="001A773F" w:rsidRPr="007E5A02">
        <w:rPr>
          <w:rFonts w:ascii="Arial" w:hAnsi="Arial" w:cs="Arial"/>
          <w:sz w:val="24"/>
          <w:szCs w:val="24"/>
          <w:shd w:val="clear" w:color="auto" w:fill="FFFFFF"/>
        </w:rPr>
        <w:lastRenderedPageBreak/>
        <w:t>and Ari̇f, 2017</w:t>
      </w:r>
      <w:r w:rsidR="000B250E" w:rsidRPr="007E5A02">
        <w:rPr>
          <w:rFonts w:ascii="Arial" w:hAnsi="Arial" w:cs="Arial"/>
          <w:sz w:val="24"/>
          <w:szCs w:val="24"/>
          <w:shd w:val="clear" w:color="auto" w:fill="FFFFFF"/>
        </w:rPr>
        <w:t>)</w:t>
      </w:r>
      <w:r w:rsidR="000B250E" w:rsidRPr="007E5A02">
        <w:rPr>
          <w:rFonts w:ascii="Arial" w:hAnsi="Arial" w:cs="Arial"/>
          <w:sz w:val="24"/>
          <w:szCs w:val="24"/>
        </w:rPr>
        <w:t>.</w:t>
      </w:r>
      <w:r w:rsidR="001A773F" w:rsidRPr="007E5A02">
        <w:rPr>
          <w:rFonts w:ascii="Arial" w:hAnsi="Arial" w:cs="Arial"/>
          <w:sz w:val="24"/>
          <w:szCs w:val="24"/>
        </w:rPr>
        <w:t xml:space="preserve"> </w:t>
      </w:r>
      <w:r w:rsidRPr="007E5A02">
        <w:rPr>
          <w:rFonts w:ascii="Arial" w:hAnsi="Arial" w:cs="Arial"/>
          <w:sz w:val="24"/>
          <w:szCs w:val="24"/>
        </w:rPr>
        <w:t xml:space="preserve">Herzberg highlighted that the two sets of elements must be handled for successful motivation. </w:t>
      </w:r>
    </w:p>
    <w:p w14:paraId="58BB1F72" w14:textId="48CF931A" w:rsidR="00041F7B" w:rsidRPr="007E5A02" w:rsidRDefault="00041F7B" w:rsidP="007E5A02">
      <w:pPr>
        <w:rPr>
          <w:rFonts w:ascii="Arial" w:hAnsi="Arial" w:cs="Arial"/>
          <w:sz w:val="24"/>
          <w:szCs w:val="24"/>
        </w:rPr>
      </w:pPr>
      <w:r w:rsidRPr="007E5A02">
        <w:rPr>
          <w:rFonts w:ascii="Arial" w:hAnsi="Arial" w:cs="Arial"/>
          <w:sz w:val="24"/>
          <w:szCs w:val="24"/>
        </w:rPr>
        <w:t>Using Herzberg's Two-Factor Theory to examine Sainsbury's staff engagement includes investigating how the organisation tackles both hygienic factors and motivators. Sainsbury's provides fair compensation, complete employee benefits, and safe, well-maintained work environments. These factors are critical in reducing employee unhappiness, but they are insufficient on their own to generate motivation</w:t>
      </w:r>
      <w:r w:rsidR="00916EF2" w:rsidRPr="007E5A02">
        <w:rPr>
          <w:rFonts w:ascii="Arial" w:hAnsi="Arial" w:cs="Arial"/>
          <w:sz w:val="24"/>
          <w:szCs w:val="24"/>
        </w:rPr>
        <w:t xml:space="preserve"> </w:t>
      </w:r>
      <w:r w:rsidR="00916EF2" w:rsidRPr="007E5A02">
        <w:rPr>
          <w:rFonts w:ascii="Arial" w:hAnsi="Arial" w:cs="Arial"/>
          <w:sz w:val="24"/>
          <w:szCs w:val="24"/>
          <w:shd w:val="clear" w:color="auto" w:fill="FFFFFF"/>
        </w:rPr>
        <w:t>(Prasad Kotni and Karumuri, 2018)</w:t>
      </w:r>
      <w:r w:rsidR="00C70215" w:rsidRPr="007E5A02">
        <w:rPr>
          <w:rFonts w:ascii="Arial" w:hAnsi="Arial" w:cs="Arial"/>
          <w:sz w:val="24"/>
          <w:szCs w:val="24"/>
          <w:shd w:val="clear" w:color="auto" w:fill="FFFFFF"/>
        </w:rPr>
        <w:t>.</w:t>
      </w:r>
      <w:r w:rsidRPr="007E5A02">
        <w:rPr>
          <w:rFonts w:ascii="Arial" w:hAnsi="Arial" w:cs="Arial"/>
          <w:sz w:val="24"/>
          <w:szCs w:val="24"/>
        </w:rPr>
        <w:t xml:space="preserve"> Sainsbury's uses motivators such as recognising employee successes, creating possibilities for professional progression, and supporting a participatory management style. These tactics support Herzberg's motivators by instilling in employees a sense of accomplishment and appreciation. Sainsbury's leadership programmes and staff development initiatives, for example, not only give opportunities for professional development but also </w:t>
      </w:r>
      <w:r w:rsidR="00391C0F" w:rsidRPr="007E5A02">
        <w:rPr>
          <w:rFonts w:ascii="Arial" w:hAnsi="Arial" w:cs="Arial"/>
          <w:sz w:val="24"/>
          <w:szCs w:val="24"/>
        </w:rPr>
        <w:t>inspire</w:t>
      </w:r>
      <w:r w:rsidRPr="007E5A02">
        <w:rPr>
          <w:rFonts w:ascii="Arial" w:hAnsi="Arial" w:cs="Arial"/>
          <w:sz w:val="24"/>
          <w:szCs w:val="24"/>
        </w:rPr>
        <w:t xml:space="preserve"> a sense of responsibility and success</w:t>
      </w:r>
      <w:r w:rsidR="004D0AD2" w:rsidRPr="007E5A02">
        <w:rPr>
          <w:rFonts w:ascii="Arial" w:hAnsi="Arial" w:cs="Arial"/>
          <w:sz w:val="24"/>
          <w:szCs w:val="24"/>
        </w:rPr>
        <w:t xml:space="preserve"> (Sainsbury, n.d.).</w:t>
      </w:r>
      <w:r w:rsidR="00391C0F" w:rsidRPr="007E5A02">
        <w:rPr>
          <w:rFonts w:ascii="Arial" w:hAnsi="Arial" w:cs="Arial"/>
          <w:sz w:val="24"/>
          <w:szCs w:val="24"/>
        </w:rPr>
        <w:t xml:space="preserve"> </w:t>
      </w:r>
      <w:r w:rsidRPr="007E5A02">
        <w:rPr>
          <w:rFonts w:ascii="Arial" w:hAnsi="Arial" w:cs="Arial"/>
          <w:sz w:val="24"/>
          <w:szCs w:val="24"/>
        </w:rPr>
        <w:t>However, a critical viewpoint would suggest that the high-paced and demanding atmosphere of the retail industry can often obscure these motivators, particularly during peak business seasons. Sainsbury's task is thus to continually balance hygienic considerations with motivators, ensuring that motivating tactics are successful even under difficult work situations. This equilibrium is critical for sustaining high levels of staff happiness and motivation, which may have a substantial influence on organisational efficiency and overall client service quality.</w:t>
      </w:r>
    </w:p>
    <w:p w14:paraId="0DEBCC9A" w14:textId="3248CF87" w:rsidR="00391C0F" w:rsidRPr="007E5A02" w:rsidRDefault="00391C0F" w:rsidP="007E5A02">
      <w:pPr>
        <w:rPr>
          <w:rFonts w:ascii="Arial" w:hAnsi="Arial" w:cs="Arial"/>
          <w:sz w:val="24"/>
          <w:szCs w:val="24"/>
        </w:rPr>
      </w:pPr>
      <w:r w:rsidRPr="007E5A02">
        <w:rPr>
          <w:rFonts w:ascii="Arial" w:hAnsi="Arial" w:cs="Arial"/>
          <w:sz w:val="24"/>
          <w:szCs w:val="24"/>
        </w:rPr>
        <w:t xml:space="preserve">On the other hand, </w:t>
      </w:r>
      <w:r w:rsidR="008E3927" w:rsidRPr="007E5A02">
        <w:rPr>
          <w:rFonts w:ascii="Arial" w:hAnsi="Arial" w:cs="Arial"/>
          <w:sz w:val="24"/>
          <w:szCs w:val="24"/>
        </w:rPr>
        <w:t>Maslow's Theory of Needs suggests a five-tier model of human needs, illustrated as levels within a pyramid.</w:t>
      </w:r>
      <w:r w:rsidR="00202EEB" w:rsidRPr="007E5A02">
        <w:rPr>
          <w:rFonts w:ascii="Arial" w:hAnsi="Arial" w:cs="Arial"/>
          <w:sz w:val="24"/>
          <w:szCs w:val="24"/>
        </w:rPr>
        <w:t xml:space="preserve"> The needs at the bottom of the hierarchy include basic physiological requirements such as food, water, warmth, and rest, followed by safety needs.</w:t>
      </w:r>
      <w:r w:rsidR="00B85E99" w:rsidRPr="007E5A02">
        <w:rPr>
          <w:rFonts w:ascii="Arial" w:hAnsi="Arial" w:cs="Arial"/>
          <w:sz w:val="24"/>
          <w:szCs w:val="24"/>
        </w:rPr>
        <w:t xml:space="preserve"> The next level consists of belongingness and love, encompassing intimate connections and friendships, followed by esteem desires such as recognition and a sense of completion</w:t>
      </w:r>
      <w:r w:rsidR="00EE36F1" w:rsidRPr="007E5A02">
        <w:rPr>
          <w:rFonts w:ascii="Arial" w:hAnsi="Arial" w:cs="Arial"/>
          <w:sz w:val="24"/>
          <w:szCs w:val="24"/>
        </w:rPr>
        <w:t xml:space="preserve"> (Trivedi and Mehta, 2019). </w:t>
      </w:r>
      <w:r w:rsidR="001612E0" w:rsidRPr="007E5A02">
        <w:rPr>
          <w:rFonts w:ascii="Arial" w:hAnsi="Arial" w:cs="Arial"/>
          <w:sz w:val="24"/>
          <w:szCs w:val="24"/>
        </w:rPr>
        <w:t>The final level is defined by self-actualization, which involves reaching one's maximum potential and engaging in creative pursuits.</w:t>
      </w:r>
      <w:r w:rsidR="00F5425B" w:rsidRPr="007E5A02">
        <w:rPr>
          <w:rFonts w:ascii="Arial" w:hAnsi="Arial" w:cs="Arial"/>
          <w:sz w:val="24"/>
          <w:szCs w:val="24"/>
        </w:rPr>
        <w:t xml:space="preserve"> Moreover, Maslow proposed that individuals must address their </w:t>
      </w:r>
      <w:r w:rsidR="00F94B47" w:rsidRPr="007E5A02">
        <w:rPr>
          <w:rFonts w:ascii="Arial" w:hAnsi="Arial" w:cs="Arial"/>
          <w:sz w:val="24"/>
          <w:szCs w:val="24"/>
        </w:rPr>
        <w:t>lower level</w:t>
      </w:r>
      <w:r w:rsidR="00F5425B" w:rsidRPr="007E5A02">
        <w:rPr>
          <w:rFonts w:ascii="Arial" w:hAnsi="Arial" w:cs="Arial"/>
          <w:sz w:val="24"/>
          <w:szCs w:val="24"/>
        </w:rPr>
        <w:t xml:space="preserve"> needs first in order to address the needs </w:t>
      </w:r>
      <w:r w:rsidR="00F5425B" w:rsidRPr="007E5A02">
        <w:rPr>
          <w:rFonts w:ascii="Arial" w:hAnsi="Arial" w:cs="Arial"/>
          <w:sz w:val="24"/>
          <w:szCs w:val="24"/>
        </w:rPr>
        <w:lastRenderedPageBreak/>
        <w:t>higher up in the pyramid</w:t>
      </w:r>
      <w:r w:rsidR="00AA049F" w:rsidRPr="007E5A02">
        <w:rPr>
          <w:rFonts w:ascii="Arial" w:hAnsi="Arial" w:cs="Arial"/>
          <w:sz w:val="24"/>
          <w:szCs w:val="24"/>
        </w:rPr>
        <w:t xml:space="preserve"> (Jerome, 2013). </w:t>
      </w:r>
      <w:r w:rsidR="00F94B47" w:rsidRPr="007E5A02">
        <w:rPr>
          <w:rFonts w:ascii="Arial" w:hAnsi="Arial" w:cs="Arial"/>
          <w:sz w:val="24"/>
          <w:szCs w:val="24"/>
        </w:rPr>
        <w:t>According to this theory, an employee can only attain self-actualization in the workplace if their basic, psychological, and self-realisation needs are met in a progressive manner.</w:t>
      </w:r>
    </w:p>
    <w:p w14:paraId="7DC44BDD" w14:textId="53128023" w:rsidR="009F221C" w:rsidRPr="007E5A02" w:rsidRDefault="00B27FC3" w:rsidP="007E5A02">
      <w:pPr>
        <w:rPr>
          <w:rFonts w:ascii="Arial" w:hAnsi="Arial" w:cs="Arial"/>
          <w:sz w:val="24"/>
          <w:szCs w:val="24"/>
        </w:rPr>
      </w:pPr>
      <w:r w:rsidRPr="007E5A02">
        <w:rPr>
          <w:rFonts w:ascii="Arial" w:hAnsi="Arial" w:cs="Arial"/>
          <w:sz w:val="24"/>
          <w:szCs w:val="24"/>
        </w:rPr>
        <w:t>Sainsbury's may be addressed using Maslow's Hierarchy of Needs. At the most basic level, physiological demands are satisfied through fair salaries and shift breaks, assuring workers have access to food and rest. Stable income and secure working conditions, which is critical in retail environments, are likely to address safety demands.</w:t>
      </w:r>
      <w:r w:rsidR="00643208" w:rsidRPr="007E5A02">
        <w:rPr>
          <w:rFonts w:ascii="Arial" w:hAnsi="Arial" w:cs="Arial"/>
          <w:sz w:val="24"/>
          <w:szCs w:val="24"/>
        </w:rPr>
        <w:t xml:space="preserve"> As one moves up the corporate ladder, Sainsbury's develops a sense of belonging as well as community between workers through collaborative environments of work and inclusion efforts that respond to social needs</w:t>
      </w:r>
      <w:r w:rsidR="00AA049F" w:rsidRPr="007E5A02">
        <w:rPr>
          <w:rFonts w:ascii="Arial" w:hAnsi="Arial" w:cs="Arial"/>
          <w:sz w:val="24"/>
          <w:szCs w:val="24"/>
        </w:rPr>
        <w:t xml:space="preserve"> (Jerome, 2013). </w:t>
      </w:r>
      <w:r w:rsidR="00643208" w:rsidRPr="007E5A02">
        <w:rPr>
          <w:rFonts w:ascii="Arial" w:hAnsi="Arial" w:cs="Arial"/>
          <w:sz w:val="24"/>
          <w:szCs w:val="24"/>
        </w:rPr>
        <w:t xml:space="preserve"> Recognition programmes, staff rewards, and possibilities for professional progression might all help to meet esteem demands by offering a sense of success and respect among peers.</w:t>
      </w:r>
      <w:r w:rsidR="009F221C" w:rsidRPr="007E5A02">
        <w:rPr>
          <w:rFonts w:ascii="Arial" w:hAnsi="Arial" w:cs="Arial"/>
          <w:sz w:val="24"/>
          <w:szCs w:val="24"/>
        </w:rPr>
        <w:t xml:space="preserve"> The highest level, however, self-actualization, poses an impediment in the retail industry</w:t>
      </w:r>
      <w:r w:rsidR="006638DD" w:rsidRPr="007E5A02">
        <w:rPr>
          <w:rFonts w:ascii="Arial" w:hAnsi="Arial" w:cs="Arial"/>
          <w:sz w:val="24"/>
          <w:szCs w:val="24"/>
        </w:rPr>
        <w:t xml:space="preserve"> (Sainsburys, n.d.). </w:t>
      </w:r>
      <w:r w:rsidR="009F221C" w:rsidRPr="007E5A02">
        <w:rPr>
          <w:rFonts w:ascii="Arial" w:hAnsi="Arial" w:cs="Arial"/>
          <w:sz w:val="24"/>
          <w:szCs w:val="24"/>
        </w:rPr>
        <w:t>It involves offering possibilities for personal development and fulfilment outside of regular activities. Sainsbury's tries to address this by implementing different training and development programmes that encourage staff to be creative and innovative.</w:t>
      </w:r>
      <w:r w:rsidR="002720E2" w:rsidRPr="007E5A02">
        <w:rPr>
          <w:rFonts w:ascii="Arial" w:hAnsi="Arial" w:cs="Arial"/>
          <w:sz w:val="24"/>
          <w:szCs w:val="24"/>
        </w:rPr>
        <w:t xml:space="preserve"> Even though Sainsbury's may attempt to meet these demands, the degree to which employees at various levels of the organisation are satisfied in each of these areas might vary. </w:t>
      </w:r>
    </w:p>
    <w:p w14:paraId="641FF0A8" w14:textId="36B48B90" w:rsidR="00F94B47" w:rsidRPr="007E5A02" w:rsidRDefault="00BD0E00" w:rsidP="007E5A02">
      <w:pPr>
        <w:rPr>
          <w:rFonts w:ascii="Arial" w:hAnsi="Arial" w:cs="Arial"/>
          <w:sz w:val="24"/>
          <w:szCs w:val="24"/>
        </w:rPr>
      </w:pPr>
      <w:r w:rsidRPr="007E5A02">
        <w:rPr>
          <w:rFonts w:ascii="Arial" w:hAnsi="Arial" w:cs="Arial"/>
          <w:sz w:val="24"/>
          <w:szCs w:val="24"/>
        </w:rPr>
        <w:t>It is critical to examine the ideas of Mintzberg and Fayol when comprehending management and leadership within an organisation, since they give basic foundations for analysing managerial activities and positions.</w:t>
      </w:r>
      <w:r w:rsidR="004A73E0" w:rsidRPr="007E5A02">
        <w:rPr>
          <w:rFonts w:ascii="Arial" w:hAnsi="Arial" w:cs="Arial"/>
          <w:sz w:val="24"/>
          <w:szCs w:val="24"/>
        </w:rPr>
        <w:t xml:space="preserve"> Mintzberg classified eleven management tasks </w:t>
      </w:r>
      <w:r w:rsidR="00C01A57" w:rsidRPr="007E5A02">
        <w:rPr>
          <w:rFonts w:ascii="Arial" w:hAnsi="Arial" w:cs="Arial"/>
          <w:sz w:val="24"/>
          <w:szCs w:val="24"/>
        </w:rPr>
        <w:t xml:space="preserve">in 3 categories </w:t>
      </w:r>
      <w:r w:rsidR="004A73E0" w:rsidRPr="007E5A02">
        <w:rPr>
          <w:rFonts w:ascii="Arial" w:hAnsi="Arial" w:cs="Arial"/>
          <w:sz w:val="24"/>
          <w:szCs w:val="24"/>
        </w:rPr>
        <w:t xml:space="preserve">as interpersonal </w:t>
      </w:r>
      <w:r w:rsidR="00C01A57" w:rsidRPr="007E5A02">
        <w:rPr>
          <w:rFonts w:ascii="Arial" w:hAnsi="Arial" w:cs="Arial"/>
          <w:sz w:val="24"/>
          <w:szCs w:val="24"/>
        </w:rPr>
        <w:t xml:space="preserve">such as </w:t>
      </w:r>
      <w:r w:rsidR="004A73E0" w:rsidRPr="007E5A02">
        <w:rPr>
          <w:rFonts w:ascii="Arial" w:hAnsi="Arial" w:cs="Arial"/>
          <w:sz w:val="24"/>
          <w:szCs w:val="24"/>
        </w:rPr>
        <w:t xml:space="preserve">figurehead, leader, liaison, informational </w:t>
      </w:r>
      <w:r w:rsidR="00C01A57" w:rsidRPr="007E5A02">
        <w:rPr>
          <w:rFonts w:ascii="Arial" w:hAnsi="Arial" w:cs="Arial"/>
          <w:sz w:val="24"/>
          <w:szCs w:val="24"/>
        </w:rPr>
        <w:t xml:space="preserve">like </w:t>
      </w:r>
      <w:r w:rsidR="004A73E0" w:rsidRPr="007E5A02">
        <w:rPr>
          <w:rFonts w:ascii="Arial" w:hAnsi="Arial" w:cs="Arial"/>
          <w:sz w:val="24"/>
          <w:szCs w:val="24"/>
        </w:rPr>
        <w:t xml:space="preserve">monitor, disseminator, </w:t>
      </w:r>
      <w:r w:rsidR="00F958CF" w:rsidRPr="007E5A02">
        <w:rPr>
          <w:rFonts w:ascii="Arial" w:hAnsi="Arial" w:cs="Arial"/>
          <w:sz w:val="24"/>
          <w:szCs w:val="24"/>
        </w:rPr>
        <w:t>spokesperson</w:t>
      </w:r>
      <w:r w:rsidR="004A73E0" w:rsidRPr="007E5A02">
        <w:rPr>
          <w:rFonts w:ascii="Arial" w:hAnsi="Arial" w:cs="Arial"/>
          <w:sz w:val="24"/>
          <w:szCs w:val="24"/>
        </w:rPr>
        <w:t xml:space="preserve">, and decisional </w:t>
      </w:r>
      <w:r w:rsidR="00C01A57" w:rsidRPr="007E5A02">
        <w:rPr>
          <w:rFonts w:ascii="Arial" w:hAnsi="Arial" w:cs="Arial"/>
          <w:sz w:val="24"/>
          <w:szCs w:val="24"/>
        </w:rPr>
        <w:t xml:space="preserve">such as </w:t>
      </w:r>
      <w:r w:rsidR="004A73E0" w:rsidRPr="007E5A02">
        <w:rPr>
          <w:rFonts w:ascii="Arial" w:hAnsi="Arial" w:cs="Arial"/>
          <w:sz w:val="24"/>
          <w:szCs w:val="24"/>
        </w:rPr>
        <w:t>entrepreneur, disturbance handler, resource allocator, negotiator</w:t>
      </w:r>
      <w:r w:rsidR="00F26E69" w:rsidRPr="007E5A02">
        <w:rPr>
          <w:rFonts w:ascii="Arial" w:hAnsi="Arial" w:cs="Arial"/>
          <w:sz w:val="24"/>
          <w:szCs w:val="24"/>
        </w:rPr>
        <w:t xml:space="preserve"> (Bishop, 2015). </w:t>
      </w:r>
      <w:r w:rsidR="004A73E0" w:rsidRPr="007E5A02">
        <w:rPr>
          <w:rFonts w:ascii="Arial" w:hAnsi="Arial" w:cs="Arial"/>
          <w:sz w:val="24"/>
          <w:szCs w:val="24"/>
        </w:rPr>
        <w:t xml:space="preserve">These jobs </w:t>
      </w:r>
      <w:r w:rsidR="00F958CF" w:rsidRPr="007E5A02">
        <w:rPr>
          <w:rFonts w:ascii="Arial" w:hAnsi="Arial" w:cs="Arial"/>
          <w:sz w:val="24"/>
          <w:szCs w:val="24"/>
        </w:rPr>
        <w:t>represent</w:t>
      </w:r>
      <w:r w:rsidR="004A73E0" w:rsidRPr="007E5A02">
        <w:rPr>
          <w:rFonts w:ascii="Arial" w:hAnsi="Arial" w:cs="Arial"/>
          <w:sz w:val="24"/>
          <w:szCs w:val="24"/>
        </w:rPr>
        <w:t xml:space="preserve"> the diversified, dynamic character of management labour, </w:t>
      </w:r>
      <w:r w:rsidR="00F958CF" w:rsidRPr="007E5A02">
        <w:rPr>
          <w:rFonts w:ascii="Arial" w:hAnsi="Arial" w:cs="Arial"/>
          <w:sz w:val="24"/>
          <w:szCs w:val="24"/>
        </w:rPr>
        <w:t>highlighting</w:t>
      </w:r>
      <w:r w:rsidR="004A73E0" w:rsidRPr="007E5A02">
        <w:rPr>
          <w:rFonts w:ascii="Arial" w:hAnsi="Arial" w:cs="Arial"/>
          <w:sz w:val="24"/>
          <w:szCs w:val="24"/>
        </w:rPr>
        <w:t xml:space="preserve"> the various obligations that managers bear in an organisation</w:t>
      </w:r>
      <w:r w:rsidR="003D740C" w:rsidRPr="007E5A02">
        <w:rPr>
          <w:rFonts w:ascii="Arial" w:hAnsi="Arial" w:cs="Arial"/>
          <w:sz w:val="24"/>
          <w:szCs w:val="24"/>
        </w:rPr>
        <w:t xml:space="preserve"> (DuBrin, 2013).</w:t>
      </w:r>
      <w:r w:rsidR="004E7F52" w:rsidRPr="007E5A02">
        <w:rPr>
          <w:rFonts w:ascii="Arial" w:hAnsi="Arial" w:cs="Arial"/>
          <w:sz w:val="24"/>
          <w:szCs w:val="24"/>
        </w:rPr>
        <w:t xml:space="preserve"> In contrast, Fayol offered five fundamental managerial functions such as planning, organising, commanding, coordinating, and </w:t>
      </w:r>
      <w:r w:rsidR="004E7F52" w:rsidRPr="007E5A02">
        <w:rPr>
          <w:rFonts w:ascii="Arial" w:hAnsi="Arial" w:cs="Arial"/>
          <w:sz w:val="24"/>
          <w:szCs w:val="24"/>
        </w:rPr>
        <w:lastRenderedPageBreak/>
        <w:t>regulating. The model focuses on how managers plan, organise resources, supervise people, coordinate operations, and guarantee organisational goals are accomplished efficiently</w:t>
      </w:r>
      <w:r w:rsidR="00A569DC" w:rsidRPr="007E5A02">
        <w:rPr>
          <w:rFonts w:ascii="Arial" w:hAnsi="Arial" w:cs="Arial"/>
          <w:sz w:val="24"/>
          <w:szCs w:val="24"/>
        </w:rPr>
        <w:t xml:space="preserve"> (</w:t>
      </w:r>
      <w:r w:rsidR="000B250E" w:rsidRPr="007E5A02">
        <w:rPr>
          <w:rFonts w:ascii="Arial" w:hAnsi="Arial" w:cs="Arial"/>
          <w:sz w:val="24"/>
          <w:szCs w:val="24"/>
        </w:rPr>
        <w:t>Hatchuel and</w:t>
      </w:r>
      <w:r w:rsidR="00454782" w:rsidRPr="007E5A02">
        <w:rPr>
          <w:rFonts w:ascii="Arial" w:hAnsi="Arial" w:cs="Arial"/>
          <w:sz w:val="24"/>
          <w:szCs w:val="24"/>
        </w:rPr>
        <w:t xml:space="preserve"> Segrestin, 2019).</w:t>
      </w:r>
      <w:r w:rsidR="004E7F52" w:rsidRPr="007E5A02">
        <w:rPr>
          <w:rFonts w:ascii="Arial" w:hAnsi="Arial" w:cs="Arial"/>
          <w:sz w:val="24"/>
          <w:szCs w:val="24"/>
        </w:rPr>
        <w:t xml:space="preserve"> </w:t>
      </w:r>
      <w:r w:rsidR="00F91E27" w:rsidRPr="007E5A02">
        <w:rPr>
          <w:rFonts w:ascii="Arial" w:hAnsi="Arial" w:cs="Arial"/>
          <w:sz w:val="24"/>
          <w:szCs w:val="24"/>
        </w:rPr>
        <w:t>At the same time, leadership styles, particularly transformational and transactional leadership, are extremely important. Transactional leaders prioritise routine, supervision, and focused on results duties, whereas transformational leaders motivate and inspire people via vision, stimulation of thought, and personal attention</w:t>
      </w:r>
      <w:r w:rsidR="00366605" w:rsidRPr="007E5A02">
        <w:rPr>
          <w:rFonts w:ascii="Arial" w:hAnsi="Arial" w:cs="Arial"/>
          <w:sz w:val="24"/>
          <w:szCs w:val="24"/>
        </w:rPr>
        <w:t xml:space="preserve"> (Hamstra et al., 2014).</w:t>
      </w:r>
    </w:p>
    <w:p w14:paraId="3E1C3565" w14:textId="04D033C9" w:rsidR="00EB4157" w:rsidRPr="007E5A02" w:rsidRDefault="00EB4157" w:rsidP="007E5A02">
      <w:pPr>
        <w:rPr>
          <w:rFonts w:ascii="Arial" w:hAnsi="Arial" w:cs="Arial"/>
          <w:sz w:val="24"/>
          <w:szCs w:val="24"/>
        </w:rPr>
      </w:pPr>
      <w:r w:rsidRPr="007E5A02">
        <w:rPr>
          <w:rFonts w:ascii="Arial" w:hAnsi="Arial" w:cs="Arial"/>
          <w:sz w:val="24"/>
          <w:szCs w:val="24"/>
        </w:rPr>
        <w:t>The organising of Sainsbury's extensive and diversified activities demonstrates the use of Mintzberg's managerial roles and Fayol's management functions. Mintzberg's interpersonal responsibilities are most likely embodied by the company's managers, who operate as figureheads and leaders in their stores, establishing a culture of customer service and team togetherness</w:t>
      </w:r>
      <w:r w:rsidR="00F31FDF" w:rsidRPr="007E5A02">
        <w:rPr>
          <w:rFonts w:ascii="Arial" w:hAnsi="Arial" w:cs="Arial"/>
          <w:sz w:val="24"/>
          <w:szCs w:val="24"/>
        </w:rPr>
        <w:t xml:space="preserve"> (DuBrin, 2013).</w:t>
      </w:r>
      <w:r w:rsidRPr="007E5A02">
        <w:rPr>
          <w:rFonts w:ascii="Arial" w:hAnsi="Arial" w:cs="Arial"/>
          <w:sz w:val="24"/>
          <w:szCs w:val="24"/>
        </w:rPr>
        <w:t xml:space="preserve"> They also play informative responsibilities, conveying business plans and acting as brand ambassadors.</w:t>
      </w:r>
      <w:r w:rsidR="001D2393" w:rsidRPr="007E5A02">
        <w:rPr>
          <w:rFonts w:ascii="Arial" w:hAnsi="Arial" w:cs="Arial"/>
          <w:sz w:val="24"/>
          <w:szCs w:val="24"/>
        </w:rPr>
        <w:t xml:space="preserve"> They conduct strategic allocation of resources and planning in the decisional element, which is critical for handling the complicated operations of a large retail chain.</w:t>
      </w:r>
      <w:r w:rsidR="00086827" w:rsidRPr="007E5A02">
        <w:rPr>
          <w:rFonts w:ascii="Arial" w:hAnsi="Arial" w:cs="Arial"/>
          <w:sz w:val="24"/>
          <w:szCs w:val="24"/>
        </w:rPr>
        <w:t xml:space="preserve"> Furthermore, Sainsbury's management employs Fayol's concepts in systematic planning to guarantee effectiveness and competitiveness in the retail industry. A crucial role is visible in how </w:t>
      </w:r>
      <w:r w:rsidR="000B250E" w:rsidRPr="007E5A02">
        <w:rPr>
          <w:rFonts w:ascii="Arial" w:hAnsi="Arial" w:cs="Arial"/>
          <w:sz w:val="24"/>
          <w:szCs w:val="24"/>
        </w:rPr>
        <w:t>the shops</w:t>
      </w:r>
      <w:r w:rsidR="00086827" w:rsidRPr="007E5A02">
        <w:rPr>
          <w:rFonts w:ascii="Arial" w:hAnsi="Arial" w:cs="Arial"/>
          <w:sz w:val="24"/>
          <w:szCs w:val="24"/>
        </w:rPr>
        <w:t> and supply networks are built and handled. The commanding and coordinating duties are essential for ensuring a smooth operation across several departments and shop locations</w:t>
      </w:r>
      <w:r w:rsidR="00F31FDF" w:rsidRPr="007E5A02">
        <w:rPr>
          <w:rFonts w:ascii="Arial" w:hAnsi="Arial" w:cs="Arial"/>
          <w:sz w:val="24"/>
          <w:szCs w:val="24"/>
        </w:rPr>
        <w:t xml:space="preserve"> (Bishop, 2015).</w:t>
      </w:r>
      <w:r w:rsidR="00A92B08" w:rsidRPr="007E5A02">
        <w:rPr>
          <w:rFonts w:ascii="Arial" w:hAnsi="Arial" w:cs="Arial"/>
          <w:sz w:val="24"/>
          <w:szCs w:val="24"/>
        </w:rPr>
        <w:t xml:space="preserve"> Sainsbury's leadership styles, which seems to include both transformative and transactional features, affect the company's culture and employee motivation. Transactional leadership maintains the uniformity and effectiveness of everyday activities, whereas transformational leadership can assist with drive innovation and adjusting to altering market conditions</w:t>
      </w:r>
      <w:r w:rsidR="001B4BA9" w:rsidRPr="007E5A02">
        <w:rPr>
          <w:rFonts w:ascii="Arial" w:hAnsi="Arial" w:cs="Arial"/>
          <w:sz w:val="24"/>
          <w:szCs w:val="24"/>
        </w:rPr>
        <w:t xml:space="preserve"> (Hamstra et al., 2014).</w:t>
      </w:r>
    </w:p>
    <w:p w14:paraId="5662D1D2" w14:textId="54686DED" w:rsidR="007D68B4" w:rsidRPr="007E5A02" w:rsidRDefault="00A65009" w:rsidP="007E5A02">
      <w:pPr>
        <w:rPr>
          <w:rFonts w:ascii="Arial" w:hAnsi="Arial" w:cs="Arial"/>
          <w:sz w:val="24"/>
          <w:szCs w:val="24"/>
        </w:rPr>
      </w:pPr>
      <w:r w:rsidRPr="007E5A02">
        <w:rPr>
          <w:rFonts w:ascii="Arial" w:hAnsi="Arial" w:cs="Arial"/>
          <w:sz w:val="24"/>
          <w:szCs w:val="24"/>
        </w:rPr>
        <w:t xml:space="preserve">In conclusion, this paper has examined Sainsbury's organisational structure, culture, and motivating tactics, connecting them to known management theories and practices. Sainsbury's hierarchical structure supports its expanding operations and strategic aims. The company's </w:t>
      </w:r>
      <w:r w:rsidRPr="007E5A02">
        <w:rPr>
          <w:rFonts w:ascii="Arial" w:hAnsi="Arial" w:cs="Arial"/>
          <w:sz w:val="24"/>
          <w:szCs w:val="24"/>
        </w:rPr>
        <w:lastRenderedPageBreak/>
        <w:t>culture, which is defined by a dedication to sustainability, diversity, and social responsibility, is consistent with its goal and vision, increasing brand image and staff engagement. Sainsbury's motivational techniques may be examined through the perspective of Herzberg's Two-Factor Theory and Maslow's Hierarchy of Needs, highlighting the significance of combining fundamental job pleasure with higher-level employee goals. Applying Mintzberg and Fayol's theories to Sainsbury's management and leadership practices emphasises the need of adaptation and strategic vision in leadership. To keep its competitive advantage in the continually altering retail sector, Sainsbury's might focus on improving its adaptable skills, particular in digital innovation and staff development.</w:t>
      </w:r>
    </w:p>
    <w:p w14:paraId="0C77FAD4" w14:textId="77777777" w:rsidR="002633B4" w:rsidRDefault="002633B4" w:rsidP="00E73856">
      <w:pPr>
        <w:rPr>
          <w:rFonts w:ascii="Arial" w:hAnsi="Arial" w:cs="Arial"/>
          <w:sz w:val="24"/>
          <w:szCs w:val="24"/>
        </w:rPr>
      </w:pPr>
    </w:p>
    <w:p w14:paraId="76F97FA9" w14:textId="77777777" w:rsidR="002633B4" w:rsidRDefault="002633B4" w:rsidP="00E73856">
      <w:pPr>
        <w:rPr>
          <w:rFonts w:ascii="Arial" w:hAnsi="Arial" w:cs="Arial"/>
          <w:sz w:val="24"/>
          <w:szCs w:val="24"/>
        </w:rPr>
      </w:pPr>
    </w:p>
    <w:p w14:paraId="03073FFE" w14:textId="77777777" w:rsidR="002633B4" w:rsidRDefault="002633B4" w:rsidP="00E73856">
      <w:pPr>
        <w:rPr>
          <w:rFonts w:ascii="Arial" w:hAnsi="Arial" w:cs="Arial"/>
          <w:sz w:val="24"/>
          <w:szCs w:val="24"/>
        </w:rPr>
      </w:pPr>
    </w:p>
    <w:p w14:paraId="40838824" w14:textId="77777777" w:rsidR="002633B4" w:rsidRDefault="002633B4" w:rsidP="00E73856">
      <w:pPr>
        <w:rPr>
          <w:rFonts w:ascii="Arial" w:hAnsi="Arial" w:cs="Arial"/>
          <w:sz w:val="24"/>
          <w:szCs w:val="24"/>
        </w:rPr>
      </w:pPr>
    </w:p>
    <w:p w14:paraId="5FCC6163" w14:textId="77777777" w:rsidR="002633B4" w:rsidRDefault="002633B4" w:rsidP="00E73856">
      <w:pPr>
        <w:rPr>
          <w:rFonts w:ascii="Arial" w:hAnsi="Arial" w:cs="Arial"/>
          <w:sz w:val="24"/>
          <w:szCs w:val="24"/>
        </w:rPr>
      </w:pPr>
    </w:p>
    <w:p w14:paraId="0DA205F9" w14:textId="77777777" w:rsidR="002633B4" w:rsidRDefault="002633B4" w:rsidP="00E73856">
      <w:pPr>
        <w:rPr>
          <w:rFonts w:ascii="Arial" w:hAnsi="Arial" w:cs="Arial"/>
          <w:sz w:val="24"/>
          <w:szCs w:val="24"/>
        </w:rPr>
      </w:pPr>
    </w:p>
    <w:p w14:paraId="7592280C" w14:textId="77777777" w:rsidR="002633B4" w:rsidRDefault="002633B4" w:rsidP="00E73856">
      <w:pPr>
        <w:rPr>
          <w:rFonts w:ascii="Arial" w:hAnsi="Arial" w:cs="Arial"/>
          <w:sz w:val="24"/>
          <w:szCs w:val="24"/>
        </w:rPr>
      </w:pPr>
    </w:p>
    <w:p w14:paraId="2CEC59E9" w14:textId="77777777" w:rsidR="002633B4" w:rsidRDefault="002633B4" w:rsidP="00E73856">
      <w:pPr>
        <w:rPr>
          <w:rFonts w:ascii="Arial" w:hAnsi="Arial" w:cs="Arial"/>
          <w:sz w:val="24"/>
          <w:szCs w:val="24"/>
        </w:rPr>
      </w:pPr>
    </w:p>
    <w:p w14:paraId="3C5CF849" w14:textId="77777777" w:rsidR="002633B4" w:rsidRDefault="002633B4" w:rsidP="00E73856">
      <w:pPr>
        <w:rPr>
          <w:rFonts w:ascii="Arial" w:hAnsi="Arial" w:cs="Arial"/>
          <w:sz w:val="24"/>
          <w:szCs w:val="24"/>
        </w:rPr>
      </w:pPr>
    </w:p>
    <w:p w14:paraId="073435BE" w14:textId="77777777" w:rsidR="002633B4" w:rsidRDefault="002633B4" w:rsidP="00E73856">
      <w:pPr>
        <w:rPr>
          <w:rFonts w:ascii="Arial" w:hAnsi="Arial" w:cs="Arial"/>
          <w:sz w:val="24"/>
          <w:szCs w:val="24"/>
        </w:rPr>
      </w:pPr>
    </w:p>
    <w:p w14:paraId="55B2A28A" w14:textId="77777777" w:rsidR="002633B4" w:rsidRDefault="002633B4" w:rsidP="00E73856">
      <w:pPr>
        <w:rPr>
          <w:rFonts w:ascii="Arial" w:hAnsi="Arial" w:cs="Arial"/>
          <w:sz w:val="24"/>
          <w:szCs w:val="24"/>
        </w:rPr>
      </w:pPr>
    </w:p>
    <w:p w14:paraId="7A5F1274" w14:textId="77777777" w:rsidR="002633B4" w:rsidRDefault="002633B4" w:rsidP="00E73856">
      <w:pPr>
        <w:rPr>
          <w:rFonts w:ascii="Arial" w:hAnsi="Arial" w:cs="Arial"/>
          <w:sz w:val="24"/>
          <w:szCs w:val="24"/>
        </w:rPr>
      </w:pPr>
    </w:p>
    <w:p w14:paraId="3B20DFE3" w14:textId="77777777" w:rsidR="00467D83" w:rsidRDefault="00467D83" w:rsidP="00E73856">
      <w:pPr>
        <w:rPr>
          <w:rFonts w:ascii="Arial" w:hAnsi="Arial" w:cs="Arial"/>
          <w:sz w:val="24"/>
          <w:szCs w:val="24"/>
        </w:rPr>
      </w:pPr>
    </w:p>
    <w:p w14:paraId="029F1DD9" w14:textId="77777777" w:rsidR="00467D83" w:rsidRDefault="00467D83" w:rsidP="00E73856">
      <w:pPr>
        <w:rPr>
          <w:rFonts w:ascii="Arial" w:hAnsi="Arial" w:cs="Arial"/>
          <w:sz w:val="24"/>
          <w:szCs w:val="24"/>
        </w:rPr>
      </w:pPr>
    </w:p>
    <w:p w14:paraId="27856169" w14:textId="77777777" w:rsidR="002633B4" w:rsidRDefault="002633B4" w:rsidP="00E73856">
      <w:pPr>
        <w:rPr>
          <w:rFonts w:ascii="Arial" w:hAnsi="Arial" w:cs="Arial"/>
          <w:sz w:val="24"/>
          <w:szCs w:val="24"/>
        </w:rPr>
      </w:pPr>
    </w:p>
    <w:p w14:paraId="5816B5AB" w14:textId="77777777" w:rsidR="002633B4" w:rsidRPr="007E5A02" w:rsidRDefault="002633B4" w:rsidP="001B4BA9">
      <w:pPr>
        <w:ind w:left="0"/>
        <w:rPr>
          <w:rFonts w:ascii="Arial" w:hAnsi="Arial" w:cs="Arial"/>
          <w:sz w:val="24"/>
          <w:szCs w:val="24"/>
        </w:rPr>
      </w:pPr>
    </w:p>
    <w:p w14:paraId="4B333C07" w14:textId="0EEA8A8A" w:rsidR="002633B4" w:rsidRPr="007E5A02" w:rsidRDefault="002633B4" w:rsidP="001B4BA9">
      <w:pPr>
        <w:rPr>
          <w:rFonts w:ascii="Arial" w:hAnsi="Arial" w:cs="Arial"/>
          <w:b/>
          <w:bCs/>
          <w:sz w:val="24"/>
          <w:szCs w:val="24"/>
        </w:rPr>
      </w:pPr>
      <w:r w:rsidRPr="007E5A02">
        <w:rPr>
          <w:rFonts w:ascii="Arial" w:hAnsi="Arial" w:cs="Arial"/>
          <w:b/>
          <w:bCs/>
          <w:sz w:val="24"/>
          <w:szCs w:val="24"/>
        </w:rPr>
        <w:lastRenderedPageBreak/>
        <w:t>References:</w:t>
      </w:r>
    </w:p>
    <w:p w14:paraId="747632C5" w14:textId="35D2A78B" w:rsidR="001A773F" w:rsidRPr="007E5A02" w:rsidRDefault="00213E06" w:rsidP="001B4BA9">
      <w:pPr>
        <w:pStyle w:val="NormalWeb"/>
        <w:spacing w:before="0" w:beforeAutospacing="0" w:after="0" w:afterAutospacing="0" w:line="360" w:lineRule="auto"/>
        <w:jc w:val="both"/>
        <w:rPr>
          <w:rFonts w:ascii="Arial" w:hAnsi="Arial" w:cs="Arial"/>
        </w:rPr>
      </w:pPr>
      <w:r w:rsidRPr="007E5A02">
        <w:rPr>
          <w:rFonts w:ascii="Arial" w:hAnsi="Arial" w:cs="Arial"/>
        </w:rPr>
        <w:t>‌</w:t>
      </w:r>
      <w:r w:rsidR="001A773F" w:rsidRPr="007E5A02">
        <w:rPr>
          <w:rFonts w:ascii="Arial" w:hAnsi="Arial" w:cs="Arial"/>
        </w:rPr>
        <w:t xml:space="preserve">Alfayad, Z. and Ari̇fL.S.M. (2017). </w:t>
      </w:r>
      <w:r w:rsidR="001A773F" w:rsidRPr="00853E34">
        <w:rPr>
          <w:rFonts w:ascii="Arial" w:hAnsi="Arial" w:cs="Arial"/>
          <w:i/>
          <w:iCs/>
        </w:rPr>
        <w:t>Employee Voice and Job Satisfaction: An Application of Herzberg Two-factor Theory</w:t>
      </w:r>
      <w:r w:rsidR="001A773F" w:rsidRPr="007E5A02">
        <w:rPr>
          <w:rFonts w:ascii="Arial" w:hAnsi="Arial" w:cs="Arial"/>
        </w:rPr>
        <w:t>. International Review of Management and Marketing, 7(1), pp.150–156.</w:t>
      </w:r>
    </w:p>
    <w:p w14:paraId="63967EE0" w14:textId="77777777" w:rsidR="00F26E69" w:rsidRPr="007E5A02" w:rsidRDefault="00F26E69" w:rsidP="001B4BA9">
      <w:pPr>
        <w:pStyle w:val="NormalWeb"/>
        <w:spacing w:before="0" w:beforeAutospacing="0" w:after="0" w:afterAutospacing="0" w:line="360" w:lineRule="auto"/>
        <w:jc w:val="both"/>
        <w:rPr>
          <w:rFonts w:ascii="Arial" w:hAnsi="Arial" w:cs="Arial"/>
        </w:rPr>
      </w:pPr>
    </w:p>
    <w:p w14:paraId="2F924AA2" w14:textId="14382328" w:rsidR="00F26E69" w:rsidRPr="007E5A02" w:rsidRDefault="00F26E69" w:rsidP="001B4BA9">
      <w:pPr>
        <w:pStyle w:val="NormalWeb"/>
        <w:spacing w:before="0" w:beforeAutospacing="0" w:after="0" w:afterAutospacing="0" w:line="360" w:lineRule="auto"/>
        <w:jc w:val="both"/>
        <w:rPr>
          <w:rFonts w:ascii="Arial" w:hAnsi="Arial" w:cs="Arial"/>
          <w:shd w:val="clear" w:color="auto" w:fill="FFFFFF"/>
        </w:rPr>
      </w:pPr>
      <w:r w:rsidRPr="007E5A02">
        <w:rPr>
          <w:rFonts w:ascii="Arial" w:hAnsi="Arial" w:cs="Arial"/>
          <w:shd w:val="clear" w:color="auto" w:fill="FFFFFF"/>
        </w:rPr>
        <w:t xml:space="preserve">Bishop, S., 2015. </w:t>
      </w:r>
      <w:r w:rsidRPr="00853E34">
        <w:rPr>
          <w:rFonts w:ascii="Arial" w:hAnsi="Arial" w:cs="Arial"/>
          <w:i/>
          <w:iCs/>
          <w:shd w:val="clear" w:color="auto" w:fill="FFFFFF"/>
        </w:rPr>
        <w:t>Theories of organizational behavior and leadership. Philosophies and theories for advanced nursing practice</w:t>
      </w:r>
      <w:r w:rsidRPr="007E5A02">
        <w:rPr>
          <w:rFonts w:ascii="Arial" w:hAnsi="Arial" w:cs="Arial"/>
          <w:shd w:val="clear" w:color="auto" w:fill="FFFFFF"/>
        </w:rPr>
        <w:t>, pp.339-354.</w:t>
      </w:r>
    </w:p>
    <w:p w14:paraId="65752AD4" w14:textId="77777777" w:rsidR="009E4E94" w:rsidRPr="007E5A02" w:rsidRDefault="009E4E94" w:rsidP="001B4BA9">
      <w:pPr>
        <w:pStyle w:val="NormalWeb"/>
        <w:spacing w:before="0" w:beforeAutospacing="0" w:after="0" w:afterAutospacing="0" w:line="360" w:lineRule="auto"/>
        <w:jc w:val="both"/>
        <w:rPr>
          <w:rFonts w:ascii="Arial" w:hAnsi="Arial" w:cs="Arial"/>
          <w:shd w:val="clear" w:color="auto" w:fill="FFFFFF"/>
        </w:rPr>
      </w:pPr>
    </w:p>
    <w:p w14:paraId="1DE48909" w14:textId="248F7EC2" w:rsidR="009E4E94" w:rsidRPr="007E5A02" w:rsidRDefault="009E4E94" w:rsidP="001B4BA9">
      <w:pPr>
        <w:pStyle w:val="NormalWeb"/>
        <w:spacing w:before="0" w:beforeAutospacing="0" w:after="0" w:afterAutospacing="0" w:line="360" w:lineRule="auto"/>
        <w:jc w:val="both"/>
        <w:rPr>
          <w:rFonts w:ascii="Arial" w:hAnsi="Arial" w:cs="Arial"/>
        </w:rPr>
      </w:pPr>
      <w:r w:rsidRPr="007E5A02">
        <w:rPr>
          <w:rFonts w:ascii="Arial" w:hAnsi="Arial" w:cs="Arial"/>
        </w:rPr>
        <w:t>DuBrin, A.J. (2013). </w:t>
      </w:r>
      <w:r w:rsidRPr="00853E34">
        <w:rPr>
          <w:rFonts w:ascii="Arial" w:hAnsi="Arial" w:cs="Arial"/>
          <w:i/>
          <w:iCs/>
        </w:rPr>
        <w:t>Fundamentals of Organizational Behavior: An Applied Perspective</w:t>
      </w:r>
      <w:r w:rsidRPr="007E5A02">
        <w:rPr>
          <w:rFonts w:ascii="Arial" w:hAnsi="Arial" w:cs="Arial"/>
        </w:rPr>
        <w:t>. [online] Google Books. Elsevier. Available at: https://books.google.co.uk/books?hl=en&amp;lr=&amp;id=ON9sBQAAQBAJ&amp;oi=fnd&amp;pg=PP1&amp;dq=organizational+behavior+essential+theories&amp;ots=q8SvPACNMu&amp;sig=feQL0MHpi_YBAWQtp6P7EGuRJx0&amp;redir_esc=y#v=onepage&amp;q=organizational%20behavior%20essential%20theories&amp;f=false [Accessed 1 Dec. 2023].</w:t>
      </w:r>
    </w:p>
    <w:p w14:paraId="78D0561B" w14:textId="77777777" w:rsidR="00340547" w:rsidRPr="007E5A02" w:rsidRDefault="00340547" w:rsidP="001B4BA9">
      <w:pPr>
        <w:pStyle w:val="NormalWeb"/>
        <w:spacing w:before="0" w:beforeAutospacing="0" w:after="0" w:afterAutospacing="0" w:line="360" w:lineRule="auto"/>
        <w:jc w:val="both"/>
        <w:rPr>
          <w:rFonts w:ascii="Arial" w:hAnsi="Arial" w:cs="Arial"/>
        </w:rPr>
      </w:pPr>
    </w:p>
    <w:p w14:paraId="485F7486" w14:textId="77777777" w:rsidR="00366605" w:rsidRPr="00366605" w:rsidRDefault="00366605" w:rsidP="001B4BA9">
      <w:pPr>
        <w:spacing w:after="0"/>
        <w:ind w:left="0" w:right="0"/>
        <w:rPr>
          <w:rFonts w:ascii="Arial" w:eastAsia="Times New Roman" w:hAnsi="Arial" w:cs="Arial"/>
          <w:kern w:val="0"/>
          <w:sz w:val="24"/>
          <w:szCs w:val="24"/>
          <w:lang w:eastAsia="en-GB"/>
          <w14:ligatures w14:val="none"/>
        </w:rPr>
      </w:pPr>
      <w:r w:rsidRPr="00366605">
        <w:rPr>
          <w:rFonts w:ascii="Arial" w:eastAsia="Times New Roman" w:hAnsi="Arial" w:cs="Arial"/>
          <w:kern w:val="0"/>
          <w:sz w:val="24"/>
          <w:szCs w:val="24"/>
          <w:lang w:eastAsia="en-GB"/>
          <w14:ligatures w14:val="none"/>
        </w:rPr>
        <w:t>Hamstra, M.R.W., Van Yperen, N.W., Wisse, B. and Sassenberg, K. (2014) ‘</w:t>
      </w:r>
      <w:r w:rsidRPr="00853E34">
        <w:rPr>
          <w:rFonts w:ascii="Arial" w:eastAsia="Times New Roman" w:hAnsi="Arial" w:cs="Arial"/>
          <w:i/>
          <w:iCs/>
          <w:kern w:val="0"/>
          <w:sz w:val="24"/>
          <w:szCs w:val="24"/>
          <w:lang w:eastAsia="en-GB"/>
          <w14:ligatures w14:val="none"/>
        </w:rPr>
        <w:t>Transformational and Transactional Leadership and Followers’ Achievement Goals’</w:t>
      </w:r>
      <w:r w:rsidRPr="00366605">
        <w:rPr>
          <w:rFonts w:ascii="Arial" w:eastAsia="Times New Roman" w:hAnsi="Arial" w:cs="Arial"/>
          <w:kern w:val="0"/>
          <w:sz w:val="24"/>
          <w:szCs w:val="24"/>
          <w:lang w:eastAsia="en-GB"/>
          <w14:ligatures w14:val="none"/>
        </w:rPr>
        <w:t>, Journal of business and psychology., 29(3), pp. 413–425. Available at: https://doi.org/10.1007/s10869-013-9322-9.</w:t>
      </w:r>
    </w:p>
    <w:p w14:paraId="0EC4AF95" w14:textId="77777777" w:rsidR="00366605" w:rsidRPr="007E5A02" w:rsidRDefault="00366605" w:rsidP="001B4BA9">
      <w:pPr>
        <w:pStyle w:val="NormalWeb"/>
        <w:spacing w:before="0" w:beforeAutospacing="0" w:after="0" w:afterAutospacing="0" w:line="360" w:lineRule="auto"/>
        <w:jc w:val="both"/>
        <w:rPr>
          <w:rFonts w:ascii="Arial" w:hAnsi="Arial" w:cs="Arial"/>
        </w:rPr>
      </w:pPr>
    </w:p>
    <w:p w14:paraId="4D8281FA" w14:textId="7649F013" w:rsidR="00340547" w:rsidRPr="007E5A02" w:rsidRDefault="00340547" w:rsidP="001B4BA9">
      <w:pPr>
        <w:spacing w:after="0"/>
        <w:ind w:left="0" w:right="0"/>
        <w:rPr>
          <w:rFonts w:ascii="Arial" w:eastAsia="Times New Roman" w:hAnsi="Arial" w:cs="Arial"/>
          <w:kern w:val="0"/>
          <w:sz w:val="24"/>
          <w:szCs w:val="24"/>
          <w:lang w:eastAsia="en-GB"/>
          <w14:ligatures w14:val="none"/>
        </w:rPr>
      </w:pPr>
      <w:r w:rsidRPr="00340547">
        <w:rPr>
          <w:rFonts w:ascii="Arial" w:eastAsia="Times New Roman" w:hAnsi="Arial" w:cs="Arial"/>
          <w:kern w:val="0"/>
          <w:sz w:val="24"/>
          <w:szCs w:val="24"/>
          <w:lang w:eastAsia="en-GB"/>
          <w14:ligatures w14:val="none"/>
        </w:rPr>
        <w:t>Hatchuel, A. and Segrestin, B. (2019) ‘</w:t>
      </w:r>
      <w:r w:rsidRPr="00853E34">
        <w:rPr>
          <w:rFonts w:ascii="Arial" w:eastAsia="Times New Roman" w:hAnsi="Arial" w:cs="Arial"/>
          <w:i/>
          <w:iCs/>
          <w:kern w:val="0"/>
          <w:sz w:val="24"/>
          <w:szCs w:val="24"/>
          <w:lang w:eastAsia="en-GB"/>
          <w14:ligatures w14:val="none"/>
        </w:rPr>
        <w:t>A century old and still visionary: Fayol’s innovative theory of management’</w:t>
      </w:r>
      <w:r w:rsidRPr="00340547">
        <w:rPr>
          <w:rFonts w:ascii="Arial" w:eastAsia="Times New Roman" w:hAnsi="Arial" w:cs="Arial"/>
          <w:kern w:val="0"/>
          <w:sz w:val="24"/>
          <w:szCs w:val="24"/>
          <w:lang w:eastAsia="en-GB"/>
          <w14:ligatures w14:val="none"/>
        </w:rPr>
        <w:t>, European management review., 16(2), pp. 399–412. Available at: https://doi.org/10.1111/emre.12292.</w:t>
      </w:r>
    </w:p>
    <w:p w14:paraId="3DCCD3B1" w14:textId="6E6BBA30" w:rsidR="002633B4" w:rsidRPr="007E5A02" w:rsidRDefault="001A773F" w:rsidP="001B4BA9">
      <w:pPr>
        <w:pStyle w:val="NormalWeb"/>
        <w:spacing w:line="360" w:lineRule="auto"/>
        <w:jc w:val="both"/>
        <w:rPr>
          <w:rFonts w:ascii="Arial" w:hAnsi="Arial" w:cs="Arial"/>
        </w:rPr>
      </w:pPr>
      <w:r w:rsidRPr="007E5A02">
        <w:rPr>
          <w:rFonts w:ascii="Arial" w:hAnsi="Arial" w:cs="Arial"/>
        </w:rPr>
        <w:t>‌</w:t>
      </w:r>
      <w:r w:rsidR="00213E06" w:rsidRPr="007E5A02">
        <w:rPr>
          <w:rFonts w:ascii="Arial" w:hAnsi="Arial" w:cs="Arial"/>
        </w:rPr>
        <w:t xml:space="preserve">IBISWorld (2023). </w:t>
      </w:r>
      <w:r w:rsidR="00213E06" w:rsidRPr="00853E34">
        <w:rPr>
          <w:rFonts w:ascii="Arial" w:hAnsi="Arial" w:cs="Arial"/>
          <w:i/>
          <w:iCs/>
        </w:rPr>
        <w:t>Supermarkets in the UK</w:t>
      </w:r>
      <w:r w:rsidR="00213E06" w:rsidRPr="007E5A02">
        <w:rPr>
          <w:rFonts w:ascii="Arial" w:hAnsi="Arial" w:cs="Arial"/>
        </w:rPr>
        <w:t xml:space="preserve">. [online] Available at: </w:t>
      </w:r>
      <w:hyperlink r:id="rId8" w:history="1">
        <w:r w:rsidR="00213E06" w:rsidRPr="007E5A02">
          <w:rPr>
            <w:rStyle w:val="Hyperlink"/>
            <w:rFonts w:ascii="Arial" w:hAnsi="Arial" w:cs="Arial"/>
            <w:color w:val="auto"/>
          </w:rPr>
          <w:t>https://my.ibisworld.com/uk/en/industry/g47.110/at-a-glance</w:t>
        </w:r>
      </w:hyperlink>
      <w:r w:rsidR="00213E06" w:rsidRPr="007E5A02">
        <w:rPr>
          <w:rFonts w:ascii="Arial" w:hAnsi="Arial" w:cs="Arial"/>
        </w:rPr>
        <w:t>.</w:t>
      </w:r>
    </w:p>
    <w:p w14:paraId="4965135F" w14:textId="35FA7B14" w:rsidR="006413CE" w:rsidRPr="007E5A02" w:rsidRDefault="00276EB9" w:rsidP="001B4BA9">
      <w:pPr>
        <w:pStyle w:val="NormalWeb"/>
        <w:spacing w:line="360" w:lineRule="auto"/>
        <w:jc w:val="both"/>
        <w:rPr>
          <w:rFonts w:ascii="Arial" w:hAnsi="Arial" w:cs="Arial"/>
        </w:rPr>
      </w:pPr>
      <w:r w:rsidRPr="007E5A02">
        <w:rPr>
          <w:rFonts w:ascii="Arial" w:hAnsi="Arial" w:cs="Arial"/>
          <w:shd w:val="clear" w:color="auto" w:fill="FFFFFF"/>
        </w:rPr>
        <w:t xml:space="preserve">Jerome, N., 2013. </w:t>
      </w:r>
      <w:r w:rsidRPr="00437818">
        <w:rPr>
          <w:rFonts w:ascii="Arial" w:hAnsi="Arial" w:cs="Arial"/>
          <w:i/>
          <w:iCs/>
          <w:shd w:val="clear" w:color="auto" w:fill="FFFFFF"/>
        </w:rPr>
        <w:t>Application of the Maslow’s hierarchy of need theory</w:t>
      </w:r>
      <w:r w:rsidRPr="007E5A02">
        <w:rPr>
          <w:rFonts w:ascii="Arial" w:hAnsi="Arial" w:cs="Arial"/>
          <w:shd w:val="clear" w:color="auto" w:fill="FFFFFF"/>
        </w:rPr>
        <w:t>; impacts and implications on organizational culture, human resource and employee’s performance. International journal of business and management invention, 2(3), pp.39-45.</w:t>
      </w:r>
    </w:p>
    <w:p w14:paraId="24A4DB42" w14:textId="1BF795F1" w:rsidR="00213E06" w:rsidRPr="007E5A02" w:rsidRDefault="006413CE" w:rsidP="001B4BA9">
      <w:pPr>
        <w:pStyle w:val="NormalWeb"/>
        <w:spacing w:before="0" w:beforeAutospacing="0" w:after="0" w:afterAutospacing="0" w:line="360" w:lineRule="auto"/>
        <w:jc w:val="both"/>
        <w:rPr>
          <w:rFonts w:ascii="Arial" w:hAnsi="Arial" w:cs="Arial"/>
        </w:rPr>
      </w:pPr>
      <w:r w:rsidRPr="007E5A02">
        <w:rPr>
          <w:rFonts w:ascii="Arial" w:hAnsi="Arial" w:cs="Arial"/>
          <w:shd w:val="clear" w:color="auto" w:fill="FFFFFF"/>
        </w:rPr>
        <w:t xml:space="preserve">Nasaireh, M.A., Abdullah, A.H. and Obeidat, K.A., 2019. </w:t>
      </w:r>
      <w:r w:rsidRPr="00437818">
        <w:rPr>
          <w:rFonts w:ascii="Arial" w:hAnsi="Arial" w:cs="Arial"/>
          <w:i/>
          <w:iCs/>
          <w:shd w:val="clear" w:color="auto" w:fill="FFFFFF"/>
        </w:rPr>
        <w:t xml:space="preserve">The relationship between cultural types according to handy’s model and organizational structure in jordanian </w:t>
      </w:r>
      <w:r w:rsidRPr="00437818">
        <w:rPr>
          <w:rFonts w:ascii="Arial" w:hAnsi="Arial" w:cs="Arial"/>
          <w:i/>
          <w:iCs/>
          <w:shd w:val="clear" w:color="auto" w:fill="FFFFFF"/>
        </w:rPr>
        <w:lastRenderedPageBreak/>
        <w:t>public universities</w:t>
      </w:r>
      <w:r w:rsidRPr="007E5A02">
        <w:rPr>
          <w:rFonts w:ascii="Arial" w:hAnsi="Arial" w:cs="Arial"/>
          <w:shd w:val="clear" w:color="auto" w:fill="FFFFFF"/>
        </w:rPr>
        <w:t>. </w:t>
      </w:r>
      <w:r w:rsidRPr="007E5A02">
        <w:rPr>
          <w:rFonts w:ascii="Arial" w:hAnsi="Arial" w:cs="Arial"/>
        </w:rPr>
        <w:t xml:space="preserve"> [online] Available at: </w:t>
      </w:r>
      <w:hyperlink r:id="rId9" w:history="1">
        <w:r w:rsidRPr="007E5A02">
          <w:rPr>
            <w:rStyle w:val="Hyperlink"/>
            <w:rFonts w:ascii="Arial" w:hAnsi="Arial" w:cs="Arial"/>
            <w:color w:val="auto"/>
          </w:rPr>
          <w:t>https://www.researchgate.net/profile/Abdul-Hakim-Abdullah-2/publication/334270453_The_Relationship_Between_Cultural_Types_According_to_Handy</w:t>
        </w:r>
      </w:hyperlink>
    </w:p>
    <w:p w14:paraId="43EFFB1B" w14:textId="77777777" w:rsidR="00C70215" w:rsidRPr="007E5A02" w:rsidRDefault="00C70215" w:rsidP="001B4BA9">
      <w:pPr>
        <w:pStyle w:val="NormalWeb"/>
        <w:spacing w:before="0" w:beforeAutospacing="0" w:after="0" w:afterAutospacing="0" w:line="360" w:lineRule="auto"/>
        <w:jc w:val="both"/>
        <w:rPr>
          <w:rFonts w:ascii="Arial" w:hAnsi="Arial" w:cs="Arial"/>
        </w:rPr>
      </w:pPr>
    </w:p>
    <w:p w14:paraId="3D635A8F" w14:textId="723BCB55" w:rsidR="00C70215" w:rsidRPr="007E5A02" w:rsidRDefault="00C70215" w:rsidP="001B4BA9">
      <w:pPr>
        <w:pStyle w:val="NormalWeb"/>
        <w:spacing w:before="0" w:beforeAutospacing="0" w:after="0" w:afterAutospacing="0" w:line="360" w:lineRule="auto"/>
        <w:jc w:val="both"/>
        <w:rPr>
          <w:rFonts w:ascii="Arial" w:hAnsi="Arial" w:cs="Arial"/>
        </w:rPr>
      </w:pPr>
      <w:r w:rsidRPr="007E5A02">
        <w:rPr>
          <w:rFonts w:ascii="Arial" w:hAnsi="Arial" w:cs="Arial"/>
        </w:rPr>
        <w:t>Prasad Kotni, V.V.D. and Karumuri, V. (2018</w:t>
      </w:r>
      <w:r w:rsidRPr="00437818">
        <w:rPr>
          <w:rFonts w:ascii="Arial" w:hAnsi="Arial" w:cs="Arial"/>
          <w:i/>
          <w:iCs/>
        </w:rPr>
        <w:t>). Application of Herzberg Two-Factor Theory Model for Motivating Retail Salesforce</w:t>
      </w:r>
      <w:r w:rsidRPr="007E5A02">
        <w:rPr>
          <w:rFonts w:ascii="Arial" w:hAnsi="Arial" w:cs="Arial"/>
        </w:rPr>
        <w:t>. IUP Journal of Organizational Behavior, [online] 17(1), pp.24–42. Available at: https://web.s.ebscohost.com/ehost/detail/detail?vid=0&amp;sid=e6327c17-f2e3-4772-a5c9-ed215cde4081%40redis&amp;bdata=JnNpdGU9ZWhvc3QtbGl2ZQ%3d%3d#AN=127994294&amp;db=buh [Accessed 1 Dec. 2023].</w:t>
      </w:r>
    </w:p>
    <w:p w14:paraId="56E89F9A" w14:textId="77777777" w:rsidR="006413CE" w:rsidRPr="007E5A02" w:rsidRDefault="006413CE" w:rsidP="001B4BA9">
      <w:pPr>
        <w:pStyle w:val="NormalWeb"/>
        <w:spacing w:before="0" w:beforeAutospacing="0" w:after="0" w:afterAutospacing="0" w:line="360" w:lineRule="auto"/>
        <w:jc w:val="both"/>
        <w:rPr>
          <w:rFonts w:ascii="Arial" w:hAnsi="Arial" w:cs="Arial"/>
        </w:rPr>
      </w:pPr>
    </w:p>
    <w:p w14:paraId="0DCCE8C0" w14:textId="54AB6A4D" w:rsidR="001A76BF" w:rsidRPr="007E5A02" w:rsidRDefault="001A76BF" w:rsidP="001B4BA9">
      <w:pPr>
        <w:pStyle w:val="NormalWeb"/>
        <w:spacing w:before="0" w:beforeAutospacing="0" w:after="0" w:afterAutospacing="0" w:line="360" w:lineRule="auto"/>
        <w:jc w:val="both"/>
        <w:rPr>
          <w:rFonts w:ascii="Arial" w:hAnsi="Arial" w:cs="Arial"/>
        </w:rPr>
      </w:pPr>
      <w:r w:rsidRPr="007E5A02">
        <w:rPr>
          <w:rFonts w:ascii="Arial" w:hAnsi="Arial" w:cs="Arial"/>
        </w:rPr>
        <w:t xml:space="preserve">Robbins, S., and Judge, </w:t>
      </w:r>
      <w:r w:rsidR="0098599E" w:rsidRPr="007E5A02">
        <w:rPr>
          <w:rFonts w:ascii="Arial" w:hAnsi="Arial" w:cs="Arial"/>
        </w:rPr>
        <w:t>T., (</w:t>
      </w:r>
      <w:r w:rsidRPr="007E5A02">
        <w:rPr>
          <w:rFonts w:ascii="Arial" w:hAnsi="Arial" w:cs="Arial"/>
        </w:rPr>
        <w:t xml:space="preserve">2017). Thirteenth Edition Global Edition Essentials of </w:t>
      </w:r>
      <w:r w:rsidRPr="00882080">
        <w:rPr>
          <w:rFonts w:ascii="Arial" w:hAnsi="Arial" w:cs="Arial"/>
          <w:i/>
          <w:iCs/>
        </w:rPr>
        <w:t>Organizational Behavior Acknowledgments</w:t>
      </w:r>
      <w:r w:rsidRPr="007E5A02">
        <w:rPr>
          <w:rFonts w:ascii="Arial" w:hAnsi="Arial" w:cs="Arial"/>
        </w:rPr>
        <w:t xml:space="preserve"> 20. [online] Available at: </w:t>
      </w:r>
      <w:hyperlink r:id="rId10" w:history="1">
        <w:r w:rsidR="004D0AD2" w:rsidRPr="007E5A02">
          <w:rPr>
            <w:rStyle w:val="Hyperlink"/>
            <w:rFonts w:ascii="Arial" w:hAnsi="Arial" w:cs="Arial"/>
            <w:color w:val="auto"/>
          </w:rPr>
          <w:t>https://toc.library.ethz.ch/objects/pdf03/e01_978-1-292-09007-8_01.pdf</w:t>
        </w:r>
      </w:hyperlink>
      <w:r w:rsidRPr="007E5A02">
        <w:rPr>
          <w:rFonts w:ascii="Arial" w:hAnsi="Arial" w:cs="Arial"/>
        </w:rPr>
        <w:t>.</w:t>
      </w:r>
    </w:p>
    <w:p w14:paraId="03509879" w14:textId="77777777" w:rsidR="004D0AD2" w:rsidRPr="007E5A02" w:rsidRDefault="004D0AD2" w:rsidP="001B4BA9">
      <w:pPr>
        <w:pStyle w:val="NormalWeb"/>
        <w:spacing w:before="0" w:beforeAutospacing="0" w:after="0" w:afterAutospacing="0" w:line="360" w:lineRule="auto"/>
        <w:jc w:val="both"/>
        <w:rPr>
          <w:rFonts w:ascii="Arial" w:hAnsi="Arial" w:cs="Arial"/>
        </w:rPr>
      </w:pPr>
    </w:p>
    <w:p w14:paraId="4C6035F2" w14:textId="3D62DF7A" w:rsidR="004D0AD2" w:rsidRPr="007E5A02" w:rsidRDefault="004D0AD2" w:rsidP="001B4BA9">
      <w:pPr>
        <w:pStyle w:val="NormalWeb"/>
        <w:spacing w:before="0" w:beforeAutospacing="0" w:after="0" w:afterAutospacing="0" w:line="360" w:lineRule="auto"/>
        <w:jc w:val="both"/>
        <w:rPr>
          <w:rFonts w:ascii="Arial" w:hAnsi="Arial" w:cs="Arial"/>
        </w:rPr>
      </w:pPr>
      <w:r w:rsidRPr="007E5A02">
        <w:rPr>
          <w:rFonts w:ascii="Arial" w:hAnsi="Arial" w:cs="Arial"/>
        </w:rPr>
        <w:t>Sainsburys (n.d.). </w:t>
      </w:r>
      <w:r w:rsidRPr="00882080">
        <w:rPr>
          <w:rFonts w:ascii="Arial" w:hAnsi="Arial" w:cs="Arial"/>
          <w:i/>
          <w:iCs/>
        </w:rPr>
        <w:t>Skills and opportunities</w:t>
      </w:r>
      <w:r w:rsidRPr="007E5A02">
        <w:rPr>
          <w:rFonts w:ascii="Arial" w:hAnsi="Arial" w:cs="Arial"/>
        </w:rPr>
        <w:t>. [online] Available at: https://www.about.sainsburys.co.uk/sustainability/better-for-everyone/skills-and-opportunities.</w:t>
      </w:r>
    </w:p>
    <w:p w14:paraId="27511452" w14:textId="77777777" w:rsidR="001A76BF" w:rsidRPr="007E5A02" w:rsidRDefault="001A76BF" w:rsidP="001B4BA9">
      <w:pPr>
        <w:pStyle w:val="NormalWeb"/>
        <w:spacing w:before="0" w:beforeAutospacing="0" w:after="0" w:afterAutospacing="0" w:line="360" w:lineRule="auto"/>
        <w:jc w:val="both"/>
        <w:rPr>
          <w:rFonts w:ascii="Arial" w:hAnsi="Arial" w:cs="Arial"/>
        </w:rPr>
      </w:pPr>
    </w:p>
    <w:p w14:paraId="06247E9D" w14:textId="437980DA" w:rsidR="00F5797E" w:rsidRPr="007E5A02" w:rsidRDefault="00F5797E" w:rsidP="001B4BA9">
      <w:pPr>
        <w:pStyle w:val="NormalWeb"/>
        <w:spacing w:before="0" w:beforeAutospacing="0" w:after="0" w:afterAutospacing="0" w:line="360" w:lineRule="auto"/>
        <w:jc w:val="both"/>
        <w:rPr>
          <w:rFonts w:ascii="Arial" w:hAnsi="Arial" w:cs="Arial"/>
        </w:rPr>
      </w:pPr>
      <w:r w:rsidRPr="007E5A02">
        <w:rPr>
          <w:rFonts w:ascii="Arial" w:hAnsi="Arial" w:cs="Arial"/>
        </w:rPr>
        <w:t>Sainsburys</w:t>
      </w:r>
      <w:r w:rsidR="002F5FF5" w:rsidRPr="007E5A02">
        <w:rPr>
          <w:rFonts w:ascii="Arial" w:hAnsi="Arial" w:cs="Arial"/>
        </w:rPr>
        <w:t xml:space="preserve"> (n.d.). </w:t>
      </w:r>
      <w:r w:rsidRPr="007E5A02">
        <w:rPr>
          <w:rFonts w:ascii="Arial" w:hAnsi="Arial" w:cs="Arial"/>
        </w:rPr>
        <w:t xml:space="preserve"> </w:t>
      </w:r>
      <w:r w:rsidRPr="00882080">
        <w:rPr>
          <w:rFonts w:ascii="Arial" w:hAnsi="Arial" w:cs="Arial"/>
          <w:i/>
          <w:iCs/>
        </w:rPr>
        <w:t>Welcome to Sainsburys Home</w:t>
      </w:r>
      <w:r w:rsidRPr="007E5A02">
        <w:rPr>
          <w:rFonts w:ascii="Arial" w:hAnsi="Arial" w:cs="Arial"/>
        </w:rPr>
        <w:t xml:space="preserve">. [online] Available at: https://about.sainsburys.co.uk/?_ga=2.253081929.1312131776.1702833927-889807117.1702833927 [Accessed </w:t>
      </w:r>
      <w:r w:rsidR="00DE68A6" w:rsidRPr="007E5A02">
        <w:rPr>
          <w:rFonts w:ascii="Arial" w:hAnsi="Arial" w:cs="Arial"/>
        </w:rPr>
        <w:t>23</w:t>
      </w:r>
      <w:r w:rsidRPr="007E5A02">
        <w:rPr>
          <w:rFonts w:ascii="Arial" w:hAnsi="Arial" w:cs="Arial"/>
        </w:rPr>
        <w:t xml:space="preserve"> </w:t>
      </w:r>
      <w:r w:rsidR="00DE68A6" w:rsidRPr="007E5A02">
        <w:rPr>
          <w:rFonts w:ascii="Arial" w:hAnsi="Arial" w:cs="Arial"/>
        </w:rPr>
        <w:t>Nov</w:t>
      </w:r>
      <w:r w:rsidRPr="007E5A02">
        <w:rPr>
          <w:rFonts w:ascii="Arial" w:hAnsi="Arial" w:cs="Arial"/>
        </w:rPr>
        <w:t>. 2023].</w:t>
      </w:r>
    </w:p>
    <w:p w14:paraId="0C17060D" w14:textId="77777777" w:rsidR="00413C5D" w:rsidRPr="007E5A02" w:rsidRDefault="00413C5D" w:rsidP="001B4BA9">
      <w:pPr>
        <w:pStyle w:val="NormalWeb"/>
        <w:spacing w:before="0" w:beforeAutospacing="0" w:after="0" w:afterAutospacing="0" w:line="360" w:lineRule="auto"/>
        <w:jc w:val="both"/>
        <w:rPr>
          <w:rFonts w:ascii="Arial" w:hAnsi="Arial" w:cs="Arial"/>
        </w:rPr>
      </w:pPr>
    </w:p>
    <w:p w14:paraId="155B4561" w14:textId="68CAFFFA" w:rsidR="00413C5D" w:rsidRPr="007E5A02" w:rsidRDefault="00413C5D" w:rsidP="001B4BA9">
      <w:pPr>
        <w:pStyle w:val="NormalWeb"/>
        <w:spacing w:before="0" w:beforeAutospacing="0" w:after="0" w:afterAutospacing="0" w:line="360" w:lineRule="auto"/>
        <w:jc w:val="both"/>
        <w:rPr>
          <w:rFonts w:ascii="Arial" w:hAnsi="Arial" w:cs="Arial"/>
        </w:rPr>
      </w:pPr>
      <w:r w:rsidRPr="007E5A02">
        <w:rPr>
          <w:rFonts w:ascii="Arial" w:hAnsi="Arial" w:cs="Arial"/>
        </w:rPr>
        <w:t>Sainsbury's (2019). </w:t>
      </w:r>
      <w:r w:rsidRPr="00882080">
        <w:rPr>
          <w:rFonts w:ascii="Arial" w:hAnsi="Arial" w:cs="Arial"/>
          <w:i/>
          <w:iCs/>
        </w:rPr>
        <w:t>Our management</w:t>
      </w:r>
      <w:r w:rsidRPr="007E5A02">
        <w:rPr>
          <w:rFonts w:ascii="Arial" w:hAnsi="Arial" w:cs="Arial"/>
        </w:rPr>
        <w:t xml:space="preserve">. [online] Sainsburys.co.uk. Available at: </w:t>
      </w:r>
      <w:hyperlink r:id="rId11" w:history="1">
        <w:r w:rsidR="002333A5" w:rsidRPr="007E5A02">
          <w:rPr>
            <w:rStyle w:val="Hyperlink"/>
            <w:rFonts w:ascii="Arial" w:hAnsi="Arial" w:cs="Arial"/>
            <w:color w:val="auto"/>
          </w:rPr>
          <w:t>https://www.about.sainsburys.co.uk/about-us/our-management</w:t>
        </w:r>
      </w:hyperlink>
      <w:r w:rsidRPr="007E5A02">
        <w:rPr>
          <w:rFonts w:ascii="Arial" w:hAnsi="Arial" w:cs="Arial"/>
        </w:rPr>
        <w:t>.</w:t>
      </w:r>
    </w:p>
    <w:p w14:paraId="61CE8929" w14:textId="77777777" w:rsidR="00213E06" w:rsidRPr="007E5A02" w:rsidRDefault="00213E06" w:rsidP="001B4BA9">
      <w:pPr>
        <w:pStyle w:val="NormalWeb"/>
        <w:spacing w:before="0" w:beforeAutospacing="0" w:after="0" w:afterAutospacing="0" w:line="360" w:lineRule="auto"/>
        <w:jc w:val="both"/>
        <w:rPr>
          <w:rFonts w:ascii="Arial" w:hAnsi="Arial" w:cs="Arial"/>
        </w:rPr>
      </w:pPr>
    </w:p>
    <w:p w14:paraId="45503893" w14:textId="30A8E688" w:rsidR="00213E06" w:rsidRPr="007E5A02" w:rsidRDefault="00213E06" w:rsidP="001B4BA9">
      <w:pPr>
        <w:pStyle w:val="NormalWeb"/>
        <w:spacing w:before="0" w:beforeAutospacing="0" w:after="0" w:afterAutospacing="0" w:line="360" w:lineRule="auto"/>
        <w:jc w:val="both"/>
        <w:rPr>
          <w:rFonts w:ascii="Arial" w:hAnsi="Arial" w:cs="Arial"/>
        </w:rPr>
      </w:pPr>
      <w:r w:rsidRPr="007E5A02">
        <w:rPr>
          <w:rFonts w:ascii="Arial" w:hAnsi="Arial" w:cs="Arial"/>
        </w:rPr>
        <w:t>Sainsbury's (2023). </w:t>
      </w:r>
      <w:r w:rsidRPr="00882080">
        <w:rPr>
          <w:rFonts w:ascii="Arial" w:hAnsi="Arial" w:cs="Arial"/>
          <w:i/>
          <w:iCs/>
        </w:rPr>
        <w:t>Sustainability</w:t>
      </w:r>
      <w:r w:rsidRPr="007E5A02">
        <w:rPr>
          <w:rFonts w:ascii="Arial" w:hAnsi="Arial" w:cs="Arial"/>
        </w:rPr>
        <w:t>. [online] www.about.sainsburys.co.uk. Available at: https://www.about.sainsburys.co.uk/sustainability.</w:t>
      </w:r>
    </w:p>
    <w:p w14:paraId="4B28E185" w14:textId="77777777" w:rsidR="002333A5" w:rsidRPr="007E5A02" w:rsidRDefault="002333A5" w:rsidP="001B4BA9">
      <w:pPr>
        <w:pStyle w:val="NormalWeb"/>
        <w:spacing w:before="0" w:beforeAutospacing="0" w:after="0" w:afterAutospacing="0" w:line="360" w:lineRule="auto"/>
        <w:jc w:val="both"/>
        <w:rPr>
          <w:rFonts w:ascii="Arial" w:hAnsi="Arial" w:cs="Arial"/>
        </w:rPr>
      </w:pPr>
    </w:p>
    <w:p w14:paraId="7CBA46C1" w14:textId="12C9FE19" w:rsidR="002333A5" w:rsidRPr="007E5A02" w:rsidRDefault="002333A5" w:rsidP="001B4BA9">
      <w:pPr>
        <w:pStyle w:val="NormalWeb"/>
        <w:spacing w:before="0" w:beforeAutospacing="0" w:after="0" w:afterAutospacing="0" w:line="360" w:lineRule="auto"/>
        <w:jc w:val="both"/>
        <w:rPr>
          <w:rFonts w:ascii="Arial" w:hAnsi="Arial" w:cs="Arial"/>
        </w:rPr>
      </w:pPr>
      <w:r w:rsidRPr="007E5A02">
        <w:rPr>
          <w:rFonts w:ascii="Arial" w:hAnsi="Arial" w:cs="Arial"/>
        </w:rPr>
        <w:t xml:space="preserve">Saisnbury (2023). </w:t>
      </w:r>
      <w:r w:rsidRPr="00882080">
        <w:rPr>
          <w:rFonts w:ascii="Arial" w:hAnsi="Arial" w:cs="Arial"/>
          <w:i/>
          <w:iCs/>
        </w:rPr>
        <w:t xml:space="preserve">Sainsbury Annual </w:t>
      </w:r>
      <w:r w:rsidR="00FA4AF2" w:rsidRPr="00882080">
        <w:rPr>
          <w:rFonts w:ascii="Arial" w:hAnsi="Arial" w:cs="Arial"/>
          <w:i/>
          <w:iCs/>
        </w:rPr>
        <w:t>Report and Financial Statements</w:t>
      </w:r>
      <w:r w:rsidR="00FA4AF2" w:rsidRPr="007E5A02">
        <w:rPr>
          <w:rFonts w:ascii="Arial" w:hAnsi="Arial" w:cs="Arial"/>
        </w:rPr>
        <w:t>. {online] Available at: https://www.about.sainsburys.co.uk/~/media/Files/S/Sainsburys/documents/reports-</w:t>
      </w:r>
      <w:r w:rsidR="00FA4AF2" w:rsidRPr="007E5A02">
        <w:rPr>
          <w:rFonts w:ascii="Arial" w:hAnsi="Arial" w:cs="Arial"/>
        </w:rPr>
        <w:lastRenderedPageBreak/>
        <w:t>and-presentations/2023/annual-report-2023/annual-report-and-financial-statements-2023.pdf</w:t>
      </w:r>
    </w:p>
    <w:p w14:paraId="1FF91992" w14:textId="77777777" w:rsidR="00C30CA7" w:rsidRPr="007E5A02" w:rsidRDefault="00C30CA7" w:rsidP="001B4BA9">
      <w:pPr>
        <w:pStyle w:val="NormalWeb"/>
        <w:spacing w:before="0" w:beforeAutospacing="0" w:after="0" w:afterAutospacing="0" w:line="360" w:lineRule="auto"/>
        <w:jc w:val="both"/>
        <w:rPr>
          <w:rFonts w:ascii="Arial" w:hAnsi="Arial" w:cs="Arial"/>
        </w:rPr>
      </w:pPr>
    </w:p>
    <w:p w14:paraId="7F7883E0" w14:textId="61F6A568" w:rsidR="00C30CA7" w:rsidRPr="007E5A02" w:rsidRDefault="00C30CA7" w:rsidP="001B4BA9">
      <w:pPr>
        <w:pStyle w:val="NormalWeb"/>
        <w:spacing w:before="0" w:beforeAutospacing="0" w:after="0" w:afterAutospacing="0" w:line="360" w:lineRule="auto"/>
        <w:jc w:val="both"/>
        <w:rPr>
          <w:rFonts w:ascii="Arial" w:hAnsi="Arial" w:cs="Arial"/>
        </w:rPr>
      </w:pPr>
      <w:r w:rsidRPr="007E5A02">
        <w:rPr>
          <w:rFonts w:ascii="Arial" w:hAnsi="Arial" w:cs="Arial"/>
        </w:rPr>
        <w:t>Schein, E.H. (2010). </w:t>
      </w:r>
      <w:r w:rsidRPr="00882080">
        <w:rPr>
          <w:rFonts w:ascii="Arial" w:hAnsi="Arial" w:cs="Arial"/>
          <w:i/>
          <w:iCs/>
        </w:rPr>
        <w:t>Organizational Culture and Leadership</w:t>
      </w:r>
      <w:r w:rsidRPr="007E5A02">
        <w:rPr>
          <w:rFonts w:ascii="Arial" w:hAnsi="Arial" w:cs="Arial"/>
        </w:rPr>
        <w:t xml:space="preserve">. [online] Google Books. John Wiley &amp; Sons. Available at: </w:t>
      </w:r>
      <w:hyperlink r:id="rId12" w:history="1">
        <w:r w:rsidR="00170600" w:rsidRPr="007E5A02">
          <w:rPr>
            <w:rStyle w:val="Hyperlink"/>
            <w:rFonts w:ascii="Arial" w:hAnsi="Arial" w:cs="Arial"/>
            <w:color w:val="auto"/>
          </w:rPr>
          <w:t>https://books.google.co.uk/books?hl=en&amp;lr=&amp;id=Mnres2PlFLMC&amp;oi=fnd&amp;pg=PR9&amp;dq=Schein</w:t>
        </w:r>
      </w:hyperlink>
      <w:r w:rsidRPr="007E5A02">
        <w:rPr>
          <w:rFonts w:ascii="Arial" w:hAnsi="Arial" w:cs="Arial"/>
        </w:rPr>
        <w:t>.</w:t>
      </w:r>
    </w:p>
    <w:p w14:paraId="2455EBBB" w14:textId="77777777" w:rsidR="00170600" w:rsidRPr="007E5A02" w:rsidRDefault="00170600" w:rsidP="001B4BA9">
      <w:pPr>
        <w:pStyle w:val="NormalWeb"/>
        <w:spacing w:before="0" w:beforeAutospacing="0" w:after="0" w:afterAutospacing="0" w:line="360" w:lineRule="auto"/>
        <w:jc w:val="both"/>
        <w:rPr>
          <w:rFonts w:ascii="Arial" w:hAnsi="Arial" w:cs="Arial"/>
        </w:rPr>
      </w:pPr>
    </w:p>
    <w:p w14:paraId="2F8B9A23" w14:textId="77777777" w:rsidR="00170600" w:rsidRPr="007E5A02" w:rsidRDefault="00170600" w:rsidP="001B4BA9">
      <w:pPr>
        <w:pStyle w:val="NormalWeb"/>
        <w:spacing w:before="0" w:beforeAutospacing="0" w:after="0" w:afterAutospacing="0" w:line="360" w:lineRule="auto"/>
        <w:jc w:val="both"/>
        <w:rPr>
          <w:rFonts w:ascii="Arial" w:hAnsi="Arial" w:cs="Arial"/>
        </w:rPr>
      </w:pPr>
      <w:r w:rsidRPr="007E5A02">
        <w:rPr>
          <w:rFonts w:ascii="Arial" w:hAnsi="Arial" w:cs="Arial"/>
        </w:rPr>
        <w:t xml:space="preserve">Trivedi, A. and Mehta, A. (2019). </w:t>
      </w:r>
      <w:r w:rsidRPr="00882080">
        <w:rPr>
          <w:rFonts w:ascii="Arial" w:hAnsi="Arial" w:cs="Arial"/>
          <w:i/>
          <w:iCs/>
        </w:rPr>
        <w:t>Maslow’s Hierarchy of Needs -Theory of Human Motivation</w:t>
      </w:r>
      <w:r w:rsidRPr="007E5A02">
        <w:rPr>
          <w:rFonts w:ascii="Arial" w:hAnsi="Arial" w:cs="Arial"/>
        </w:rPr>
        <w:t>. International Journal of Research in all Subjects in Multi Languages [Author: Anjanaen J. Trivedi, 7(6).</w:t>
      </w:r>
    </w:p>
    <w:p w14:paraId="19A4F92C" w14:textId="77777777" w:rsidR="00170600" w:rsidRPr="007E5A02" w:rsidRDefault="00170600" w:rsidP="001B4BA9">
      <w:pPr>
        <w:pStyle w:val="NormalWeb"/>
        <w:spacing w:line="360" w:lineRule="auto"/>
        <w:jc w:val="both"/>
        <w:rPr>
          <w:rFonts w:ascii="Arial" w:hAnsi="Arial" w:cs="Arial"/>
        </w:rPr>
      </w:pPr>
      <w:r w:rsidRPr="007E5A02">
        <w:rPr>
          <w:rFonts w:ascii="Arial" w:hAnsi="Arial" w:cs="Arial"/>
        </w:rPr>
        <w:t>‌</w:t>
      </w:r>
    </w:p>
    <w:p w14:paraId="7F3970CA" w14:textId="77777777" w:rsidR="00170600" w:rsidRDefault="00170600" w:rsidP="00C30CA7">
      <w:pPr>
        <w:pStyle w:val="NormalWeb"/>
        <w:spacing w:before="0" w:beforeAutospacing="0" w:after="0" w:afterAutospacing="0" w:line="360" w:lineRule="atLeast"/>
        <w:rPr>
          <w:rFonts w:ascii="Calibri" w:hAnsi="Calibri" w:cs="Calibri"/>
          <w:color w:val="000000"/>
          <w:sz w:val="27"/>
          <w:szCs w:val="27"/>
        </w:rPr>
      </w:pPr>
    </w:p>
    <w:p w14:paraId="4D6817B8" w14:textId="77777777" w:rsidR="00C30CA7" w:rsidRDefault="00C30CA7" w:rsidP="00C30CA7">
      <w:pPr>
        <w:pStyle w:val="NormalWeb"/>
        <w:rPr>
          <w:rFonts w:ascii="Calibri" w:hAnsi="Calibri" w:cs="Calibri"/>
          <w:color w:val="000000"/>
          <w:sz w:val="27"/>
          <w:szCs w:val="27"/>
        </w:rPr>
      </w:pPr>
      <w:r>
        <w:rPr>
          <w:rFonts w:ascii="Calibri" w:hAnsi="Calibri" w:cs="Calibri"/>
          <w:color w:val="000000"/>
          <w:sz w:val="27"/>
          <w:szCs w:val="27"/>
        </w:rPr>
        <w:t>‌</w:t>
      </w:r>
    </w:p>
    <w:p w14:paraId="05709906" w14:textId="77777777" w:rsidR="00C30CA7" w:rsidRDefault="00C30CA7" w:rsidP="00F5797E">
      <w:pPr>
        <w:pStyle w:val="NormalWeb"/>
        <w:spacing w:before="0" w:beforeAutospacing="0" w:after="0" w:afterAutospacing="0" w:line="360" w:lineRule="atLeast"/>
        <w:rPr>
          <w:rFonts w:ascii="Calibri" w:hAnsi="Calibri" w:cs="Calibri"/>
          <w:color w:val="000000"/>
          <w:sz w:val="27"/>
          <w:szCs w:val="27"/>
        </w:rPr>
      </w:pPr>
    </w:p>
    <w:p w14:paraId="4F75103F" w14:textId="77777777" w:rsidR="00E059C8" w:rsidRDefault="00E059C8" w:rsidP="00F5797E">
      <w:pPr>
        <w:pStyle w:val="NormalWeb"/>
        <w:spacing w:before="0" w:beforeAutospacing="0" w:after="0" w:afterAutospacing="0" w:line="360" w:lineRule="atLeast"/>
        <w:rPr>
          <w:rFonts w:ascii="Calibri" w:hAnsi="Calibri" w:cs="Calibri"/>
          <w:color w:val="000000"/>
          <w:sz w:val="27"/>
          <w:szCs w:val="27"/>
        </w:rPr>
      </w:pPr>
    </w:p>
    <w:p w14:paraId="25E6BD14" w14:textId="77777777" w:rsidR="00E059C8" w:rsidRDefault="00E059C8" w:rsidP="00E059C8">
      <w:pPr>
        <w:pStyle w:val="NormalWeb"/>
        <w:rPr>
          <w:rFonts w:ascii="Calibri" w:hAnsi="Calibri" w:cs="Calibri"/>
          <w:color w:val="000000"/>
          <w:sz w:val="27"/>
          <w:szCs w:val="27"/>
        </w:rPr>
      </w:pPr>
      <w:r>
        <w:rPr>
          <w:rFonts w:ascii="Calibri" w:hAnsi="Calibri" w:cs="Calibri"/>
          <w:color w:val="000000"/>
          <w:sz w:val="27"/>
          <w:szCs w:val="27"/>
        </w:rPr>
        <w:t>‌</w:t>
      </w:r>
    </w:p>
    <w:p w14:paraId="411A0395" w14:textId="1FF06DCD" w:rsidR="00F5797E" w:rsidRDefault="00F5797E" w:rsidP="00F5797E">
      <w:pPr>
        <w:pStyle w:val="NormalWeb"/>
        <w:rPr>
          <w:rFonts w:ascii="Calibri" w:hAnsi="Calibri" w:cs="Calibri"/>
          <w:color w:val="000000"/>
          <w:sz w:val="27"/>
          <w:szCs w:val="27"/>
        </w:rPr>
      </w:pPr>
    </w:p>
    <w:p w14:paraId="456AA31E" w14:textId="1E084DF6" w:rsidR="002F5FF5" w:rsidRDefault="002F5FF5" w:rsidP="00F5797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4A7B57F2" w14:textId="77777777" w:rsidR="002B148F" w:rsidRPr="00E73856" w:rsidRDefault="002B148F" w:rsidP="00E73856">
      <w:pPr>
        <w:rPr>
          <w:rFonts w:ascii="Arial" w:hAnsi="Arial" w:cs="Arial"/>
          <w:sz w:val="24"/>
          <w:szCs w:val="24"/>
        </w:rPr>
      </w:pPr>
    </w:p>
    <w:p w14:paraId="18310519" w14:textId="77777777" w:rsidR="00E73856" w:rsidRDefault="00E73856" w:rsidP="00E73856">
      <w:pPr>
        <w:jc w:val="center"/>
        <w:rPr>
          <w:rFonts w:ascii="Arial" w:hAnsi="Arial" w:cs="Arial"/>
          <w:sz w:val="24"/>
          <w:szCs w:val="24"/>
        </w:rPr>
      </w:pPr>
    </w:p>
    <w:p w14:paraId="054202D9" w14:textId="77777777" w:rsidR="00E73856" w:rsidRDefault="00E73856" w:rsidP="00E73856">
      <w:pPr>
        <w:jc w:val="center"/>
        <w:rPr>
          <w:rFonts w:ascii="Arial" w:hAnsi="Arial" w:cs="Arial"/>
          <w:sz w:val="24"/>
          <w:szCs w:val="24"/>
        </w:rPr>
      </w:pPr>
    </w:p>
    <w:p w14:paraId="0BE429B6" w14:textId="77777777" w:rsidR="00E73856" w:rsidRDefault="00E73856" w:rsidP="00E73856">
      <w:pPr>
        <w:jc w:val="center"/>
        <w:rPr>
          <w:rFonts w:ascii="Arial" w:hAnsi="Arial" w:cs="Arial"/>
          <w:sz w:val="24"/>
          <w:szCs w:val="24"/>
        </w:rPr>
      </w:pPr>
    </w:p>
    <w:p w14:paraId="45D4ACBA" w14:textId="77777777" w:rsidR="00E73856" w:rsidRDefault="00E73856" w:rsidP="00E73856">
      <w:pPr>
        <w:jc w:val="center"/>
        <w:rPr>
          <w:rFonts w:ascii="Arial" w:hAnsi="Arial" w:cs="Arial"/>
          <w:sz w:val="24"/>
          <w:szCs w:val="24"/>
        </w:rPr>
      </w:pPr>
    </w:p>
    <w:p w14:paraId="321ACEE0" w14:textId="77777777" w:rsidR="00E73856" w:rsidRDefault="00E73856" w:rsidP="00E73856">
      <w:pPr>
        <w:jc w:val="center"/>
        <w:rPr>
          <w:rFonts w:ascii="Arial" w:hAnsi="Arial" w:cs="Arial"/>
          <w:sz w:val="24"/>
          <w:szCs w:val="24"/>
        </w:rPr>
      </w:pPr>
    </w:p>
    <w:p w14:paraId="2ED3B0BC" w14:textId="77777777" w:rsidR="00E73856" w:rsidRDefault="00E73856" w:rsidP="00E73856">
      <w:pPr>
        <w:jc w:val="center"/>
        <w:rPr>
          <w:rFonts w:ascii="Arial" w:hAnsi="Arial" w:cs="Arial"/>
          <w:sz w:val="24"/>
          <w:szCs w:val="24"/>
        </w:rPr>
      </w:pPr>
    </w:p>
    <w:p w14:paraId="6CC6111A" w14:textId="77777777" w:rsidR="00E73856" w:rsidRDefault="00E73856" w:rsidP="00E73856">
      <w:pPr>
        <w:jc w:val="center"/>
        <w:rPr>
          <w:rFonts w:ascii="Arial" w:hAnsi="Arial" w:cs="Arial"/>
          <w:sz w:val="24"/>
          <w:szCs w:val="24"/>
        </w:rPr>
      </w:pPr>
    </w:p>
    <w:p w14:paraId="3EFECE07" w14:textId="77777777" w:rsidR="00E73856" w:rsidRDefault="00E73856" w:rsidP="00E73856">
      <w:pPr>
        <w:jc w:val="center"/>
        <w:rPr>
          <w:rFonts w:ascii="Arial" w:hAnsi="Arial" w:cs="Arial"/>
          <w:sz w:val="24"/>
          <w:szCs w:val="24"/>
        </w:rPr>
      </w:pPr>
    </w:p>
    <w:p w14:paraId="010AFBE5" w14:textId="77777777" w:rsidR="00E73856" w:rsidRPr="00E73856" w:rsidRDefault="00E73856" w:rsidP="00E73856">
      <w:pPr>
        <w:rPr>
          <w:rFonts w:ascii="Arial" w:hAnsi="Arial" w:cs="Arial"/>
          <w:sz w:val="24"/>
          <w:szCs w:val="24"/>
        </w:rPr>
      </w:pPr>
    </w:p>
    <w:sectPr w:rsidR="00E73856" w:rsidRPr="00E7385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6F501" w14:textId="77777777" w:rsidR="00724885" w:rsidRDefault="00724885" w:rsidP="00E73856">
      <w:pPr>
        <w:spacing w:after="0" w:line="240" w:lineRule="auto"/>
      </w:pPr>
      <w:r>
        <w:separator/>
      </w:r>
    </w:p>
  </w:endnote>
  <w:endnote w:type="continuationSeparator" w:id="0">
    <w:p w14:paraId="27F2CBFC" w14:textId="77777777" w:rsidR="00724885" w:rsidRDefault="00724885" w:rsidP="00E73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878751"/>
      <w:docPartObj>
        <w:docPartGallery w:val="Page Numbers (Bottom of Page)"/>
        <w:docPartUnique/>
      </w:docPartObj>
    </w:sdtPr>
    <w:sdtEndPr>
      <w:rPr>
        <w:noProof/>
      </w:rPr>
    </w:sdtEndPr>
    <w:sdtContent>
      <w:p w14:paraId="108AC804" w14:textId="13145E53" w:rsidR="00E73856" w:rsidRDefault="00E738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E78099" w14:textId="77777777" w:rsidR="00E73856" w:rsidRDefault="00E73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F4308" w14:textId="77777777" w:rsidR="00724885" w:rsidRDefault="00724885" w:rsidP="00E73856">
      <w:pPr>
        <w:spacing w:after="0" w:line="240" w:lineRule="auto"/>
      </w:pPr>
      <w:r>
        <w:separator/>
      </w:r>
    </w:p>
  </w:footnote>
  <w:footnote w:type="continuationSeparator" w:id="0">
    <w:p w14:paraId="7ABD5EBE" w14:textId="77777777" w:rsidR="00724885" w:rsidRDefault="00724885" w:rsidP="00E738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856"/>
    <w:rsid w:val="00041F7B"/>
    <w:rsid w:val="000850A9"/>
    <w:rsid w:val="00086827"/>
    <w:rsid w:val="000B250E"/>
    <w:rsid w:val="000C0485"/>
    <w:rsid w:val="000F7192"/>
    <w:rsid w:val="001612E0"/>
    <w:rsid w:val="00170600"/>
    <w:rsid w:val="001A76BF"/>
    <w:rsid w:val="001A773F"/>
    <w:rsid w:val="001B4BA9"/>
    <w:rsid w:val="001D2393"/>
    <w:rsid w:val="00202EEB"/>
    <w:rsid w:val="00213E06"/>
    <w:rsid w:val="002333A5"/>
    <w:rsid w:val="00254DBD"/>
    <w:rsid w:val="002633B4"/>
    <w:rsid w:val="002720E2"/>
    <w:rsid w:val="00276EB9"/>
    <w:rsid w:val="002B148F"/>
    <w:rsid w:val="002E6B23"/>
    <w:rsid w:val="002F5FF5"/>
    <w:rsid w:val="00340547"/>
    <w:rsid w:val="00366605"/>
    <w:rsid w:val="003806E5"/>
    <w:rsid w:val="00391C0F"/>
    <w:rsid w:val="003C133E"/>
    <w:rsid w:val="003D740C"/>
    <w:rsid w:val="00413C5D"/>
    <w:rsid w:val="00437818"/>
    <w:rsid w:val="00454782"/>
    <w:rsid w:val="00467D83"/>
    <w:rsid w:val="004A73E0"/>
    <w:rsid w:val="004D0AD2"/>
    <w:rsid w:val="004E7F52"/>
    <w:rsid w:val="006413CE"/>
    <w:rsid w:val="00643208"/>
    <w:rsid w:val="006638DD"/>
    <w:rsid w:val="00717A9D"/>
    <w:rsid w:val="00724885"/>
    <w:rsid w:val="0074353B"/>
    <w:rsid w:val="007A569C"/>
    <w:rsid w:val="007B16AD"/>
    <w:rsid w:val="007D4693"/>
    <w:rsid w:val="007D68B4"/>
    <w:rsid w:val="007E5A02"/>
    <w:rsid w:val="00835F51"/>
    <w:rsid w:val="00853E34"/>
    <w:rsid w:val="00882080"/>
    <w:rsid w:val="008B3241"/>
    <w:rsid w:val="008D5B96"/>
    <w:rsid w:val="008E3927"/>
    <w:rsid w:val="00916EF2"/>
    <w:rsid w:val="0098599E"/>
    <w:rsid w:val="009E4E94"/>
    <w:rsid w:val="009F221C"/>
    <w:rsid w:val="00A03BE2"/>
    <w:rsid w:val="00A569DC"/>
    <w:rsid w:val="00A65009"/>
    <w:rsid w:val="00A92B08"/>
    <w:rsid w:val="00AA049F"/>
    <w:rsid w:val="00AD3E92"/>
    <w:rsid w:val="00B151A8"/>
    <w:rsid w:val="00B27FC3"/>
    <w:rsid w:val="00B85E99"/>
    <w:rsid w:val="00B90CAA"/>
    <w:rsid w:val="00BD0E00"/>
    <w:rsid w:val="00BE02C6"/>
    <w:rsid w:val="00BF6C63"/>
    <w:rsid w:val="00C01A57"/>
    <w:rsid w:val="00C05E35"/>
    <w:rsid w:val="00C13828"/>
    <w:rsid w:val="00C30CA7"/>
    <w:rsid w:val="00C70215"/>
    <w:rsid w:val="00D4259D"/>
    <w:rsid w:val="00D535DA"/>
    <w:rsid w:val="00DE68A6"/>
    <w:rsid w:val="00DE6D5F"/>
    <w:rsid w:val="00E018AF"/>
    <w:rsid w:val="00E059C8"/>
    <w:rsid w:val="00E27280"/>
    <w:rsid w:val="00E73856"/>
    <w:rsid w:val="00EB4157"/>
    <w:rsid w:val="00EB61FE"/>
    <w:rsid w:val="00EE36F1"/>
    <w:rsid w:val="00F07DEA"/>
    <w:rsid w:val="00F26E69"/>
    <w:rsid w:val="00F31FDF"/>
    <w:rsid w:val="00F5425B"/>
    <w:rsid w:val="00F5797E"/>
    <w:rsid w:val="00F91E27"/>
    <w:rsid w:val="00F94B47"/>
    <w:rsid w:val="00F958CF"/>
    <w:rsid w:val="00FA4AF2"/>
    <w:rsid w:val="00FB1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9CF9B"/>
  <w15:chartTrackingRefBased/>
  <w15:docId w15:val="{627FC268-8C82-4920-BFD1-9B0958723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ind w:left="567" w:right="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856"/>
  </w:style>
  <w:style w:type="paragraph" w:styleId="Footer">
    <w:name w:val="footer"/>
    <w:basedOn w:val="Normal"/>
    <w:link w:val="FooterChar"/>
    <w:uiPriority w:val="99"/>
    <w:unhideWhenUsed/>
    <w:rsid w:val="00E73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856"/>
  </w:style>
  <w:style w:type="paragraph" w:styleId="NormalWeb">
    <w:name w:val="Normal (Web)"/>
    <w:basedOn w:val="Normal"/>
    <w:uiPriority w:val="99"/>
    <w:unhideWhenUsed/>
    <w:rsid w:val="002F5FF5"/>
    <w:pPr>
      <w:spacing w:before="100" w:beforeAutospacing="1" w:after="100" w:afterAutospacing="1" w:line="240" w:lineRule="auto"/>
      <w:ind w:left="0" w:right="0"/>
      <w:jc w:val="left"/>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333A5"/>
    <w:rPr>
      <w:color w:val="0563C1" w:themeColor="hyperlink"/>
      <w:u w:val="single"/>
    </w:rPr>
  </w:style>
  <w:style w:type="character" w:styleId="UnresolvedMention">
    <w:name w:val="Unresolved Mention"/>
    <w:basedOn w:val="DefaultParagraphFont"/>
    <w:uiPriority w:val="99"/>
    <w:semiHidden/>
    <w:unhideWhenUsed/>
    <w:rsid w:val="002333A5"/>
    <w:rPr>
      <w:color w:val="605E5C"/>
      <w:shd w:val="clear" w:color="auto" w:fill="E1DFDD"/>
    </w:rPr>
  </w:style>
  <w:style w:type="paragraph" w:styleId="Revision">
    <w:name w:val="Revision"/>
    <w:hidden/>
    <w:uiPriority w:val="99"/>
    <w:semiHidden/>
    <w:rsid w:val="0098599E"/>
    <w:pPr>
      <w:spacing w:after="0" w:line="240" w:lineRule="auto"/>
      <w:ind w:left="0" w:right="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9085">
      <w:bodyDiv w:val="1"/>
      <w:marLeft w:val="0"/>
      <w:marRight w:val="0"/>
      <w:marTop w:val="0"/>
      <w:marBottom w:val="0"/>
      <w:divBdr>
        <w:top w:val="none" w:sz="0" w:space="0" w:color="auto"/>
        <w:left w:val="none" w:sz="0" w:space="0" w:color="auto"/>
        <w:bottom w:val="none" w:sz="0" w:space="0" w:color="auto"/>
        <w:right w:val="none" w:sz="0" w:space="0" w:color="auto"/>
      </w:divBdr>
    </w:div>
    <w:div w:id="260797454">
      <w:bodyDiv w:val="1"/>
      <w:marLeft w:val="0"/>
      <w:marRight w:val="0"/>
      <w:marTop w:val="0"/>
      <w:marBottom w:val="0"/>
      <w:divBdr>
        <w:top w:val="none" w:sz="0" w:space="0" w:color="auto"/>
        <w:left w:val="none" w:sz="0" w:space="0" w:color="auto"/>
        <w:bottom w:val="none" w:sz="0" w:space="0" w:color="auto"/>
        <w:right w:val="none" w:sz="0" w:space="0" w:color="auto"/>
      </w:divBdr>
    </w:div>
    <w:div w:id="325089655">
      <w:bodyDiv w:val="1"/>
      <w:marLeft w:val="0"/>
      <w:marRight w:val="0"/>
      <w:marTop w:val="0"/>
      <w:marBottom w:val="0"/>
      <w:divBdr>
        <w:top w:val="none" w:sz="0" w:space="0" w:color="auto"/>
        <w:left w:val="none" w:sz="0" w:space="0" w:color="auto"/>
        <w:bottom w:val="none" w:sz="0" w:space="0" w:color="auto"/>
        <w:right w:val="none" w:sz="0" w:space="0" w:color="auto"/>
      </w:divBdr>
    </w:div>
    <w:div w:id="434903119">
      <w:bodyDiv w:val="1"/>
      <w:marLeft w:val="0"/>
      <w:marRight w:val="0"/>
      <w:marTop w:val="0"/>
      <w:marBottom w:val="0"/>
      <w:divBdr>
        <w:top w:val="none" w:sz="0" w:space="0" w:color="auto"/>
        <w:left w:val="none" w:sz="0" w:space="0" w:color="auto"/>
        <w:bottom w:val="none" w:sz="0" w:space="0" w:color="auto"/>
        <w:right w:val="none" w:sz="0" w:space="0" w:color="auto"/>
      </w:divBdr>
    </w:div>
    <w:div w:id="484974355">
      <w:bodyDiv w:val="1"/>
      <w:marLeft w:val="0"/>
      <w:marRight w:val="0"/>
      <w:marTop w:val="0"/>
      <w:marBottom w:val="0"/>
      <w:divBdr>
        <w:top w:val="none" w:sz="0" w:space="0" w:color="auto"/>
        <w:left w:val="none" w:sz="0" w:space="0" w:color="auto"/>
        <w:bottom w:val="none" w:sz="0" w:space="0" w:color="auto"/>
        <w:right w:val="none" w:sz="0" w:space="0" w:color="auto"/>
      </w:divBdr>
    </w:div>
    <w:div w:id="576671142">
      <w:bodyDiv w:val="1"/>
      <w:marLeft w:val="0"/>
      <w:marRight w:val="0"/>
      <w:marTop w:val="0"/>
      <w:marBottom w:val="0"/>
      <w:divBdr>
        <w:top w:val="none" w:sz="0" w:space="0" w:color="auto"/>
        <w:left w:val="none" w:sz="0" w:space="0" w:color="auto"/>
        <w:bottom w:val="none" w:sz="0" w:space="0" w:color="auto"/>
        <w:right w:val="none" w:sz="0" w:space="0" w:color="auto"/>
      </w:divBdr>
    </w:div>
    <w:div w:id="588078291">
      <w:bodyDiv w:val="1"/>
      <w:marLeft w:val="0"/>
      <w:marRight w:val="0"/>
      <w:marTop w:val="0"/>
      <w:marBottom w:val="0"/>
      <w:divBdr>
        <w:top w:val="none" w:sz="0" w:space="0" w:color="auto"/>
        <w:left w:val="none" w:sz="0" w:space="0" w:color="auto"/>
        <w:bottom w:val="none" w:sz="0" w:space="0" w:color="auto"/>
        <w:right w:val="none" w:sz="0" w:space="0" w:color="auto"/>
      </w:divBdr>
    </w:div>
    <w:div w:id="683365776">
      <w:bodyDiv w:val="1"/>
      <w:marLeft w:val="0"/>
      <w:marRight w:val="0"/>
      <w:marTop w:val="0"/>
      <w:marBottom w:val="0"/>
      <w:divBdr>
        <w:top w:val="none" w:sz="0" w:space="0" w:color="auto"/>
        <w:left w:val="none" w:sz="0" w:space="0" w:color="auto"/>
        <w:bottom w:val="none" w:sz="0" w:space="0" w:color="auto"/>
        <w:right w:val="none" w:sz="0" w:space="0" w:color="auto"/>
      </w:divBdr>
      <w:divsChild>
        <w:div w:id="1098450288">
          <w:marLeft w:val="0"/>
          <w:marRight w:val="0"/>
          <w:marTop w:val="0"/>
          <w:marBottom w:val="0"/>
          <w:divBdr>
            <w:top w:val="none" w:sz="0" w:space="0" w:color="auto"/>
            <w:left w:val="none" w:sz="0" w:space="0" w:color="auto"/>
            <w:bottom w:val="none" w:sz="0" w:space="0" w:color="auto"/>
            <w:right w:val="none" w:sz="0" w:space="0" w:color="auto"/>
          </w:divBdr>
          <w:divsChild>
            <w:div w:id="38688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233353">
      <w:bodyDiv w:val="1"/>
      <w:marLeft w:val="0"/>
      <w:marRight w:val="0"/>
      <w:marTop w:val="0"/>
      <w:marBottom w:val="0"/>
      <w:divBdr>
        <w:top w:val="none" w:sz="0" w:space="0" w:color="auto"/>
        <w:left w:val="none" w:sz="0" w:space="0" w:color="auto"/>
        <w:bottom w:val="none" w:sz="0" w:space="0" w:color="auto"/>
        <w:right w:val="none" w:sz="0" w:space="0" w:color="auto"/>
      </w:divBdr>
    </w:div>
    <w:div w:id="861477466">
      <w:bodyDiv w:val="1"/>
      <w:marLeft w:val="0"/>
      <w:marRight w:val="0"/>
      <w:marTop w:val="0"/>
      <w:marBottom w:val="0"/>
      <w:divBdr>
        <w:top w:val="none" w:sz="0" w:space="0" w:color="auto"/>
        <w:left w:val="none" w:sz="0" w:space="0" w:color="auto"/>
        <w:bottom w:val="none" w:sz="0" w:space="0" w:color="auto"/>
        <w:right w:val="none" w:sz="0" w:space="0" w:color="auto"/>
      </w:divBdr>
    </w:div>
    <w:div w:id="894512337">
      <w:bodyDiv w:val="1"/>
      <w:marLeft w:val="0"/>
      <w:marRight w:val="0"/>
      <w:marTop w:val="0"/>
      <w:marBottom w:val="0"/>
      <w:divBdr>
        <w:top w:val="none" w:sz="0" w:space="0" w:color="auto"/>
        <w:left w:val="none" w:sz="0" w:space="0" w:color="auto"/>
        <w:bottom w:val="none" w:sz="0" w:space="0" w:color="auto"/>
        <w:right w:val="none" w:sz="0" w:space="0" w:color="auto"/>
      </w:divBdr>
    </w:div>
    <w:div w:id="1066798721">
      <w:bodyDiv w:val="1"/>
      <w:marLeft w:val="0"/>
      <w:marRight w:val="0"/>
      <w:marTop w:val="0"/>
      <w:marBottom w:val="0"/>
      <w:divBdr>
        <w:top w:val="none" w:sz="0" w:space="0" w:color="auto"/>
        <w:left w:val="none" w:sz="0" w:space="0" w:color="auto"/>
        <w:bottom w:val="none" w:sz="0" w:space="0" w:color="auto"/>
        <w:right w:val="none" w:sz="0" w:space="0" w:color="auto"/>
      </w:divBdr>
    </w:div>
    <w:div w:id="1128009438">
      <w:bodyDiv w:val="1"/>
      <w:marLeft w:val="0"/>
      <w:marRight w:val="0"/>
      <w:marTop w:val="0"/>
      <w:marBottom w:val="0"/>
      <w:divBdr>
        <w:top w:val="none" w:sz="0" w:space="0" w:color="auto"/>
        <w:left w:val="none" w:sz="0" w:space="0" w:color="auto"/>
        <w:bottom w:val="none" w:sz="0" w:space="0" w:color="auto"/>
        <w:right w:val="none" w:sz="0" w:space="0" w:color="auto"/>
      </w:divBdr>
      <w:divsChild>
        <w:div w:id="1343167692">
          <w:marLeft w:val="0"/>
          <w:marRight w:val="0"/>
          <w:marTop w:val="0"/>
          <w:marBottom w:val="0"/>
          <w:divBdr>
            <w:top w:val="none" w:sz="0" w:space="0" w:color="auto"/>
            <w:left w:val="none" w:sz="0" w:space="0" w:color="auto"/>
            <w:bottom w:val="none" w:sz="0" w:space="0" w:color="auto"/>
            <w:right w:val="none" w:sz="0" w:space="0" w:color="auto"/>
          </w:divBdr>
          <w:divsChild>
            <w:div w:id="24334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244942">
      <w:bodyDiv w:val="1"/>
      <w:marLeft w:val="0"/>
      <w:marRight w:val="0"/>
      <w:marTop w:val="0"/>
      <w:marBottom w:val="0"/>
      <w:divBdr>
        <w:top w:val="none" w:sz="0" w:space="0" w:color="auto"/>
        <w:left w:val="none" w:sz="0" w:space="0" w:color="auto"/>
        <w:bottom w:val="none" w:sz="0" w:space="0" w:color="auto"/>
        <w:right w:val="none" w:sz="0" w:space="0" w:color="auto"/>
      </w:divBdr>
    </w:div>
    <w:div w:id="144218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ibisworld.com/uk/en/industry/g47.110/at-a-glanc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hl=en&amp;lr=&amp;id=Mnres2PlFLMC&amp;oi=fnd&amp;pg=PR9&amp;dq=Schei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bout.sainsburys.co.uk/about-us/our-managemen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oc.library.ethz.ch/objects/pdf03/e01_978-1-292-09007-8_01.pdf" TargetMode="External"/><Relationship Id="rId4" Type="http://schemas.openxmlformats.org/officeDocument/2006/relationships/webSettings" Target="webSettings.xml"/><Relationship Id="rId9" Type="http://schemas.openxmlformats.org/officeDocument/2006/relationships/hyperlink" Target="https://www.researchgate.net/profile/Abdul-Hakim-Abdullah-2/publication/334270453_The_Relationship_Between_Cultural_Types_According_to_Hand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23A48-3E17-4C1E-8995-48710E7E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2080</Words>
  <Characters>14685</Characters>
  <Application>Microsoft Office Word</Application>
  <DocSecurity>0</DocSecurity>
  <Lines>312</Lines>
  <Paragraphs>42</Paragraphs>
  <ScaleCrop>false</ScaleCrop>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 K</cp:lastModifiedBy>
  <cp:revision>12</cp:revision>
  <dcterms:created xsi:type="dcterms:W3CDTF">2023-12-18T12:33:00Z</dcterms:created>
  <dcterms:modified xsi:type="dcterms:W3CDTF">2023-12-18T12:46:00Z</dcterms:modified>
</cp:coreProperties>
</file>