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80D590" w14:textId="5697BC59" w:rsidR="005979B0" w:rsidRDefault="00B4046B" w:rsidP="00EC22E1">
      <w:pPr>
        <w:tabs>
          <w:tab w:val="left" w:pos="6540"/>
        </w:tabs>
        <w:spacing w:line="360" w:lineRule="auto"/>
        <w:ind w:left="426"/>
        <w:rPr>
          <w:b/>
          <w:bCs/>
          <w:sz w:val="28"/>
          <w:szCs w:val="28"/>
          <w:lang w:val="nl-NL"/>
        </w:rPr>
      </w:pPr>
      <w:r w:rsidRPr="00C309DF">
        <w:rPr>
          <w:noProof/>
        </w:rPr>
        <w:drawing>
          <wp:inline distT="0" distB="0" distL="0" distR="0" wp14:anchorId="16217488" wp14:editId="29E948E2">
            <wp:extent cx="3773482" cy="1828618"/>
            <wp:effectExtent l="0" t="0" r="0" b="635"/>
            <wp:docPr id="1026" name="Picture 2" descr="UWTSD logo | Discover Dylan Thomas">
              <a:extLst xmlns:a="http://schemas.openxmlformats.org/drawingml/2006/main">
                <a:ext uri="{FF2B5EF4-FFF2-40B4-BE49-F238E27FC236}">
                  <a16:creationId xmlns:a16="http://schemas.microsoft.com/office/drawing/2014/main" id="{DB4E5486-661A-3A58-C6BA-CF20E456C34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UWTSD logo | Discover Dylan Thomas">
                      <a:extLst>
                        <a:ext uri="{FF2B5EF4-FFF2-40B4-BE49-F238E27FC236}">
                          <a16:creationId xmlns:a16="http://schemas.microsoft.com/office/drawing/2014/main" id="{DB4E5486-661A-3A58-C6BA-CF20E456C34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1018" cy="18371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61C50C" w14:textId="77777777" w:rsidR="005979B0" w:rsidRDefault="005979B0" w:rsidP="00EC22E1">
      <w:pPr>
        <w:tabs>
          <w:tab w:val="left" w:pos="6540"/>
        </w:tabs>
        <w:spacing w:line="360" w:lineRule="auto"/>
        <w:ind w:left="426"/>
        <w:rPr>
          <w:b/>
          <w:bCs/>
          <w:sz w:val="28"/>
          <w:szCs w:val="28"/>
          <w:lang w:val="nl-NL"/>
        </w:rPr>
      </w:pPr>
    </w:p>
    <w:p w14:paraId="67C764AB" w14:textId="77777777" w:rsidR="005979B0" w:rsidRDefault="005979B0" w:rsidP="00EC22E1">
      <w:pPr>
        <w:tabs>
          <w:tab w:val="left" w:pos="6540"/>
        </w:tabs>
        <w:spacing w:line="360" w:lineRule="auto"/>
        <w:ind w:left="426"/>
        <w:rPr>
          <w:b/>
          <w:bCs/>
          <w:sz w:val="28"/>
          <w:szCs w:val="28"/>
          <w:lang w:val="nl-NL"/>
        </w:rPr>
      </w:pPr>
    </w:p>
    <w:p w14:paraId="7EC776E4" w14:textId="77777777" w:rsidR="005979B0" w:rsidRDefault="005979B0" w:rsidP="00EC22E1">
      <w:pPr>
        <w:tabs>
          <w:tab w:val="left" w:pos="6540"/>
        </w:tabs>
        <w:spacing w:line="360" w:lineRule="auto"/>
        <w:ind w:left="426"/>
        <w:rPr>
          <w:b/>
          <w:bCs/>
          <w:sz w:val="28"/>
          <w:szCs w:val="28"/>
          <w:lang w:val="nl-NL"/>
        </w:rPr>
      </w:pPr>
    </w:p>
    <w:p w14:paraId="53437E88" w14:textId="77777777" w:rsidR="005979B0" w:rsidRDefault="005979B0" w:rsidP="00EC22E1">
      <w:pPr>
        <w:tabs>
          <w:tab w:val="left" w:pos="6540"/>
        </w:tabs>
        <w:spacing w:line="360" w:lineRule="auto"/>
        <w:ind w:left="426"/>
        <w:rPr>
          <w:b/>
          <w:bCs/>
          <w:sz w:val="28"/>
          <w:szCs w:val="28"/>
          <w:lang w:val="nl-NL"/>
        </w:rPr>
      </w:pPr>
    </w:p>
    <w:p w14:paraId="72F55EBA" w14:textId="77777777" w:rsidR="00A36DB5" w:rsidRDefault="00B4046B" w:rsidP="00B4046B">
      <w:pPr>
        <w:tabs>
          <w:tab w:val="left" w:pos="6540"/>
        </w:tabs>
        <w:spacing w:line="360" w:lineRule="auto"/>
        <w:rPr>
          <w:b/>
          <w:bCs/>
          <w:sz w:val="28"/>
          <w:szCs w:val="28"/>
          <w:lang w:val="nl-NL"/>
        </w:rPr>
      </w:pPr>
      <w:r>
        <w:rPr>
          <w:b/>
          <w:bCs/>
          <w:sz w:val="28"/>
          <w:szCs w:val="28"/>
          <w:lang w:val="nl-NL"/>
        </w:rPr>
        <w:t xml:space="preserve">                       </w:t>
      </w:r>
    </w:p>
    <w:p w14:paraId="1491F59C" w14:textId="77777777" w:rsidR="00A36DB5" w:rsidRDefault="00A36DB5" w:rsidP="00B4046B">
      <w:pPr>
        <w:tabs>
          <w:tab w:val="left" w:pos="6540"/>
        </w:tabs>
        <w:spacing w:line="360" w:lineRule="auto"/>
        <w:rPr>
          <w:b/>
          <w:bCs/>
          <w:sz w:val="28"/>
          <w:szCs w:val="28"/>
          <w:lang w:val="nl-NL"/>
        </w:rPr>
      </w:pPr>
    </w:p>
    <w:p w14:paraId="50EB68F5" w14:textId="759DC197" w:rsidR="00EC22E1" w:rsidRPr="00B965E6" w:rsidRDefault="00A36DB5" w:rsidP="00B4046B">
      <w:pPr>
        <w:tabs>
          <w:tab w:val="left" w:pos="6540"/>
        </w:tabs>
        <w:spacing w:line="360" w:lineRule="auto"/>
        <w:rPr>
          <w:sz w:val="40"/>
          <w:szCs w:val="40"/>
          <w:lang w:val="en-GB"/>
        </w:rPr>
      </w:pPr>
      <w:r w:rsidRPr="00A36DB5">
        <w:rPr>
          <w:b/>
          <w:bCs/>
          <w:sz w:val="28"/>
          <w:szCs w:val="28"/>
          <w:lang w:val="en-GB"/>
        </w:rPr>
        <w:t xml:space="preserve"> </w:t>
      </w:r>
      <w:r>
        <w:rPr>
          <w:b/>
          <w:bCs/>
          <w:sz w:val="28"/>
          <w:szCs w:val="28"/>
          <w:lang w:val="en-GB"/>
        </w:rPr>
        <w:t xml:space="preserve">                      </w:t>
      </w:r>
      <w:r w:rsidR="00EC22E1" w:rsidRPr="00B965E6">
        <w:rPr>
          <w:b/>
          <w:bCs/>
          <w:sz w:val="40"/>
          <w:szCs w:val="40"/>
          <w:lang w:val="en-GB"/>
        </w:rPr>
        <w:t xml:space="preserve">Student </w:t>
      </w:r>
      <w:r w:rsidR="005E2019" w:rsidRPr="00B965E6">
        <w:rPr>
          <w:b/>
          <w:bCs/>
          <w:sz w:val="40"/>
          <w:szCs w:val="40"/>
          <w:lang w:val="en-GB"/>
        </w:rPr>
        <w:t xml:space="preserve">name: </w:t>
      </w:r>
      <w:r w:rsidR="005E2019" w:rsidRPr="00B965E6">
        <w:rPr>
          <w:sz w:val="40"/>
          <w:szCs w:val="40"/>
          <w:lang w:val="en-GB"/>
        </w:rPr>
        <w:t>Mary O Leigh</w:t>
      </w:r>
    </w:p>
    <w:p w14:paraId="067758CA" w14:textId="77777777" w:rsidR="00B501E0" w:rsidRPr="00B965E6" w:rsidRDefault="00EC22E1" w:rsidP="00B965E6">
      <w:pPr>
        <w:jc w:val="center"/>
        <w:rPr>
          <w:spacing w:val="-5"/>
          <w:sz w:val="40"/>
          <w:szCs w:val="40"/>
        </w:rPr>
      </w:pPr>
      <w:r w:rsidRPr="00B965E6">
        <w:rPr>
          <w:b/>
          <w:bCs/>
          <w:sz w:val="40"/>
          <w:szCs w:val="40"/>
          <w:lang w:val="en-GB"/>
        </w:rPr>
        <w:t>Student ID:</w:t>
      </w:r>
      <w:r w:rsidR="005E2019" w:rsidRPr="00B965E6">
        <w:rPr>
          <w:b/>
          <w:bCs/>
          <w:sz w:val="40"/>
          <w:szCs w:val="40"/>
          <w:lang w:val="en-GB"/>
        </w:rPr>
        <w:t xml:space="preserve"> </w:t>
      </w:r>
      <w:r w:rsidR="00B501E0" w:rsidRPr="00B965E6">
        <w:rPr>
          <w:spacing w:val="-5"/>
          <w:sz w:val="40"/>
          <w:szCs w:val="40"/>
        </w:rPr>
        <w:t>2327314</w:t>
      </w:r>
    </w:p>
    <w:p w14:paraId="16DA5903" w14:textId="7C04460D" w:rsidR="00EC22E1" w:rsidRPr="00B965E6" w:rsidRDefault="00EC22E1" w:rsidP="00B965E6">
      <w:pPr>
        <w:tabs>
          <w:tab w:val="left" w:pos="6540"/>
        </w:tabs>
        <w:spacing w:line="360" w:lineRule="auto"/>
        <w:jc w:val="center"/>
        <w:rPr>
          <w:sz w:val="40"/>
          <w:szCs w:val="40"/>
          <w:lang w:val="en-GB"/>
        </w:rPr>
      </w:pPr>
      <w:r w:rsidRPr="00B965E6">
        <w:rPr>
          <w:b/>
          <w:bCs/>
          <w:sz w:val="40"/>
          <w:szCs w:val="40"/>
          <w:lang w:val="en-GB"/>
        </w:rPr>
        <w:t xml:space="preserve">Module name: </w:t>
      </w:r>
      <w:r w:rsidR="006769D7" w:rsidRPr="00B965E6">
        <w:rPr>
          <w:sz w:val="40"/>
          <w:szCs w:val="40"/>
          <w:lang w:val="en-GB"/>
        </w:rPr>
        <w:t>Empowering the Older People</w:t>
      </w:r>
    </w:p>
    <w:p w14:paraId="7E7EE226" w14:textId="77777777" w:rsidR="007213B4" w:rsidRPr="00B965E6" w:rsidRDefault="00EC22E1" w:rsidP="00B965E6">
      <w:pPr>
        <w:tabs>
          <w:tab w:val="left" w:pos="6540"/>
        </w:tabs>
        <w:spacing w:line="360" w:lineRule="auto"/>
        <w:jc w:val="center"/>
        <w:rPr>
          <w:sz w:val="40"/>
          <w:szCs w:val="40"/>
        </w:rPr>
      </w:pPr>
      <w:r w:rsidRPr="00B965E6">
        <w:rPr>
          <w:b/>
          <w:bCs/>
          <w:sz w:val="40"/>
          <w:szCs w:val="40"/>
        </w:rPr>
        <w:t>Module code:</w:t>
      </w:r>
      <w:r w:rsidR="007213B4" w:rsidRPr="00B965E6">
        <w:rPr>
          <w:b/>
          <w:bCs/>
          <w:sz w:val="40"/>
          <w:szCs w:val="40"/>
        </w:rPr>
        <w:t xml:space="preserve"> </w:t>
      </w:r>
      <w:r w:rsidR="007213B4" w:rsidRPr="00B965E6">
        <w:rPr>
          <w:sz w:val="40"/>
          <w:szCs w:val="40"/>
        </w:rPr>
        <w:t>BMHP6027</w:t>
      </w:r>
    </w:p>
    <w:p w14:paraId="72A32DF4" w14:textId="4709B413" w:rsidR="00EC22E1" w:rsidRPr="00B965E6" w:rsidRDefault="00EC22E1" w:rsidP="00B965E6">
      <w:pPr>
        <w:tabs>
          <w:tab w:val="left" w:pos="6540"/>
        </w:tabs>
        <w:spacing w:line="360" w:lineRule="auto"/>
        <w:jc w:val="center"/>
        <w:rPr>
          <w:sz w:val="40"/>
          <w:szCs w:val="40"/>
        </w:rPr>
      </w:pPr>
      <w:r w:rsidRPr="00B965E6">
        <w:rPr>
          <w:b/>
          <w:bCs/>
          <w:sz w:val="40"/>
          <w:szCs w:val="40"/>
        </w:rPr>
        <w:t>Lecturer’s name:</w:t>
      </w:r>
      <w:r w:rsidR="000E7B39" w:rsidRPr="00B965E6">
        <w:rPr>
          <w:b/>
          <w:bCs/>
          <w:sz w:val="40"/>
          <w:szCs w:val="40"/>
        </w:rPr>
        <w:t xml:space="preserve"> </w:t>
      </w:r>
      <w:r w:rsidR="000E7B39" w:rsidRPr="00B965E6">
        <w:rPr>
          <w:sz w:val="40"/>
          <w:szCs w:val="40"/>
        </w:rPr>
        <w:t xml:space="preserve">Christopher </w:t>
      </w:r>
      <w:proofErr w:type="spellStart"/>
      <w:r w:rsidR="000E7B39" w:rsidRPr="00B965E6">
        <w:rPr>
          <w:sz w:val="40"/>
          <w:szCs w:val="40"/>
        </w:rPr>
        <w:t>Mafuva</w:t>
      </w:r>
      <w:proofErr w:type="spellEnd"/>
    </w:p>
    <w:p w14:paraId="60CCE586" w14:textId="77777777" w:rsidR="00D52656" w:rsidRPr="00B965E6" w:rsidRDefault="00D52656" w:rsidP="00B965E6">
      <w:pPr>
        <w:spacing w:before="100" w:beforeAutospacing="1" w:after="100" w:afterAutospacing="1"/>
        <w:jc w:val="center"/>
        <w:rPr>
          <w:rFonts w:eastAsia="Times New Roman"/>
          <w:b/>
          <w:bCs/>
          <w:sz w:val="40"/>
          <w:szCs w:val="40"/>
        </w:rPr>
      </w:pPr>
    </w:p>
    <w:p w14:paraId="1CD0C26B" w14:textId="77777777" w:rsidR="005979B0" w:rsidRDefault="005979B0" w:rsidP="00420E11">
      <w:pPr>
        <w:spacing w:before="100" w:beforeAutospacing="1" w:after="100" w:afterAutospacing="1"/>
        <w:rPr>
          <w:rFonts w:eastAsia="Times New Roman"/>
          <w:b/>
          <w:bCs/>
          <w:sz w:val="36"/>
          <w:szCs w:val="36"/>
        </w:rPr>
      </w:pPr>
    </w:p>
    <w:p w14:paraId="3604E0F6" w14:textId="77777777" w:rsidR="005979B0" w:rsidRDefault="005979B0" w:rsidP="00420E11">
      <w:pPr>
        <w:spacing w:before="100" w:beforeAutospacing="1" w:after="100" w:afterAutospacing="1"/>
        <w:rPr>
          <w:rFonts w:eastAsia="Times New Roman"/>
          <w:b/>
          <w:bCs/>
          <w:sz w:val="36"/>
          <w:szCs w:val="36"/>
        </w:rPr>
      </w:pPr>
    </w:p>
    <w:p w14:paraId="7F5A0B3E" w14:textId="77777777" w:rsidR="005979B0" w:rsidRDefault="005979B0" w:rsidP="00420E11">
      <w:pPr>
        <w:spacing w:before="100" w:beforeAutospacing="1" w:after="100" w:afterAutospacing="1"/>
        <w:rPr>
          <w:rFonts w:eastAsia="Times New Roman"/>
          <w:b/>
          <w:bCs/>
          <w:sz w:val="36"/>
          <w:szCs w:val="36"/>
        </w:rPr>
      </w:pPr>
    </w:p>
    <w:p w14:paraId="6E5FB2B2" w14:textId="77777777" w:rsidR="005979B0" w:rsidRDefault="005979B0" w:rsidP="00420E11">
      <w:pPr>
        <w:spacing w:before="100" w:beforeAutospacing="1" w:after="100" w:afterAutospacing="1"/>
        <w:rPr>
          <w:rFonts w:eastAsia="Times New Roman"/>
          <w:b/>
          <w:bCs/>
          <w:sz w:val="36"/>
          <w:szCs w:val="36"/>
        </w:rPr>
      </w:pPr>
    </w:p>
    <w:p w14:paraId="65B6695F" w14:textId="04851305" w:rsidR="00420E11" w:rsidRPr="00A74734" w:rsidRDefault="00420E11" w:rsidP="00420E11">
      <w:pPr>
        <w:spacing w:before="100" w:beforeAutospacing="1" w:after="100" w:afterAutospacing="1"/>
        <w:rPr>
          <w:rFonts w:eastAsia="Times New Roman"/>
          <w:b/>
          <w:bCs/>
          <w:sz w:val="28"/>
          <w:szCs w:val="28"/>
        </w:rPr>
      </w:pPr>
      <w:r w:rsidRPr="00A74734">
        <w:rPr>
          <w:rFonts w:eastAsia="Times New Roman"/>
          <w:b/>
          <w:bCs/>
          <w:sz w:val="28"/>
          <w:szCs w:val="28"/>
        </w:rPr>
        <w:lastRenderedPageBreak/>
        <w:t>References</w:t>
      </w:r>
    </w:p>
    <w:p w14:paraId="21F54BE9" w14:textId="77777777" w:rsidR="00420E11" w:rsidRPr="00EA39D5" w:rsidRDefault="00420E11" w:rsidP="00EF33F8">
      <w:pPr>
        <w:spacing w:before="100" w:beforeAutospacing="1" w:after="100" w:afterAutospacing="1"/>
        <w:ind w:left="900" w:hanging="900"/>
        <w:jc w:val="both"/>
        <w:rPr>
          <w:rFonts w:eastAsia="Times New Roman"/>
          <w:sz w:val="16"/>
          <w:szCs w:val="16"/>
          <w:lang w:val="nl-NL"/>
        </w:rPr>
      </w:pPr>
      <w:r w:rsidRPr="00EA39D5">
        <w:rPr>
          <w:rFonts w:eastAsia="Times New Roman"/>
          <w:b/>
          <w:bCs/>
          <w:sz w:val="16"/>
          <w:szCs w:val="16"/>
        </w:rPr>
        <w:t>Age UK. (2023).</w:t>
      </w:r>
      <w:r w:rsidRPr="00EA39D5">
        <w:rPr>
          <w:rFonts w:eastAsia="Times New Roman"/>
          <w:sz w:val="16"/>
          <w:szCs w:val="16"/>
        </w:rPr>
        <w:t xml:space="preserve"> </w:t>
      </w:r>
      <w:r w:rsidRPr="00EA39D5">
        <w:rPr>
          <w:rFonts w:eastAsia="Times New Roman"/>
          <w:i/>
          <w:iCs/>
          <w:sz w:val="16"/>
          <w:szCs w:val="16"/>
        </w:rPr>
        <w:t>Age UK analysis reveals that almost 6 million people (5,800,000) aged 65+ are either unable to use the internet safely and successfully or aren’t online at all.</w:t>
      </w:r>
      <w:r w:rsidRPr="00EA39D5">
        <w:rPr>
          <w:rFonts w:eastAsia="Times New Roman"/>
          <w:sz w:val="16"/>
          <w:szCs w:val="16"/>
        </w:rPr>
        <w:t xml:space="preserve"> </w:t>
      </w:r>
      <w:r w:rsidRPr="00EA39D5">
        <w:rPr>
          <w:rFonts w:eastAsia="Times New Roman"/>
          <w:sz w:val="16"/>
          <w:szCs w:val="16"/>
          <w:lang w:val="nl-NL"/>
        </w:rPr>
        <w:t xml:space="preserve">Age UK. </w:t>
      </w:r>
      <w:r w:rsidRPr="00EA39D5">
        <w:rPr>
          <w:sz w:val="16"/>
          <w:szCs w:val="16"/>
        </w:rPr>
        <w:fldChar w:fldCharType="begin"/>
      </w:r>
      <w:r w:rsidRPr="00EA39D5">
        <w:rPr>
          <w:sz w:val="16"/>
          <w:szCs w:val="16"/>
          <w:lang w:val="nl-NL"/>
        </w:rPr>
        <w:instrText>HYPERLINK "https://www.ageuk.org.uk/latest-press/articles/2023/age-uk-analysis-reveals-that-almost-6-million-people-5800000-aged-65-are-either-unable-to-use-the-internet-safely-and-successfully-or-arent-online-at-all/" \t "_blank"</w:instrText>
      </w:r>
      <w:r w:rsidRPr="00EA39D5">
        <w:rPr>
          <w:sz w:val="16"/>
          <w:szCs w:val="16"/>
        </w:rPr>
      </w:r>
      <w:r w:rsidRPr="00EA39D5">
        <w:rPr>
          <w:sz w:val="16"/>
          <w:szCs w:val="16"/>
        </w:rPr>
        <w:fldChar w:fldCharType="separate"/>
      </w:r>
      <w:r w:rsidRPr="00EA39D5">
        <w:rPr>
          <w:rFonts w:eastAsia="Times New Roman"/>
          <w:color w:val="0000FF"/>
          <w:sz w:val="16"/>
          <w:szCs w:val="16"/>
          <w:u w:val="single"/>
          <w:lang w:val="nl-NL"/>
        </w:rPr>
        <w:t>https://www.ageuk.org.uk/latest-press/articles/2023/age-uk-analysis-reveals-that-almost-6-million-people-5800000-aged-65-are-either-unable-to-use-the-internet-safely-and-successfully-or-arent-online-at-all/</w:t>
      </w:r>
      <w:r w:rsidRPr="00EA39D5">
        <w:rPr>
          <w:sz w:val="16"/>
          <w:szCs w:val="16"/>
        </w:rPr>
        <w:fldChar w:fldCharType="end"/>
      </w:r>
    </w:p>
    <w:p w14:paraId="5A6E00C9" w14:textId="77777777" w:rsidR="00420E11" w:rsidRPr="00EA39D5" w:rsidRDefault="00420E11" w:rsidP="00EF33F8">
      <w:pPr>
        <w:pStyle w:val="NormalWeb"/>
        <w:ind w:left="900" w:hanging="900"/>
        <w:jc w:val="both"/>
        <w:rPr>
          <w:rFonts w:ascii="Arial" w:hAnsi="Arial" w:cs="Arial"/>
          <w:sz w:val="16"/>
          <w:szCs w:val="16"/>
          <w:lang w:val="nl-NL"/>
        </w:rPr>
      </w:pPr>
      <w:r w:rsidRPr="00EA39D5">
        <w:rPr>
          <w:rFonts w:ascii="Arial" w:hAnsi="Arial" w:cs="Arial"/>
          <w:b/>
          <w:sz w:val="16"/>
          <w:szCs w:val="16"/>
        </w:rPr>
        <w:t>Age UK. (2023).</w:t>
      </w:r>
      <w:r w:rsidRPr="00EA39D5">
        <w:rPr>
          <w:rFonts w:ascii="Arial" w:hAnsi="Arial" w:cs="Arial"/>
          <w:sz w:val="16"/>
          <w:szCs w:val="16"/>
        </w:rPr>
        <w:t xml:space="preserve"> Age UK analysis reveals that almost 6 million people (5,800,000) aged 65+ are either unable to use the internet safely and successfully or aren’t online at all. </w:t>
      </w:r>
      <w:r w:rsidRPr="00EA39D5">
        <w:rPr>
          <w:rFonts w:ascii="Arial" w:hAnsi="Arial" w:cs="Arial"/>
          <w:sz w:val="16"/>
          <w:szCs w:val="16"/>
          <w:lang w:val="nl-NL"/>
        </w:rPr>
        <w:t>Age UK. https://www.ageuk.org.uk/latest-press/articles/2023/age-uk-analysis-reveals-that-almost-6-million-people-5800000-aged-65-are-either-unable-to-use-the-internet-safely-and-successfully-or-arent-online-at-all/</w:t>
      </w:r>
    </w:p>
    <w:p w14:paraId="49210260" w14:textId="77777777" w:rsidR="00420E11" w:rsidRPr="00EA39D5" w:rsidRDefault="00420E11" w:rsidP="00EF33F8">
      <w:pPr>
        <w:spacing w:before="100" w:beforeAutospacing="1" w:after="100" w:afterAutospacing="1"/>
        <w:ind w:left="900" w:hanging="900"/>
        <w:jc w:val="both"/>
        <w:rPr>
          <w:rFonts w:eastAsia="Times New Roman"/>
          <w:sz w:val="16"/>
          <w:szCs w:val="16"/>
        </w:rPr>
      </w:pPr>
      <w:r w:rsidRPr="00EA39D5">
        <w:rPr>
          <w:rFonts w:eastAsia="Times New Roman"/>
          <w:b/>
          <w:bCs/>
          <w:sz w:val="16"/>
          <w:szCs w:val="16"/>
        </w:rPr>
        <w:t>Alhussein, M., Patel, B., &amp; Liu, X. (2023).</w:t>
      </w:r>
      <w:r w:rsidRPr="00EA39D5">
        <w:rPr>
          <w:rFonts w:eastAsia="Times New Roman"/>
          <w:sz w:val="16"/>
          <w:szCs w:val="16"/>
        </w:rPr>
        <w:t xml:space="preserve"> Closing the gap: Technology access and telehealth use among older adults in the U.S. Medicare beneficiaries. </w:t>
      </w:r>
      <w:r w:rsidRPr="00EA39D5">
        <w:rPr>
          <w:rFonts w:eastAsia="Times New Roman"/>
          <w:i/>
          <w:iCs/>
          <w:sz w:val="16"/>
          <w:szCs w:val="16"/>
        </w:rPr>
        <w:t>Telematics and Informatics Reports, 12</w:t>
      </w:r>
      <w:r w:rsidRPr="00EA39D5">
        <w:rPr>
          <w:rFonts w:eastAsia="Times New Roman"/>
          <w:sz w:val="16"/>
          <w:szCs w:val="16"/>
        </w:rPr>
        <w:t xml:space="preserve">, Article 100103. </w:t>
      </w:r>
      <w:hyperlink r:id="rId5" w:tgtFrame="_blank" w:history="1">
        <w:r w:rsidRPr="00EA39D5">
          <w:rPr>
            <w:rFonts w:eastAsia="Times New Roman"/>
            <w:color w:val="0000FF"/>
            <w:sz w:val="16"/>
            <w:szCs w:val="16"/>
            <w:u w:val="single"/>
          </w:rPr>
          <w:t>https://doi.org/10.1016/j.teler.2023.100103</w:t>
        </w:r>
      </w:hyperlink>
    </w:p>
    <w:p w14:paraId="1264F12C" w14:textId="77777777" w:rsidR="00420E11" w:rsidRPr="00EA39D5" w:rsidRDefault="00420E11" w:rsidP="00EF33F8">
      <w:pPr>
        <w:spacing w:before="100" w:beforeAutospacing="1" w:after="100" w:afterAutospacing="1"/>
        <w:ind w:left="900" w:hanging="900"/>
        <w:jc w:val="both"/>
        <w:rPr>
          <w:rFonts w:eastAsia="Times New Roman"/>
          <w:sz w:val="16"/>
          <w:szCs w:val="16"/>
        </w:rPr>
      </w:pPr>
      <w:proofErr w:type="spellStart"/>
      <w:r w:rsidRPr="00EA39D5">
        <w:rPr>
          <w:rFonts w:eastAsia="Times New Roman"/>
          <w:b/>
          <w:bCs/>
          <w:sz w:val="16"/>
          <w:szCs w:val="16"/>
        </w:rPr>
        <w:t>Bashshur</w:t>
      </w:r>
      <w:proofErr w:type="spellEnd"/>
      <w:r w:rsidRPr="00EA39D5">
        <w:rPr>
          <w:rFonts w:eastAsia="Times New Roman"/>
          <w:b/>
          <w:bCs/>
          <w:sz w:val="16"/>
          <w:szCs w:val="16"/>
        </w:rPr>
        <w:t xml:space="preserve">, R. L., </w:t>
      </w:r>
      <w:proofErr w:type="spellStart"/>
      <w:r w:rsidRPr="00EA39D5">
        <w:rPr>
          <w:rFonts w:eastAsia="Times New Roman"/>
          <w:b/>
          <w:bCs/>
          <w:sz w:val="16"/>
          <w:szCs w:val="16"/>
        </w:rPr>
        <w:t>Doarn</w:t>
      </w:r>
      <w:proofErr w:type="spellEnd"/>
      <w:r w:rsidRPr="00EA39D5">
        <w:rPr>
          <w:rFonts w:eastAsia="Times New Roman"/>
          <w:b/>
          <w:bCs/>
          <w:sz w:val="16"/>
          <w:szCs w:val="16"/>
        </w:rPr>
        <w:t xml:space="preserve">, C. R., Frenk, J. M., Kvedar, J. C., &amp; </w:t>
      </w:r>
      <w:proofErr w:type="spellStart"/>
      <w:r w:rsidRPr="00EA39D5">
        <w:rPr>
          <w:rFonts w:eastAsia="Times New Roman"/>
          <w:b/>
          <w:bCs/>
          <w:sz w:val="16"/>
          <w:szCs w:val="16"/>
        </w:rPr>
        <w:t>Woolliscroft</w:t>
      </w:r>
      <w:proofErr w:type="spellEnd"/>
      <w:r w:rsidRPr="00EA39D5">
        <w:rPr>
          <w:rFonts w:eastAsia="Times New Roman"/>
          <w:b/>
          <w:bCs/>
          <w:sz w:val="16"/>
          <w:szCs w:val="16"/>
        </w:rPr>
        <w:t>, J. O. (2020).</w:t>
      </w:r>
      <w:r w:rsidRPr="00EA39D5">
        <w:rPr>
          <w:rFonts w:eastAsia="Times New Roman"/>
          <w:sz w:val="16"/>
          <w:szCs w:val="16"/>
        </w:rPr>
        <w:t xml:space="preserve"> Telemedicine and the COVID-19 pandemic, lessons for the future. </w:t>
      </w:r>
      <w:r w:rsidRPr="00EA39D5">
        <w:rPr>
          <w:rFonts w:eastAsia="Times New Roman"/>
          <w:i/>
          <w:iCs/>
          <w:sz w:val="16"/>
          <w:szCs w:val="16"/>
        </w:rPr>
        <w:t>Telemedicine and e-Health, 26</w:t>
      </w:r>
      <w:r w:rsidRPr="00EA39D5">
        <w:rPr>
          <w:rFonts w:eastAsia="Times New Roman"/>
          <w:sz w:val="16"/>
          <w:szCs w:val="16"/>
        </w:rPr>
        <w:t xml:space="preserve">(5), 571–573. </w:t>
      </w:r>
      <w:hyperlink r:id="rId6" w:tgtFrame="_blank" w:history="1">
        <w:r w:rsidRPr="00EA39D5">
          <w:rPr>
            <w:rFonts w:eastAsia="Times New Roman"/>
            <w:color w:val="0000FF"/>
            <w:sz w:val="16"/>
            <w:szCs w:val="16"/>
            <w:u w:val="single"/>
          </w:rPr>
          <w:t>https://doi.org/10.1089/tmj.2020.29040.rb</w:t>
        </w:r>
      </w:hyperlink>
    </w:p>
    <w:p w14:paraId="4584E5B9" w14:textId="77777777" w:rsidR="00C52277" w:rsidRPr="00EA39D5" w:rsidRDefault="00C52277" w:rsidP="00EF33F8">
      <w:pPr>
        <w:spacing w:before="100" w:beforeAutospacing="1" w:after="100" w:afterAutospacing="1"/>
        <w:ind w:left="900" w:hanging="900"/>
        <w:jc w:val="both"/>
        <w:rPr>
          <w:rFonts w:eastAsia="Times New Roman"/>
          <w:sz w:val="16"/>
          <w:szCs w:val="16"/>
        </w:rPr>
      </w:pPr>
      <w:r w:rsidRPr="00EA39D5">
        <w:rPr>
          <w:rFonts w:eastAsia="Times New Roman"/>
          <w:sz w:val="16"/>
          <w:szCs w:val="16"/>
        </w:rPr>
        <w:t xml:space="preserve">Batsis, J. A., DiMilia, P. R., Seo, L. M., Fortuna, K. L., Kennedy, M. A., Blunt, H. B., Bagley, P. J., Brooks, J., Brooks, E., Kim, S. Y., </w:t>
      </w:r>
      <w:proofErr w:type="spellStart"/>
      <w:r w:rsidRPr="00EA39D5">
        <w:rPr>
          <w:rFonts w:eastAsia="Times New Roman"/>
          <w:sz w:val="16"/>
          <w:szCs w:val="16"/>
        </w:rPr>
        <w:t>Masutani</w:t>
      </w:r>
      <w:proofErr w:type="spellEnd"/>
      <w:r w:rsidRPr="00EA39D5">
        <w:rPr>
          <w:rFonts w:eastAsia="Times New Roman"/>
          <w:sz w:val="16"/>
          <w:szCs w:val="16"/>
        </w:rPr>
        <w:t xml:space="preserve">, R. K., Bruce, M. L., &amp; Bartels, S. J. (2019). Effectiveness of ambulatory telemedicine care in older adults: A systematic review. </w:t>
      </w:r>
      <w:r w:rsidRPr="00EA39D5">
        <w:rPr>
          <w:rFonts w:eastAsia="Times New Roman"/>
          <w:i/>
          <w:sz w:val="16"/>
          <w:szCs w:val="16"/>
        </w:rPr>
        <w:t>Journal of the American Geriatrics Society</w:t>
      </w:r>
      <w:r w:rsidRPr="00EA39D5">
        <w:rPr>
          <w:rFonts w:eastAsia="Times New Roman"/>
          <w:sz w:val="16"/>
          <w:szCs w:val="16"/>
        </w:rPr>
        <w:t>, 67(8), 1737–1749.</w:t>
      </w:r>
    </w:p>
    <w:p w14:paraId="166DC1A7" w14:textId="77777777" w:rsidR="00420E11" w:rsidRPr="00EA39D5" w:rsidRDefault="00420E11" w:rsidP="00EF33F8">
      <w:pPr>
        <w:spacing w:before="100" w:beforeAutospacing="1" w:after="100" w:afterAutospacing="1"/>
        <w:ind w:left="900" w:hanging="900"/>
        <w:jc w:val="both"/>
        <w:rPr>
          <w:rFonts w:eastAsia="Times New Roman"/>
          <w:sz w:val="16"/>
          <w:szCs w:val="16"/>
        </w:rPr>
      </w:pPr>
      <w:r w:rsidRPr="00EA39D5">
        <w:rPr>
          <w:rFonts w:eastAsia="Times New Roman"/>
          <w:sz w:val="16"/>
          <w:szCs w:val="16"/>
        </w:rPr>
        <w:t xml:space="preserve">Choi, N. G., DiNitto, D. M., Marti, C. N., &amp; Choi, B. Y. (2022). Telehealth use among older adults during COVID-19: Associations with sociodemographic and health characteristics, technology device ownership, and technology learning. </w:t>
      </w:r>
      <w:r w:rsidRPr="00EA39D5">
        <w:rPr>
          <w:rFonts w:eastAsia="Times New Roman"/>
          <w:i/>
          <w:sz w:val="16"/>
          <w:szCs w:val="16"/>
        </w:rPr>
        <w:t>Journal of Applied Gerontology</w:t>
      </w:r>
      <w:r w:rsidRPr="00EA39D5">
        <w:rPr>
          <w:rFonts w:eastAsia="Times New Roman"/>
          <w:sz w:val="16"/>
          <w:szCs w:val="16"/>
        </w:rPr>
        <w:t>, 41(3), 600–609.</w:t>
      </w:r>
    </w:p>
    <w:p w14:paraId="0BAAD62C" w14:textId="77777777" w:rsidR="00420E11" w:rsidRPr="00EA39D5" w:rsidRDefault="00420E11" w:rsidP="00EF33F8">
      <w:pPr>
        <w:spacing w:before="100" w:beforeAutospacing="1" w:after="100" w:afterAutospacing="1"/>
        <w:ind w:left="900" w:hanging="900"/>
        <w:jc w:val="both"/>
        <w:rPr>
          <w:rFonts w:eastAsia="Times New Roman"/>
          <w:sz w:val="16"/>
          <w:szCs w:val="16"/>
        </w:rPr>
      </w:pPr>
      <w:proofErr w:type="spellStart"/>
      <w:r w:rsidRPr="00EA39D5">
        <w:rPr>
          <w:rFonts w:eastAsia="Times New Roman"/>
          <w:sz w:val="16"/>
          <w:szCs w:val="16"/>
        </w:rPr>
        <w:t>Ilali</w:t>
      </w:r>
      <w:proofErr w:type="spellEnd"/>
      <w:r w:rsidRPr="00EA39D5">
        <w:rPr>
          <w:rFonts w:eastAsia="Times New Roman"/>
          <w:sz w:val="16"/>
          <w:szCs w:val="16"/>
        </w:rPr>
        <w:t xml:space="preserve">, M., Le Berre, M., Vedel, I., &amp; Khanassov, V. (2023). Telemedicine in the primary care of older adults: A systematic mixed studies review. </w:t>
      </w:r>
      <w:r w:rsidRPr="00EA39D5">
        <w:rPr>
          <w:rFonts w:eastAsia="Times New Roman"/>
          <w:i/>
          <w:sz w:val="16"/>
          <w:szCs w:val="16"/>
        </w:rPr>
        <w:t>BMC Primary Care</w:t>
      </w:r>
      <w:r w:rsidRPr="00EA39D5">
        <w:rPr>
          <w:rFonts w:eastAsia="Times New Roman"/>
          <w:sz w:val="16"/>
          <w:szCs w:val="16"/>
        </w:rPr>
        <w:t xml:space="preserve">, 24, Article 152. </w:t>
      </w:r>
      <w:hyperlink r:id="rId7" w:history="1">
        <w:r w:rsidRPr="00EA39D5">
          <w:rPr>
            <w:rStyle w:val="Hyperlink"/>
            <w:rFonts w:eastAsia="Times New Roman"/>
            <w:sz w:val="16"/>
            <w:szCs w:val="16"/>
          </w:rPr>
          <w:t>https://doi.org/10.1186/s12875-023-02085-7</w:t>
        </w:r>
      </w:hyperlink>
    </w:p>
    <w:p w14:paraId="33E719CC" w14:textId="77777777" w:rsidR="00D94CC0" w:rsidRPr="00EA39D5" w:rsidRDefault="00D94CC0" w:rsidP="00EF33F8">
      <w:pPr>
        <w:spacing w:before="100" w:beforeAutospacing="1" w:after="100" w:afterAutospacing="1"/>
        <w:ind w:left="900" w:hanging="900"/>
        <w:jc w:val="both"/>
        <w:rPr>
          <w:rFonts w:eastAsia="Times New Roman"/>
          <w:sz w:val="16"/>
          <w:szCs w:val="16"/>
        </w:rPr>
      </w:pPr>
      <w:r w:rsidRPr="00EA39D5">
        <w:rPr>
          <w:rFonts w:eastAsia="Times New Roman"/>
          <w:sz w:val="16"/>
          <w:szCs w:val="16"/>
        </w:rPr>
        <w:t xml:space="preserve">Japan Geriatrics Society Geriatric Medical Practice Committee, Nomura, K., Ebihara, S., </w:t>
      </w:r>
      <w:proofErr w:type="spellStart"/>
      <w:r w:rsidRPr="00EA39D5">
        <w:rPr>
          <w:rFonts w:eastAsia="Times New Roman"/>
          <w:sz w:val="16"/>
          <w:szCs w:val="16"/>
        </w:rPr>
        <w:t>Ikebata</w:t>
      </w:r>
      <w:proofErr w:type="spellEnd"/>
      <w:r w:rsidRPr="00EA39D5">
        <w:rPr>
          <w:rFonts w:eastAsia="Times New Roman"/>
          <w:sz w:val="16"/>
          <w:szCs w:val="16"/>
        </w:rPr>
        <w:t xml:space="preserve">, Y., </w:t>
      </w:r>
      <w:proofErr w:type="spellStart"/>
      <w:r w:rsidRPr="00EA39D5">
        <w:rPr>
          <w:rFonts w:eastAsia="Times New Roman"/>
          <w:sz w:val="16"/>
          <w:szCs w:val="16"/>
        </w:rPr>
        <w:t>Umegaki</w:t>
      </w:r>
      <w:proofErr w:type="spellEnd"/>
      <w:r w:rsidRPr="00EA39D5">
        <w:rPr>
          <w:rFonts w:eastAsia="Times New Roman"/>
          <w:sz w:val="16"/>
          <w:szCs w:val="16"/>
        </w:rPr>
        <w:t>, H., Ooi, K., Ogawa, S., Katsuya, T., Kobayashi, Y., Sakurai, T., Miyao, M., Yamaguchi, K., &amp; Akishita, M. (2022). Japan Geriatrics Society “Statement for the use of telemedicine in geriatric care: Telemedicine as a complement to in-person medical practice”: Geriatric Medical Practice Committee consensus statement. Geriatrics &amp; Gerontology International, 22(11), 913–916. https://doi.org/10.1111/ggi.14490</w:t>
      </w:r>
    </w:p>
    <w:p w14:paraId="43D56959" w14:textId="77777777" w:rsidR="00420E11" w:rsidRPr="00EA39D5" w:rsidRDefault="00420E11" w:rsidP="00EF33F8">
      <w:pPr>
        <w:spacing w:before="100" w:beforeAutospacing="1" w:after="100" w:afterAutospacing="1"/>
        <w:ind w:left="900" w:hanging="900"/>
        <w:jc w:val="both"/>
        <w:rPr>
          <w:rFonts w:eastAsia="Times New Roman"/>
          <w:sz w:val="16"/>
          <w:szCs w:val="16"/>
        </w:rPr>
      </w:pPr>
      <w:r w:rsidRPr="00EA39D5">
        <w:rPr>
          <w:rFonts w:eastAsia="Times New Roman"/>
          <w:sz w:val="16"/>
          <w:szCs w:val="16"/>
        </w:rPr>
        <w:t xml:space="preserve">Lam, K., Lu, A. D., Shi, Y., &amp; </w:t>
      </w:r>
      <w:proofErr w:type="spellStart"/>
      <w:r w:rsidRPr="00EA39D5">
        <w:rPr>
          <w:rFonts w:eastAsia="Times New Roman"/>
          <w:sz w:val="16"/>
          <w:szCs w:val="16"/>
        </w:rPr>
        <w:t>Covinsky</w:t>
      </w:r>
      <w:proofErr w:type="spellEnd"/>
      <w:r w:rsidRPr="00EA39D5">
        <w:rPr>
          <w:rFonts w:eastAsia="Times New Roman"/>
          <w:sz w:val="16"/>
          <w:szCs w:val="16"/>
        </w:rPr>
        <w:t xml:space="preserve">, K. E. (2020). Assessing telemedicine unreadiness among older adults in the United States during the COVID-19 pandemic. </w:t>
      </w:r>
      <w:r w:rsidRPr="00EA39D5">
        <w:rPr>
          <w:rFonts w:eastAsia="Times New Roman"/>
          <w:i/>
          <w:sz w:val="16"/>
          <w:szCs w:val="16"/>
        </w:rPr>
        <w:t>JAMA Internal Medicine</w:t>
      </w:r>
      <w:r w:rsidRPr="00EA39D5">
        <w:rPr>
          <w:rFonts w:eastAsia="Times New Roman"/>
          <w:sz w:val="16"/>
          <w:szCs w:val="16"/>
        </w:rPr>
        <w:t xml:space="preserve">, 180(10), 1389–1391. </w:t>
      </w:r>
      <w:hyperlink r:id="rId8" w:history="1">
        <w:r w:rsidR="00156D49" w:rsidRPr="00EA39D5">
          <w:rPr>
            <w:rStyle w:val="Hyperlink"/>
            <w:rFonts w:eastAsia="Times New Roman"/>
            <w:sz w:val="16"/>
            <w:szCs w:val="16"/>
          </w:rPr>
          <w:t>https://doi.org/10.1001/jamainternmed.2020.2671</w:t>
        </w:r>
      </w:hyperlink>
    </w:p>
    <w:p w14:paraId="6D3744AF" w14:textId="77777777" w:rsidR="00156D49" w:rsidRPr="00EA39D5" w:rsidRDefault="00156D49" w:rsidP="00EF33F8">
      <w:pPr>
        <w:spacing w:before="100" w:beforeAutospacing="1" w:after="100" w:afterAutospacing="1"/>
        <w:ind w:left="900" w:hanging="900"/>
        <w:jc w:val="both"/>
        <w:rPr>
          <w:rFonts w:eastAsia="Times New Roman"/>
          <w:sz w:val="16"/>
          <w:szCs w:val="16"/>
        </w:rPr>
      </w:pPr>
      <w:r w:rsidRPr="00EA39D5">
        <w:rPr>
          <w:rFonts w:eastAsia="Times New Roman"/>
          <w:b/>
          <w:bCs/>
          <w:sz w:val="16"/>
          <w:szCs w:val="16"/>
        </w:rPr>
        <w:t>Leff, B., Ritchie, C. S., Rising, K. L., Cannon, K., &amp; Wardlow, L. (2025).</w:t>
      </w:r>
      <w:r w:rsidRPr="00EA39D5">
        <w:rPr>
          <w:rFonts w:eastAsia="Times New Roman"/>
          <w:sz w:val="16"/>
          <w:szCs w:val="16"/>
        </w:rPr>
        <w:t xml:space="preserve"> Addressing barriers to equitable telehealth for older adults. </w:t>
      </w:r>
      <w:r w:rsidRPr="00EA39D5">
        <w:rPr>
          <w:rFonts w:eastAsia="Times New Roman"/>
          <w:i/>
          <w:iCs/>
          <w:sz w:val="16"/>
          <w:szCs w:val="16"/>
        </w:rPr>
        <w:t>Frontiers in Medicine, 12</w:t>
      </w:r>
      <w:r w:rsidRPr="00EA39D5">
        <w:rPr>
          <w:rFonts w:eastAsia="Times New Roman"/>
          <w:sz w:val="16"/>
          <w:szCs w:val="16"/>
        </w:rPr>
        <w:t xml:space="preserve">, Article 1483366. </w:t>
      </w:r>
      <w:hyperlink r:id="rId9" w:tgtFrame="_blank" w:history="1">
        <w:r w:rsidRPr="00EA39D5">
          <w:rPr>
            <w:rFonts w:eastAsia="Times New Roman"/>
            <w:color w:val="0000FF"/>
            <w:sz w:val="16"/>
            <w:szCs w:val="16"/>
            <w:u w:val="single"/>
          </w:rPr>
          <w:t>https://doi.org/10.3389/fmed.2025.1483366</w:t>
        </w:r>
      </w:hyperlink>
    </w:p>
    <w:p w14:paraId="7C52E71B" w14:textId="77777777" w:rsidR="00992C6F" w:rsidRPr="00EA39D5" w:rsidRDefault="00992C6F" w:rsidP="00EF33F8">
      <w:pPr>
        <w:spacing w:before="100" w:beforeAutospacing="1" w:after="100" w:afterAutospacing="1"/>
        <w:ind w:left="900" w:hanging="900"/>
        <w:jc w:val="both"/>
        <w:rPr>
          <w:rFonts w:eastAsia="Times New Roman"/>
          <w:sz w:val="16"/>
          <w:szCs w:val="16"/>
        </w:rPr>
      </w:pPr>
      <w:r w:rsidRPr="00EA39D5">
        <w:rPr>
          <w:rFonts w:eastAsia="Times New Roman"/>
          <w:sz w:val="16"/>
          <w:szCs w:val="16"/>
          <w:lang w:val="nl-NL"/>
        </w:rPr>
        <w:t xml:space="preserve">Li, S., Ouyang, Y., &amp; Hu, M. (2025). </w:t>
      </w:r>
      <w:r w:rsidRPr="00EA39D5">
        <w:rPr>
          <w:rFonts w:eastAsia="Times New Roman"/>
          <w:sz w:val="16"/>
          <w:szCs w:val="16"/>
        </w:rPr>
        <w:t xml:space="preserve">Ten-year trends of the digital divides and its effect on healthy aging among older adults in China from 2011 to 2020. </w:t>
      </w:r>
      <w:proofErr w:type="spellStart"/>
      <w:r w:rsidRPr="00EA39D5">
        <w:rPr>
          <w:rFonts w:eastAsia="Times New Roman"/>
          <w:sz w:val="16"/>
          <w:szCs w:val="16"/>
        </w:rPr>
        <w:t>npj</w:t>
      </w:r>
      <w:proofErr w:type="spellEnd"/>
      <w:r w:rsidRPr="00EA39D5">
        <w:rPr>
          <w:rFonts w:eastAsia="Times New Roman"/>
          <w:sz w:val="16"/>
          <w:szCs w:val="16"/>
        </w:rPr>
        <w:t xml:space="preserve"> </w:t>
      </w:r>
      <w:r w:rsidRPr="00EA39D5">
        <w:rPr>
          <w:rFonts w:eastAsia="Times New Roman"/>
          <w:i/>
          <w:sz w:val="16"/>
          <w:szCs w:val="16"/>
        </w:rPr>
        <w:t>Digital Medicine</w:t>
      </w:r>
      <w:r w:rsidRPr="00EA39D5">
        <w:rPr>
          <w:rFonts w:eastAsia="Times New Roman"/>
          <w:sz w:val="16"/>
          <w:szCs w:val="16"/>
        </w:rPr>
        <w:t>, 8, Article 710. https://doi.org/10.1038/s41746-025-02076-1</w:t>
      </w:r>
    </w:p>
    <w:p w14:paraId="1378E8A1" w14:textId="77777777" w:rsidR="00420E11" w:rsidRPr="00EA39D5" w:rsidRDefault="00420E11" w:rsidP="00EF33F8">
      <w:pPr>
        <w:spacing w:before="100" w:beforeAutospacing="1" w:after="100" w:afterAutospacing="1"/>
        <w:ind w:left="900" w:hanging="900"/>
        <w:jc w:val="both"/>
        <w:rPr>
          <w:rFonts w:eastAsia="Times New Roman"/>
          <w:sz w:val="16"/>
          <w:szCs w:val="16"/>
        </w:rPr>
      </w:pPr>
      <w:r w:rsidRPr="00EA39D5">
        <w:rPr>
          <w:rFonts w:eastAsia="Times New Roman"/>
          <w:b/>
          <w:bCs/>
          <w:sz w:val="16"/>
          <w:szCs w:val="16"/>
        </w:rPr>
        <w:t>Mao, A., Tam, L., Xu, A., Osborn, K., Sheffrin, M., Gould, C., Schillinger, E., Martin, M., &amp; Mesias, M. (2022).</w:t>
      </w:r>
      <w:r w:rsidRPr="00EA39D5">
        <w:rPr>
          <w:rFonts w:eastAsia="Times New Roman"/>
          <w:sz w:val="16"/>
          <w:szCs w:val="16"/>
        </w:rPr>
        <w:t xml:space="preserve"> Barriers to telemedicine video visits for older adults in independent living facilities: Mixed methods cross-sectional needs assessment. </w:t>
      </w:r>
      <w:r w:rsidRPr="00EA39D5">
        <w:rPr>
          <w:rFonts w:eastAsia="Times New Roman"/>
          <w:i/>
          <w:iCs/>
          <w:sz w:val="16"/>
          <w:szCs w:val="16"/>
        </w:rPr>
        <w:t>JMIR Aging, 5</w:t>
      </w:r>
      <w:r w:rsidRPr="00EA39D5">
        <w:rPr>
          <w:rFonts w:eastAsia="Times New Roman"/>
          <w:sz w:val="16"/>
          <w:szCs w:val="16"/>
        </w:rPr>
        <w:t xml:space="preserve">(2), Article e34326. </w:t>
      </w:r>
      <w:hyperlink r:id="rId10" w:tgtFrame="_blank" w:history="1">
        <w:r w:rsidRPr="00EA39D5">
          <w:rPr>
            <w:rFonts w:eastAsia="Times New Roman"/>
            <w:color w:val="0000FF"/>
            <w:sz w:val="16"/>
            <w:szCs w:val="16"/>
            <w:u w:val="single"/>
          </w:rPr>
          <w:t>https://doi.org/10.2196/34326</w:t>
        </w:r>
      </w:hyperlink>
    </w:p>
    <w:p w14:paraId="208118AB" w14:textId="77777777" w:rsidR="00420E11" w:rsidRPr="00EA39D5" w:rsidRDefault="00420E11" w:rsidP="00EF33F8">
      <w:pPr>
        <w:spacing w:before="100" w:beforeAutospacing="1" w:after="100" w:afterAutospacing="1"/>
        <w:ind w:left="900" w:hanging="900"/>
        <w:jc w:val="both"/>
        <w:rPr>
          <w:rFonts w:eastAsia="Times New Roman"/>
          <w:sz w:val="16"/>
          <w:szCs w:val="16"/>
        </w:rPr>
      </w:pPr>
      <w:r w:rsidRPr="00EA39D5">
        <w:rPr>
          <w:rFonts w:eastAsia="Times New Roman"/>
          <w:b/>
          <w:bCs/>
          <w:sz w:val="16"/>
          <w:szCs w:val="16"/>
        </w:rPr>
        <w:t>National Institute for Health and Care Excellence. (2016).</w:t>
      </w:r>
      <w:r w:rsidRPr="00EA39D5">
        <w:rPr>
          <w:rFonts w:eastAsia="Times New Roman"/>
          <w:sz w:val="16"/>
          <w:szCs w:val="16"/>
        </w:rPr>
        <w:t xml:space="preserve"> </w:t>
      </w:r>
      <w:r w:rsidRPr="00EA39D5">
        <w:rPr>
          <w:rFonts w:eastAsia="Times New Roman"/>
          <w:i/>
          <w:iCs/>
          <w:sz w:val="16"/>
          <w:szCs w:val="16"/>
        </w:rPr>
        <w:t>Multimorbidity: Clinical assessment and management</w:t>
      </w:r>
      <w:r w:rsidRPr="00EA39D5">
        <w:rPr>
          <w:rFonts w:eastAsia="Times New Roman"/>
          <w:sz w:val="16"/>
          <w:szCs w:val="16"/>
        </w:rPr>
        <w:t xml:space="preserve"> (NICE Guideline NG56). </w:t>
      </w:r>
      <w:hyperlink r:id="rId11" w:tgtFrame="_blank" w:history="1">
        <w:r w:rsidRPr="00EA39D5">
          <w:rPr>
            <w:rFonts w:eastAsia="Times New Roman"/>
            <w:color w:val="0000FF"/>
            <w:sz w:val="16"/>
            <w:szCs w:val="16"/>
            <w:u w:val="single"/>
          </w:rPr>
          <w:t>https://www.nice.org.uk/guidance/ng56</w:t>
        </w:r>
      </w:hyperlink>
      <w:r w:rsidRPr="00EA39D5">
        <w:rPr>
          <w:rFonts w:eastAsia="Times New Roman"/>
          <w:sz w:val="16"/>
          <w:szCs w:val="16"/>
        </w:rPr>
        <w:t xml:space="preserve"> </w:t>
      </w:r>
    </w:p>
    <w:p w14:paraId="139C2A18" w14:textId="7C392D84" w:rsidR="00420E11" w:rsidRPr="00EA39D5" w:rsidRDefault="00D52656" w:rsidP="00EF33F8">
      <w:pPr>
        <w:spacing w:before="100" w:beforeAutospacing="1" w:after="100" w:afterAutospacing="1"/>
        <w:ind w:left="900" w:hanging="900"/>
        <w:jc w:val="both"/>
        <w:rPr>
          <w:rFonts w:eastAsia="Times New Roman"/>
          <w:sz w:val="16"/>
          <w:szCs w:val="16"/>
        </w:rPr>
      </w:pPr>
      <w:r w:rsidRPr="00EA39D5">
        <w:rPr>
          <w:rFonts w:eastAsia="Times New Roman"/>
          <w:b/>
          <w:bCs/>
          <w:sz w:val="16"/>
          <w:szCs w:val="16"/>
        </w:rPr>
        <w:t>Organization</w:t>
      </w:r>
      <w:r w:rsidR="00420E11" w:rsidRPr="00EA39D5">
        <w:rPr>
          <w:rFonts w:eastAsia="Times New Roman"/>
          <w:b/>
          <w:bCs/>
          <w:sz w:val="16"/>
          <w:szCs w:val="16"/>
        </w:rPr>
        <w:t xml:space="preserve"> for Economic Co-operation and Development. (2023).</w:t>
      </w:r>
      <w:r w:rsidR="00420E11" w:rsidRPr="00EA39D5">
        <w:rPr>
          <w:rFonts w:eastAsia="Times New Roman"/>
          <w:sz w:val="16"/>
          <w:szCs w:val="16"/>
        </w:rPr>
        <w:t xml:space="preserve"> </w:t>
      </w:r>
      <w:r w:rsidR="00420E11" w:rsidRPr="00EA39D5">
        <w:rPr>
          <w:rFonts w:eastAsia="Times New Roman"/>
          <w:i/>
          <w:iCs/>
          <w:sz w:val="16"/>
          <w:szCs w:val="16"/>
        </w:rPr>
        <w:t>Fast-track on digital security in health</w:t>
      </w:r>
      <w:r w:rsidR="00420E11" w:rsidRPr="00EA39D5">
        <w:rPr>
          <w:rFonts w:eastAsia="Times New Roman"/>
          <w:sz w:val="16"/>
          <w:szCs w:val="16"/>
        </w:rPr>
        <w:t xml:space="preserve"> (OECD Health Working Papers). OECD Publishing. </w:t>
      </w:r>
      <w:hyperlink r:id="rId12" w:tgtFrame="_blank" w:history="1">
        <w:r w:rsidR="00420E11" w:rsidRPr="00EA39D5">
          <w:rPr>
            <w:rFonts w:eastAsia="Times New Roman"/>
            <w:color w:val="0000FF"/>
            <w:sz w:val="16"/>
            <w:szCs w:val="16"/>
            <w:u w:val="single"/>
          </w:rPr>
          <w:t>https://doi.org/10.1787/c3357f9f-en</w:t>
        </w:r>
      </w:hyperlink>
    </w:p>
    <w:p w14:paraId="6907A99E" w14:textId="77777777" w:rsidR="00420E11" w:rsidRPr="00EA39D5" w:rsidRDefault="00420E11" w:rsidP="00EF33F8">
      <w:pPr>
        <w:spacing w:before="100" w:beforeAutospacing="1" w:after="100" w:afterAutospacing="1"/>
        <w:ind w:left="900" w:hanging="900"/>
        <w:jc w:val="both"/>
        <w:rPr>
          <w:rFonts w:eastAsia="Times New Roman"/>
          <w:sz w:val="16"/>
          <w:szCs w:val="16"/>
        </w:rPr>
      </w:pPr>
      <w:r w:rsidRPr="00EA39D5">
        <w:rPr>
          <w:rFonts w:eastAsia="Times New Roman"/>
          <w:b/>
          <w:bCs/>
          <w:sz w:val="16"/>
          <w:szCs w:val="16"/>
        </w:rPr>
        <w:t xml:space="preserve">Pool, J., </w:t>
      </w:r>
      <w:proofErr w:type="spellStart"/>
      <w:r w:rsidRPr="00EA39D5">
        <w:rPr>
          <w:rFonts w:eastAsia="Times New Roman"/>
          <w:b/>
          <w:bCs/>
          <w:sz w:val="16"/>
          <w:szCs w:val="16"/>
        </w:rPr>
        <w:t>Akhlaghpour</w:t>
      </w:r>
      <w:proofErr w:type="spellEnd"/>
      <w:r w:rsidRPr="00EA39D5">
        <w:rPr>
          <w:rFonts w:eastAsia="Times New Roman"/>
          <w:b/>
          <w:bCs/>
          <w:sz w:val="16"/>
          <w:szCs w:val="16"/>
        </w:rPr>
        <w:t>, S., Fatehi, F., &amp; Burton-Jones, A. (2022).</w:t>
      </w:r>
      <w:r w:rsidRPr="00EA39D5">
        <w:rPr>
          <w:rFonts w:eastAsia="Times New Roman"/>
          <w:sz w:val="16"/>
          <w:szCs w:val="16"/>
        </w:rPr>
        <w:t xml:space="preserve"> A systematic analysis of failures in protecting personal health data: A scoping review. </w:t>
      </w:r>
      <w:r w:rsidRPr="00EA39D5">
        <w:rPr>
          <w:rFonts w:eastAsia="Times New Roman"/>
          <w:i/>
          <w:iCs/>
          <w:sz w:val="16"/>
          <w:szCs w:val="16"/>
        </w:rPr>
        <w:t>International Journal of Information Management, 68</w:t>
      </w:r>
      <w:r w:rsidRPr="00EA39D5">
        <w:rPr>
          <w:rFonts w:eastAsia="Times New Roman"/>
          <w:sz w:val="16"/>
          <w:szCs w:val="16"/>
        </w:rPr>
        <w:t xml:space="preserve">, Article 102575. </w:t>
      </w:r>
      <w:hyperlink r:id="rId13" w:tgtFrame="_blank" w:history="1">
        <w:r w:rsidRPr="00EA39D5">
          <w:rPr>
            <w:rFonts w:eastAsia="Times New Roman"/>
            <w:color w:val="0000FF"/>
            <w:sz w:val="16"/>
            <w:szCs w:val="16"/>
            <w:u w:val="single"/>
          </w:rPr>
          <w:t>https://doi.org/10.1016/j.ijinfomgt.2022.102575</w:t>
        </w:r>
      </w:hyperlink>
    </w:p>
    <w:p w14:paraId="6602F680" w14:textId="77777777" w:rsidR="00420E11" w:rsidRPr="00EA39D5" w:rsidRDefault="00420E11" w:rsidP="00EF33F8">
      <w:pPr>
        <w:spacing w:before="100" w:beforeAutospacing="1" w:after="100" w:afterAutospacing="1"/>
        <w:ind w:left="900" w:hanging="900"/>
        <w:jc w:val="both"/>
        <w:rPr>
          <w:rFonts w:eastAsia="Times New Roman"/>
          <w:sz w:val="16"/>
          <w:szCs w:val="16"/>
        </w:rPr>
      </w:pPr>
      <w:r w:rsidRPr="00EA39D5">
        <w:rPr>
          <w:rFonts w:eastAsia="Times New Roman"/>
          <w:b/>
          <w:bCs/>
          <w:sz w:val="16"/>
          <w:szCs w:val="16"/>
        </w:rPr>
        <w:lastRenderedPageBreak/>
        <w:t>Seifert, A., Cotten, S. R., &amp; Xie, B. (2021).</w:t>
      </w:r>
      <w:r w:rsidRPr="00EA39D5">
        <w:rPr>
          <w:rFonts w:eastAsia="Times New Roman"/>
          <w:sz w:val="16"/>
          <w:szCs w:val="16"/>
        </w:rPr>
        <w:t xml:space="preserve"> A double burden of exclusion? Digital and social exclusion of older adults in times of COVID-19. </w:t>
      </w:r>
      <w:r w:rsidRPr="00EA39D5">
        <w:rPr>
          <w:rFonts w:eastAsia="Times New Roman"/>
          <w:i/>
          <w:iCs/>
          <w:sz w:val="16"/>
          <w:szCs w:val="16"/>
        </w:rPr>
        <w:t>The Journals of Gerontology: Series B, 76</w:t>
      </w:r>
      <w:r w:rsidRPr="00EA39D5">
        <w:rPr>
          <w:rFonts w:eastAsia="Times New Roman"/>
          <w:sz w:val="16"/>
          <w:szCs w:val="16"/>
        </w:rPr>
        <w:t xml:space="preserve">(3), e99–e103. </w:t>
      </w:r>
      <w:hyperlink r:id="rId14" w:tgtFrame="_blank" w:history="1">
        <w:r w:rsidRPr="00EA39D5">
          <w:rPr>
            <w:rFonts w:eastAsia="Times New Roman"/>
            <w:color w:val="0000FF"/>
            <w:sz w:val="16"/>
            <w:szCs w:val="16"/>
            <w:u w:val="single"/>
          </w:rPr>
          <w:t>https://doi.org/10.1093/geronb/gbaa098</w:t>
        </w:r>
      </w:hyperlink>
    </w:p>
    <w:p w14:paraId="1AB7801E" w14:textId="77777777" w:rsidR="008021D4" w:rsidRPr="00EA39D5" w:rsidRDefault="008021D4" w:rsidP="00EF33F8">
      <w:pPr>
        <w:spacing w:before="100" w:beforeAutospacing="1" w:after="100" w:afterAutospacing="1"/>
        <w:ind w:left="900" w:hanging="900"/>
        <w:jc w:val="both"/>
        <w:rPr>
          <w:rFonts w:eastAsia="Times New Roman"/>
          <w:sz w:val="16"/>
          <w:szCs w:val="16"/>
        </w:rPr>
      </w:pPr>
      <w:r w:rsidRPr="00EA39D5">
        <w:rPr>
          <w:rFonts w:eastAsia="Times New Roman"/>
          <w:sz w:val="16"/>
          <w:szCs w:val="16"/>
        </w:rPr>
        <w:t>World Health Organization. (2019). WHO guideline: Recommendations on digital health for health system strengthening. World Health Organization. https://www.who.int/publications/i/item/9789241550505</w:t>
      </w:r>
    </w:p>
    <w:p w14:paraId="0CBABCCB" w14:textId="77777777" w:rsidR="00420E11" w:rsidRPr="00EA39D5" w:rsidRDefault="00420E11" w:rsidP="00EF33F8">
      <w:pPr>
        <w:spacing w:before="100" w:beforeAutospacing="1" w:after="100" w:afterAutospacing="1"/>
        <w:ind w:left="900" w:hanging="900"/>
        <w:jc w:val="both"/>
        <w:rPr>
          <w:rFonts w:eastAsia="Times New Roman"/>
          <w:sz w:val="16"/>
          <w:szCs w:val="16"/>
        </w:rPr>
      </w:pPr>
      <w:r w:rsidRPr="00EA39D5">
        <w:rPr>
          <w:rFonts w:eastAsia="Times New Roman"/>
          <w:b/>
          <w:bCs/>
          <w:sz w:val="16"/>
          <w:szCs w:val="16"/>
        </w:rPr>
        <w:t>World Health Organization. (2021).</w:t>
      </w:r>
      <w:r w:rsidRPr="00EA39D5">
        <w:rPr>
          <w:rFonts w:eastAsia="Times New Roman"/>
          <w:sz w:val="16"/>
          <w:szCs w:val="16"/>
        </w:rPr>
        <w:t xml:space="preserve"> </w:t>
      </w:r>
      <w:r w:rsidRPr="00EA39D5">
        <w:rPr>
          <w:rFonts w:eastAsia="Times New Roman"/>
          <w:i/>
          <w:iCs/>
          <w:sz w:val="16"/>
          <w:szCs w:val="16"/>
        </w:rPr>
        <w:t>Global strategy on digital health 2020–2025.</w:t>
      </w:r>
      <w:r w:rsidRPr="00EA39D5">
        <w:rPr>
          <w:rFonts w:eastAsia="Times New Roman"/>
          <w:sz w:val="16"/>
          <w:szCs w:val="16"/>
        </w:rPr>
        <w:t xml:space="preserve"> World Health Organization. </w:t>
      </w:r>
      <w:hyperlink r:id="rId15" w:tgtFrame="_blank" w:history="1">
        <w:r w:rsidRPr="00EA39D5">
          <w:rPr>
            <w:rFonts w:eastAsia="Times New Roman"/>
            <w:color w:val="0000FF"/>
            <w:sz w:val="16"/>
            <w:szCs w:val="16"/>
            <w:u w:val="single"/>
          </w:rPr>
          <w:t>https://www.who.int/publications/i/item/9789240020924</w:t>
        </w:r>
      </w:hyperlink>
    </w:p>
    <w:p w14:paraId="72E96C91" w14:textId="77777777" w:rsidR="0066577F" w:rsidRPr="00EA39D5" w:rsidRDefault="0066577F" w:rsidP="00EF33F8">
      <w:pPr>
        <w:spacing w:before="100" w:beforeAutospacing="1" w:after="100" w:afterAutospacing="1"/>
        <w:ind w:left="900" w:hanging="900"/>
        <w:jc w:val="both"/>
        <w:rPr>
          <w:rFonts w:eastAsia="Times New Roman"/>
          <w:sz w:val="16"/>
          <w:szCs w:val="16"/>
        </w:rPr>
      </w:pPr>
      <w:r w:rsidRPr="00EA39D5">
        <w:rPr>
          <w:rFonts w:eastAsia="Times New Roman"/>
          <w:b/>
          <w:bCs/>
          <w:sz w:val="16"/>
          <w:szCs w:val="16"/>
        </w:rPr>
        <w:t>World Health Organization. (2022).</w:t>
      </w:r>
      <w:r w:rsidRPr="00EA39D5">
        <w:rPr>
          <w:rFonts w:eastAsia="Times New Roman"/>
          <w:sz w:val="16"/>
          <w:szCs w:val="16"/>
        </w:rPr>
        <w:t xml:space="preserve"> </w:t>
      </w:r>
      <w:r w:rsidRPr="00EA39D5">
        <w:rPr>
          <w:rFonts w:eastAsia="Times New Roman"/>
          <w:i/>
          <w:iCs/>
          <w:sz w:val="16"/>
          <w:szCs w:val="16"/>
        </w:rPr>
        <w:t>Consolidated telemedicine implementation guide.</w:t>
      </w:r>
      <w:r w:rsidRPr="00EA39D5">
        <w:rPr>
          <w:rFonts w:eastAsia="Times New Roman"/>
          <w:sz w:val="16"/>
          <w:szCs w:val="16"/>
        </w:rPr>
        <w:t xml:space="preserve"> World Health Organization. </w:t>
      </w:r>
      <w:hyperlink r:id="rId16" w:tgtFrame="_blank" w:history="1">
        <w:r w:rsidRPr="00EA39D5">
          <w:rPr>
            <w:rFonts w:eastAsia="Times New Roman"/>
            <w:color w:val="0000FF"/>
            <w:sz w:val="16"/>
            <w:szCs w:val="16"/>
            <w:u w:val="single"/>
          </w:rPr>
          <w:t>https://www.who.int/publications/i/item/9789240059184</w:t>
        </w:r>
      </w:hyperlink>
    </w:p>
    <w:p w14:paraId="7FF6F90C" w14:textId="77777777" w:rsidR="0066577F" w:rsidRPr="0066577F" w:rsidRDefault="0066577F" w:rsidP="00EF33F8">
      <w:pPr>
        <w:spacing w:before="100" w:beforeAutospacing="1" w:after="100" w:afterAutospacing="1"/>
        <w:ind w:left="900" w:hanging="900"/>
        <w:jc w:val="both"/>
        <w:rPr>
          <w:rFonts w:eastAsia="Times New Roman"/>
          <w:sz w:val="22"/>
          <w:szCs w:val="22"/>
        </w:rPr>
      </w:pPr>
      <w:r w:rsidRPr="00EA39D5">
        <w:rPr>
          <w:rFonts w:eastAsia="Times New Roman"/>
          <w:b/>
          <w:bCs/>
          <w:sz w:val="16"/>
          <w:szCs w:val="16"/>
        </w:rPr>
        <w:t>World Health Organization. (2024).</w:t>
      </w:r>
      <w:r w:rsidRPr="00EA39D5">
        <w:rPr>
          <w:rFonts w:eastAsia="Times New Roman"/>
          <w:sz w:val="16"/>
          <w:szCs w:val="16"/>
        </w:rPr>
        <w:t xml:space="preserve"> </w:t>
      </w:r>
      <w:r w:rsidRPr="00EA39D5">
        <w:rPr>
          <w:rFonts w:eastAsia="Times New Roman"/>
          <w:i/>
          <w:iCs/>
          <w:sz w:val="16"/>
          <w:szCs w:val="16"/>
        </w:rPr>
        <w:t>Integrated care for older people (ICOPE): Guidance for person-</w:t>
      </w:r>
      <w:proofErr w:type="spellStart"/>
      <w:r w:rsidRPr="00EA39D5">
        <w:rPr>
          <w:rFonts w:eastAsia="Times New Roman"/>
          <w:i/>
          <w:iCs/>
          <w:sz w:val="16"/>
          <w:szCs w:val="16"/>
        </w:rPr>
        <w:t>centred</w:t>
      </w:r>
      <w:proofErr w:type="spellEnd"/>
      <w:r w:rsidRPr="00EA39D5">
        <w:rPr>
          <w:rFonts w:eastAsia="Times New Roman"/>
          <w:i/>
          <w:iCs/>
          <w:sz w:val="16"/>
          <w:szCs w:val="16"/>
        </w:rPr>
        <w:t xml:space="preserve"> assessment and pathways in primary care</w:t>
      </w:r>
      <w:r w:rsidRPr="00EA39D5">
        <w:rPr>
          <w:rFonts w:eastAsia="Times New Roman"/>
          <w:sz w:val="16"/>
          <w:szCs w:val="16"/>
        </w:rPr>
        <w:t xml:space="preserve"> (2nd ed.). World Health Organization. </w:t>
      </w:r>
      <w:hyperlink r:id="rId17" w:tgtFrame="_blank" w:history="1">
        <w:r w:rsidRPr="00EA39D5">
          <w:rPr>
            <w:rFonts w:eastAsia="Times New Roman"/>
            <w:color w:val="0000FF"/>
            <w:sz w:val="16"/>
            <w:szCs w:val="16"/>
            <w:u w:val="single"/>
          </w:rPr>
          <w:t>https://iris.who.int/handle/10665/380175</w:t>
        </w:r>
      </w:hyperlink>
    </w:p>
    <w:p w14:paraId="40BD43A9" w14:textId="77777777" w:rsidR="00000000" w:rsidRPr="001B5F58" w:rsidRDefault="00000000">
      <w:pPr>
        <w:rPr>
          <w:sz w:val="22"/>
          <w:szCs w:val="22"/>
        </w:rPr>
      </w:pPr>
    </w:p>
    <w:sectPr w:rsidR="00D10AF7" w:rsidRPr="001B5F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033A"/>
    <w:rsid w:val="000E7B39"/>
    <w:rsid w:val="00147B66"/>
    <w:rsid w:val="00156D49"/>
    <w:rsid w:val="001B5F58"/>
    <w:rsid w:val="0037748C"/>
    <w:rsid w:val="00420E11"/>
    <w:rsid w:val="005979B0"/>
    <w:rsid w:val="005B7A74"/>
    <w:rsid w:val="005E2019"/>
    <w:rsid w:val="0066577F"/>
    <w:rsid w:val="006769D7"/>
    <w:rsid w:val="00676FEC"/>
    <w:rsid w:val="007213B4"/>
    <w:rsid w:val="008021D4"/>
    <w:rsid w:val="00812247"/>
    <w:rsid w:val="00992C6F"/>
    <w:rsid w:val="009D5AC3"/>
    <w:rsid w:val="00A36DB5"/>
    <w:rsid w:val="00A74734"/>
    <w:rsid w:val="00AE0E19"/>
    <w:rsid w:val="00B4046B"/>
    <w:rsid w:val="00B501E0"/>
    <w:rsid w:val="00B965E6"/>
    <w:rsid w:val="00C12151"/>
    <w:rsid w:val="00C52277"/>
    <w:rsid w:val="00CE1C9C"/>
    <w:rsid w:val="00D45C92"/>
    <w:rsid w:val="00D52656"/>
    <w:rsid w:val="00D82F89"/>
    <w:rsid w:val="00D94CC0"/>
    <w:rsid w:val="00DF2CED"/>
    <w:rsid w:val="00E2033A"/>
    <w:rsid w:val="00EA39D5"/>
    <w:rsid w:val="00EC22E1"/>
    <w:rsid w:val="00EF33F8"/>
    <w:rsid w:val="00F04194"/>
    <w:rsid w:val="00F37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BA3CB"/>
  <w15:chartTrackingRefBased/>
  <w15:docId w15:val="{E1BC2044-4C18-42A9-9BBE-595D0AD98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0E11"/>
    <w:pPr>
      <w:spacing w:after="0" w:line="240" w:lineRule="auto"/>
    </w:pPr>
    <w:rPr>
      <w:rFonts w:ascii="Arial" w:eastAsia="Arial" w:hAnsi="Arial" w:cs="Arial"/>
      <w:sz w:val="24"/>
      <w:szCs w:val="24"/>
    </w:rPr>
  </w:style>
  <w:style w:type="paragraph" w:styleId="Heading1">
    <w:name w:val="heading 1"/>
    <w:link w:val="Heading1Char"/>
    <w:qFormat/>
    <w:rsid w:val="00420E11"/>
    <w:pPr>
      <w:spacing w:before="360" w:after="200" w:line="240" w:lineRule="auto"/>
      <w:outlineLvl w:val="0"/>
    </w:pPr>
    <w:rPr>
      <w:rFonts w:ascii="Arial" w:eastAsia="Arial" w:hAnsi="Arial" w:cs="Arial"/>
      <w:b/>
      <w:bCs/>
      <w:color w:val="1F4E79"/>
      <w:sz w:val="32"/>
      <w:szCs w:val="32"/>
    </w:rPr>
  </w:style>
  <w:style w:type="paragraph" w:styleId="Heading2">
    <w:name w:val="heading 2"/>
    <w:link w:val="Heading2Char"/>
    <w:qFormat/>
    <w:rsid w:val="00420E11"/>
    <w:pPr>
      <w:spacing w:before="280" w:line="240" w:lineRule="auto"/>
      <w:outlineLvl w:val="1"/>
    </w:pPr>
    <w:rPr>
      <w:rFonts w:ascii="Arial" w:eastAsia="Arial" w:hAnsi="Arial" w:cs="Arial"/>
      <w:b/>
      <w:bCs/>
      <w:color w:val="2E75B6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20E11"/>
    <w:rPr>
      <w:rFonts w:ascii="Arial" w:eastAsia="Arial" w:hAnsi="Arial" w:cs="Arial"/>
      <w:b/>
      <w:bCs/>
      <w:color w:val="1F4E79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420E11"/>
    <w:rPr>
      <w:rFonts w:ascii="Arial" w:eastAsia="Arial" w:hAnsi="Arial" w:cs="Arial"/>
      <w:b/>
      <w:bCs/>
      <w:color w:val="2E75B6"/>
      <w:sz w:val="28"/>
      <w:szCs w:val="28"/>
    </w:rPr>
  </w:style>
  <w:style w:type="character" w:styleId="Hyperlink">
    <w:name w:val="Hyperlink"/>
    <w:uiPriority w:val="99"/>
    <w:unhideWhenUsed/>
    <w:rsid w:val="00420E11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420E1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156D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57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1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01/jamainternmed.2020.2671" TargetMode="External"/><Relationship Id="rId13" Type="http://schemas.openxmlformats.org/officeDocument/2006/relationships/hyperlink" Target="https://doi.org/10.1016/j.ijinfomgt.2022.102575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doi.org/10.1186/s12875-023-02085-7" TargetMode="External"/><Relationship Id="rId12" Type="http://schemas.openxmlformats.org/officeDocument/2006/relationships/hyperlink" Target="https://doi.org/10.1787/c3357f9f-en" TargetMode="External"/><Relationship Id="rId17" Type="http://schemas.openxmlformats.org/officeDocument/2006/relationships/hyperlink" Target="https://iris.who.int/handle/10665/380175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who.int/publications/i/item/9789240059184" TargetMode="External"/><Relationship Id="rId1" Type="http://schemas.openxmlformats.org/officeDocument/2006/relationships/styles" Target="styles.xml"/><Relationship Id="rId6" Type="http://schemas.openxmlformats.org/officeDocument/2006/relationships/hyperlink" Target="https://doi.org/10.1089/tmj.2020.29040.rb" TargetMode="External"/><Relationship Id="rId11" Type="http://schemas.openxmlformats.org/officeDocument/2006/relationships/hyperlink" Target="https://www.nice.org.uk/guidance/ng56" TargetMode="External"/><Relationship Id="rId5" Type="http://schemas.openxmlformats.org/officeDocument/2006/relationships/hyperlink" Target="https://doi.org/10.1016/j.teler.2023.100103" TargetMode="External"/><Relationship Id="rId15" Type="http://schemas.openxmlformats.org/officeDocument/2006/relationships/hyperlink" Target="https://www.who.int/publications/i/item/9789240020924" TargetMode="External"/><Relationship Id="rId10" Type="http://schemas.openxmlformats.org/officeDocument/2006/relationships/hyperlink" Target="https://doi.org/10.2196/34326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hyperlink" Target="https://doi.org/10.3389/fmed.2025.1483366" TargetMode="External"/><Relationship Id="rId14" Type="http://schemas.openxmlformats.org/officeDocument/2006/relationships/hyperlink" Target="https://doi.org/10.1093/geronb/gbaa0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987</Words>
  <Characters>5630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Mary O Osamudiamen Leigh</cp:lastModifiedBy>
  <cp:revision>3</cp:revision>
  <dcterms:created xsi:type="dcterms:W3CDTF">2026-08-05T07:32:00Z</dcterms:created>
  <dcterms:modified xsi:type="dcterms:W3CDTF">2026-08-05T07:34:00Z</dcterms:modified>
</cp:coreProperties>
</file>