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8E47" w14:textId="287662CB" w:rsidR="00794A8F" w:rsidRDefault="00CD1636">
      <w:pPr>
        <w:rPr>
          <w:rFonts w:asciiTheme="majorHAnsi" w:hAnsiTheme="majorHAnsi" w:cstheme="majorHAnsi"/>
          <w:u w:val="single"/>
        </w:rPr>
      </w:pPr>
      <w:r w:rsidRPr="00CD1636">
        <w:rPr>
          <w:rFonts w:asciiTheme="majorHAnsi" w:hAnsiTheme="majorHAnsi" w:cstheme="majorHAnsi"/>
          <w:i/>
          <w:iCs/>
          <w:u w:val="single"/>
        </w:rPr>
        <w:t>‘</w:t>
      </w:r>
      <w:r w:rsidR="004F13E0" w:rsidRPr="00CD1636">
        <w:rPr>
          <w:rFonts w:asciiTheme="majorHAnsi" w:hAnsiTheme="majorHAnsi" w:cstheme="majorHAnsi"/>
          <w:i/>
          <w:iCs/>
          <w:u w:val="single"/>
        </w:rPr>
        <w:t xml:space="preserve">A </w:t>
      </w:r>
      <w:r w:rsidR="004A45FF" w:rsidRPr="00CD1636">
        <w:rPr>
          <w:rFonts w:asciiTheme="majorHAnsi" w:hAnsiTheme="majorHAnsi" w:cstheme="majorHAnsi"/>
          <w:i/>
          <w:iCs/>
          <w:u w:val="single"/>
        </w:rPr>
        <w:t>C</w:t>
      </w:r>
      <w:r w:rsidR="004F13E0" w:rsidRPr="00CD1636">
        <w:rPr>
          <w:rFonts w:asciiTheme="majorHAnsi" w:hAnsiTheme="majorHAnsi" w:cstheme="majorHAnsi"/>
          <w:i/>
          <w:iCs/>
          <w:u w:val="single"/>
        </w:rPr>
        <w:t xml:space="preserve">loser </w:t>
      </w:r>
      <w:r w:rsidR="004A45FF" w:rsidRPr="00CD1636">
        <w:rPr>
          <w:rFonts w:asciiTheme="majorHAnsi" w:hAnsiTheme="majorHAnsi" w:cstheme="majorHAnsi"/>
          <w:i/>
          <w:iCs/>
          <w:u w:val="single"/>
        </w:rPr>
        <w:t>A</w:t>
      </w:r>
      <w:r w:rsidR="004F13E0" w:rsidRPr="00CD1636">
        <w:rPr>
          <w:rFonts w:asciiTheme="majorHAnsi" w:hAnsiTheme="majorHAnsi" w:cstheme="majorHAnsi"/>
          <w:i/>
          <w:iCs/>
          <w:u w:val="single"/>
        </w:rPr>
        <w:t xml:space="preserve">nalysis of the </w:t>
      </w:r>
      <w:r w:rsidR="004A45FF" w:rsidRPr="00CD1636">
        <w:rPr>
          <w:rFonts w:asciiTheme="majorHAnsi" w:hAnsiTheme="majorHAnsi" w:cstheme="majorHAnsi"/>
          <w:i/>
          <w:iCs/>
          <w:u w:val="single"/>
        </w:rPr>
        <w:t>M</w:t>
      </w:r>
      <w:r w:rsidR="004F13E0" w:rsidRPr="00CD1636">
        <w:rPr>
          <w:rFonts w:asciiTheme="majorHAnsi" w:hAnsiTheme="majorHAnsi" w:cstheme="majorHAnsi"/>
          <w:i/>
          <w:iCs/>
          <w:u w:val="single"/>
        </w:rPr>
        <w:t xml:space="preserve">ood of Britons in the </w:t>
      </w:r>
      <w:r w:rsidR="004A45FF" w:rsidRPr="00CD1636">
        <w:rPr>
          <w:rFonts w:asciiTheme="majorHAnsi" w:hAnsiTheme="majorHAnsi" w:cstheme="majorHAnsi"/>
          <w:i/>
          <w:iCs/>
          <w:u w:val="single"/>
        </w:rPr>
        <w:t>S</w:t>
      </w:r>
      <w:r w:rsidR="004F13E0" w:rsidRPr="00CD1636">
        <w:rPr>
          <w:rFonts w:asciiTheme="majorHAnsi" w:hAnsiTheme="majorHAnsi" w:cstheme="majorHAnsi"/>
          <w:i/>
          <w:iCs/>
          <w:u w:val="single"/>
        </w:rPr>
        <w:t xml:space="preserve">ummer of 1914 </w:t>
      </w:r>
      <w:r w:rsidR="004A45FF" w:rsidRPr="00CD1636">
        <w:rPr>
          <w:rFonts w:asciiTheme="majorHAnsi" w:hAnsiTheme="majorHAnsi" w:cstheme="majorHAnsi"/>
          <w:i/>
          <w:iCs/>
          <w:u w:val="single"/>
        </w:rPr>
        <w:t>S</w:t>
      </w:r>
      <w:r w:rsidR="004F13E0" w:rsidRPr="00CD1636">
        <w:rPr>
          <w:rFonts w:asciiTheme="majorHAnsi" w:hAnsiTheme="majorHAnsi" w:cstheme="majorHAnsi"/>
          <w:i/>
          <w:iCs/>
          <w:u w:val="single"/>
        </w:rPr>
        <w:t xml:space="preserve">uggests a </w:t>
      </w:r>
      <w:r w:rsidR="004A45FF" w:rsidRPr="00CD1636">
        <w:rPr>
          <w:rFonts w:asciiTheme="majorHAnsi" w:hAnsiTheme="majorHAnsi" w:cstheme="majorHAnsi"/>
          <w:i/>
          <w:iCs/>
          <w:u w:val="single"/>
        </w:rPr>
        <w:t>L</w:t>
      </w:r>
      <w:r w:rsidR="004F13E0" w:rsidRPr="00CD1636">
        <w:rPr>
          <w:rFonts w:asciiTheme="majorHAnsi" w:hAnsiTheme="majorHAnsi" w:cstheme="majorHAnsi"/>
          <w:i/>
          <w:iCs/>
          <w:u w:val="single"/>
        </w:rPr>
        <w:t xml:space="preserve">ess </w:t>
      </w:r>
      <w:r w:rsidR="004A45FF" w:rsidRPr="00CD1636">
        <w:rPr>
          <w:rFonts w:asciiTheme="majorHAnsi" w:hAnsiTheme="majorHAnsi" w:cstheme="majorHAnsi"/>
          <w:i/>
          <w:iCs/>
          <w:u w:val="single"/>
        </w:rPr>
        <w:t>T</w:t>
      </w:r>
      <w:r w:rsidR="004F13E0" w:rsidRPr="00CD1636">
        <w:rPr>
          <w:rFonts w:asciiTheme="majorHAnsi" w:hAnsiTheme="majorHAnsi" w:cstheme="majorHAnsi"/>
          <w:i/>
          <w:iCs/>
          <w:u w:val="single"/>
        </w:rPr>
        <w:t xml:space="preserve">han </w:t>
      </w:r>
      <w:r w:rsidR="004A45FF" w:rsidRPr="00CD1636">
        <w:rPr>
          <w:rFonts w:asciiTheme="majorHAnsi" w:hAnsiTheme="majorHAnsi" w:cstheme="majorHAnsi"/>
          <w:i/>
          <w:iCs/>
          <w:u w:val="single"/>
        </w:rPr>
        <w:t>E</w:t>
      </w:r>
      <w:r w:rsidR="004F13E0" w:rsidRPr="00CD1636">
        <w:rPr>
          <w:rFonts w:asciiTheme="majorHAnsi" w:hAnsiTheme="majorHAnsi" w:cstheme="majorHAnsi"/>
          <w:i/>
          <w:iCs/>
          <w:u w:val="single"/>
        </w:rPr>
        <w:t>nthusiastic</w:t>
      </w:r>
      <w:r w:rsidR="004A45FF" w:rsidRPr="00CD1636">
        <w:rPr>
          <w:rFonts w:asciiTheme="majorHAnsi" w:hAnsiTheme="majorHAnsi" w:cstheme="majorHAnsi"/>
          <w:i/>
          <w:iCs/>
          <w:u w:val="single"/>
        </w:rPr>
        <w:t xml:space="preserve"> R</w:t>
      </w:r>
      <w:r w:rsidR="004F13E0" w:rsidRPr="00CD1636">
        <w:rPr>
          <w:rFonts w:asciiTheme="majorHAnsi" w:hAnsiTheme="majorHAnsi" w:cstheme="majorHAnsi"/>
          <w:i/>
          <w:iCs/>
          <w:u w:val="single"/>
        </w:rPr>
        <w:t xml:space="preserve">esponse to the </w:t>
      </w:r>
      <w:r w:rsidR="004A45FF" w:rsidRPr="00CD1636">
        <w:rPr>
          <w:rFonts w:asciiTheme="majorHAnsi" w:hAnsiTheme="majorHAnsi" w:cstheme="majorHAnsi"/>
          <w:i/>
          <w:iCs/>
          <w:u w:val="single"/>
        </w:rPr>
        <w:t>I</w:t>
      </w:r>
      <w:r w:rsidR="004F13E0" w:rsidRPr="00CD1636">
        <w:rPr>
          <w:rFonts w:asciiTheme="majorHAnsi" w:hAnsiTheme="majorHAnsi" w:cstheme="majorHAnsi"/>
          <w:i/>
          <w:iCs/>
          <w:u w:val="single"/>
        </w:rPr>
        <w:t xml:space="preserve">mpending </w:t>
      </w:r>
      <w:r w:rsidR="004A45FF" w:rsidRPr="00CD1636">
        <w:rPr>
          <w:rFonts w:asciiTheme="majorHAnsi" w:hAnsiTheme="majorHAnsi" w:cstheme="majorHAnsi"/>
          <w:i/>
          <w:iCs/>
          <w:u w:val="single"/>
        </w:rPr>
        <w:t>C</w:t>
      </w:r>
      <w:r w:rsidR="004F13E0" w:rsidRPr="00CD1636">
        <w:rPr>
          <w:rFonts w:asciiTheme="majorHAnsi" w:hAnsiTheme="majorHAnsi" w:cstheme="majorHAnsi"/>
          <w:i/>
          <w:iCs/>
          <w:u w:val="single"/>
        </w:rPr>
        <w:t>onflict.</w:t>
      </w:r>
      <w:r w:rsidRPr="00CD1636">
        <w:rPr>
          <w:rFonts w:asciiTheme="majorHAnsi" w:hAnsiTheme="majorHAnsi" w:cstheme="majorHAnsi"/>
          <w:i/>
          <w:iCs/>
          <w:u w:val="single"/>
        </w:rPr>
        <w:t>’</w:t>
      </w:r>
      <w:r w:rsidR="004F13E0" w:rsidRPr="004F13E0">
        <w:rPr>
          <w:rFonts w:asciiTheme="majorHAnsi" w:hAnsiTheme="majorHAnsi" w:cstheme="majorHAnsi"/>
          <w:u w:val="single"/>
        </w:rPr>
        <w:t xml:space="preserve"> Discuss, </w:t>
      </w:r>
      <w:r w:rsidR="004A45FF">
        <w:rPr>
          <w:rFonts w:asciiTheme="majorHAnsi" w:hAnsiTheme="majorHAnsi" w:cstheme="majorHAnsi"/>
          <w:u w:val="single"/>
        </w:rPr>
        <w:t>W</w:t>
      </w:r>
      <w:r w:rsidR="004F13E0" w:rsidRPr="004F13E0">
        <w:rPr>
          <w:rFonts w:asciiTheme="majorHAnsi" w:hAnsiTheme="majorHAnsi" w:cstheme="majorHAnsi"/>
          <w:u w:val="single"/>
        </w:rPr>
        <w:t xml:space="preserve">ith </w:t>
      </w:r>
      <w:r w:rsidR="004A45FF">
        <w:rPr>
          <w:rFonts w:asciiTheme="majorHAnsi" w:hAnsiTheme="majorHAnsi" w:cstheme="majorHAnsi"/>
          <w:u w:val="single"/>
        </w:rPr>
        <w:t>D</w:t>
      </w:r>
      <w:r w:rsidR="004F13E0" w:rsidRPr="004F13E0">
        <w:rPr>
          <w:rFonts w:asciiTheme="majorHAnsi" w:hAnsiTheme="majorHAnsi" w:cstheme="majorHAnsi"/>
          <w:u w:val="single"/>
        </w:rPr>
        <w:t xml:space="preserve">ue </w:t>
      </w:r>
      <w:r w:rsidR="004A45FF">
        <w:rPr>
          <w:rFonts w:asciiTheme="majorHAnsi" w:hAnsiTheme="majorHAnsi" w:cstheme="majorHAnsi"/>
          <w:u w:val="single"/>
        </w:rPr>
        <w:t>A</w:t>
      </w:r>
      <w:r w:rsidR="004F13E0" w:rsidRPr="004F13E0">
        <w:rPr>
          <w:rFonts w:asciiTheme="majorHAnsi" w:hAnsiTheme="majorHAnsi" w:cstheme="majorHAnsi"/>
          <w:u w:val="single"/>
        </w:rPr>
        <w:t xml:space="preserve">ttention </w:t>
      </w:r>
      <w:r w:rsidR="004A45FF">
        <w:rPr>
          <w:rFonts w:asciiTheme="majorHAnsi" w:hAnsiTheme="majorHAnsi" w:cstheme="majorHAnsi"/>
          <w:u w:val="single"/>
        </w:rPr>
        <w:t>G</w:t>
      </w:r>
      <w:r w:rsidR="004F13E0" w:rsidRPr="004F13E0">
        <w:rPr>
          <w:rFonts w:asciiTheme="majorHAnsi" w:hAnsiTheme="majorHAnsi" w:cstheme="majorHAnsi"/>
          <w:u w:val="single"/>
        </w:rPr>
        <w:t xml:space="preserve">iven to </w:t>
      </w:r>
      <w:r w:rsidR="004A45FF">
        <w:rPr>
          <w:rFonts w:asciiTheme="majorHAnsi" w:hAnsiTheme="majorHAnsi" w:cstheme="majorHAnsi"/>
          <w:u w:val="single"/>
        </w:rPr>
        <w:t>R</w:t>
      </w:r>
      <w:r w:rsidR="004F13E0" w:rsidRPr="004F13E0">
        <w:rPr>
          <w:rFonts w:asciiTheme="majorHAnsi" w:hAnsiTheme="majorHAnsi" w:cstheme="majorHAnsi"/>
          <w:u w:val="single"/>
        </w:rPr>
        <w:t xml:space="preserve">egional </w:t>
      </w:r>
      <w:r w:rsidR="004A45FF">
        <w:rPr>
          <w:rFonts w:asciiTheme="majorHAnsi" w:hAnsiTheme="majorHAnsi" w:cstheme="majorHAnsi"/>
          <w:u w:val="single"/>
        </w:rPr>
        <w:t>C</w:t>
      </w:r>
      <w:r w:rsidR="004F13E0" w:rsidRPr="004F13E0">
        <w:rPr>
          <w:rFonts w:asciiTheme="majorHAnsi" w:hAnsiTheme="majorHAnsi" w:cstheme="majorHAnsi"/>
          <w:u w:val="single"/>
        </w:rPr>
        <w:t xml:space="preserve">omparisons and </w:t>
      </w:r>
      <w:r w:rsidR="004A45FF">
        <w:rPr>
          <w:rFonts w:asciiTheme="majorHAnsi" w:hAnsiTheme="majorHAnsi" w:cstheme="majorHAnsi"/>
          <w:u w:val="single"/>
        </w:rPr>
        <w:t>C</w:t>
      </w:r>
      <w:r w:rsidR="004F13E0" w:rsidRPr="004F13E0">
        <w:rPr>
          <w:rFonts w:asciiTheme="majorHAnsi" w:hAnsiTheme="majorHAnsi" w:cstheme="majorHAnsi"/>
          <w:u w:val="single"/>
        </w:rPr>
        <w:t>ontrasts.</w:t>
      </w:r>
    </w:p>
    <w:p w14:paraId="4C28860B" w14:textId="3A2A3756" w:rsidR="004F13E0" w:rsidRDefault="005F64E9">
      <w:pPr>
        <w:rPr>
          <w:rFonts w:cstheme="minorHAnsi"/>
        </w:rPr>
      </w:pPr>
      <w:r w:rsidRPr="005F64E9">
        <w:rPr>
          <w:rFonts w:cstheme="minorHAnsi"/>
        </w:rPr>
        <w:t xml:space="preserve">The concept of pacifism during a long and brutal military conflict may appear to be a contradiction. Yet, the commencement of the European war in August of 1914 swiftly expanded around the globe, eventually involving twenty nations, and the unrelenting and merciless combat resulted in </w:t>
      </w:r>
      <w:r w:rsidR="000F009E">
        <w:rPr>
          <w:rFonts w:cstheme="minorHAnsi"/>
        </w:rPr>
        <w:t>37</w:t>
      </w:r>
      <w:r w:rsidRPr="005F64E9">
        <w:rPr>
          <w:rFonts w:cstheme="minorHAnsi"/>
        </w:rPr>
        <w:t xml:space="preserve"> million casualties, with about 9 million deaths.</w:t>
      </w:r>
      <w:r w:rsidR="000F009E">
        <w:rPr>
          <w:rStyle w:val="FootnoteReference"/>
          <w:rFonts w:cstheme="minorHAnsi"/>
        </w:rPr>
        <w:footnoteReference w:id="1"/>
      </w:r>
      <w:r w:rsidR="008843A1">
        <w:rPr>
          <w:rFonts w:cstheme="minorHAnsi"/>
        </w:rPr>
        <w:t xml:space="preserve"> Yet there was indeed </w:t>
      </w:r>
      <w:r w:rsidR="0047288C">
        <w:rPr>
          <w:rFonts w:cstheme="minorHAnsi"/>
        </w:rPr>
        <w:t>a significant</w:t>
      </w:r>
      <w:r w:rsidR="008843A1">
        <w:rPr>
          <w:rFonts w:cstheme="minorHAnsi"/>
        </w:rPr>
        <w:t xml:space="preserve"> amount of pacifism during World War One. In this essay,</w:t>
      </w:r>
      <w:r w:rsidR="0047288C">
        <w:rPr>
          <w:rFonts w:cstheme="minorHAnsi"/>
        </w:rPr>
        <w:t xml:space="preserve"> I will be assessing the degree to which pacifism </w:t>
      </w:r>
      <w:r w:rsidR="00C16017">
        <w:rPr>
          <w:rFonts w:cstheme="minorHAnsi"/>
        </w:rPr>
        <w:t>represented the mood of Britons on the eve of the war and the very beginning.</w:t>
      </w:r>
      <w:r w:rsidR="008843A1">
        <w:rPr>
          <w:rFonts w:cstheme="minorHAnsi"/>
        </w:rPr>
        <w:t xml:space="preserve"> </w:t>
      </w:r>
      <w:r w:rsidR="00C16017">
        <w:rPr>
          <w:rFonts w:cstheme="minorHAnsi"/>
        </w:rPr>
        <w:t>Pacifism</w:t>
      </w:r>
      <w:r w:rsidR="008843A1">
        <w:rPr>
          <w:rFonts w:cstheme="minorHAnsi"/>
        </w:rPr>
        <w:t xml:space="preserve"> will be def</w:t>
      </w:r>
      <w:r w:rsidR="00C16017">
        <w:rPr>
          <w:rFonts w:cstheme="minorHAnsi"/>
        </w:rPr>
        <w:t>ined as</w:t>
      </w:r>
      <w:r w:rsidR="008843A1">
        <w:rPr>
          <w:rFonts w:cstheme="minorHAnsi"/>
        </w:rPr>
        <w:t xml:space="preserve"> </w:t>
      </w:r>
      <w:r w:rsidR="009C0532">
        <w:rPr>
          <w:rFonts w:cstheme="minorHAnsi"/>
        </w:rPr>
        <w:t xml:space="preserve">an </w:t>
      </w:r>
      <w:r w:rsidR="00E92C66">
        <w:rPr>
          <w:rFonts w:cstheme="minorHAnsi"/>
        </w:rPr>
        <w:t>objection to the war</w:t>
      </w:r>
      <w:r w:rsidR="009C0532">
        <w:rPr>
          <w:rFonts w:cstheme="minorHAnsi"/>
        </w:rPr>
        <w:t>; this includes a range of positions from anti-war groups, conscientious objectors, and resistance to the war on the Home Front.</w:t>
      </w:r>
      <w:r w:rsidR="00B00FED">
        <w:rPr>
          <w:rFonts w:cstheme="minorHAnsi"/>
        </w:rPr>
        <w:t xml:space="preserve"> </w:t>
      </w:r>
      <w:r w:rsidR="00270A3C">
        <w:rPr>
          <w:rFonts w:cstheme="minorHAnsi"/>
        </w:rPr>
        <w:t>My use of ‘pacifist’ will also include, for simplicity, pacificism</w:t>
      </w:r>
      <w:r w:rsidR="009D661F">
        <w:rPr>
          <w:rFonts w:cstheme="minorHAnsi"/>
        </w:rPr>
        <w:t xml:space="preserve">, although there are differences between the two (pacificism allows for war if it leads to peace). </w:t>
      </w:r>
      <w:r w:rsidR="00612A6A">
        <w:rPr>
          <w:rFonts w:cstheme="minorHAnsi"/>
        </w:rPr>
        <w:t xml:space="preserve">The essay </w:t>
      </w:r>
      <w:r w:rsidR="00987C1B">
        <w:rPr>
          <w:rFonts w:cstheme="minorHAnsi"/>
        </w:rPr>
        <w:t xml:space="preserve">will develop the idea that Britons </w:t>
      </w:r>
      <w:r w:rsidR="001F46E8" w:rsidRPr="001F46E8">
        <w:rPr>
          <w:rFonts w:cstheme="minorHAnsi"/>
        </w:rPr>
        <w:t>were sceptical and largely unenthusiastic at the beginning of the war</w:t>
      </w:r>
      <w:r w:rsidR="00987C1B">
        <w:rPr>
          <w:rFonts w:cstheme="minorHAnsi"/>
        </w:rPr>
        <w:t xml:space="preserve">. Throughout, I will use regional examples to show that Britain was </w:t>
      </w:r>
      <w:r w:rsidR="00011A7A">
        <w:rPr>
          <w:rFonts w:cstheme="minorHAnsi"/>
        </w:rPr>
        <w:t>broadly</w:t>
      </w:r>
      <w:r w:rsidR="00987C1B">
        <w:rPr>
          <w:rFonts w:cstheme="minorHAnsi"/>
        </w:rPr>
        <w:t xml:space="preserve"> divided on its enthusiasm for the war and that responses were divided along regional and class lines.</w:t>
      </w:r>
    </w:p>
    <w:p w14:paraId="620FC8CE" w14:textId="77777777" w:rsidR="00D031FC" w:rsidRDefault="00B23834" w:rsidP="00AF6538">
      <w:pPr>
        <w:rPr>
          <w:rFonts w:cstheme="minorHAnsi"/>
        </w:rPr>
      </w:pPr>
      <w:r>
        <w:rPr>
          <w:rFonts w:cstheme="minorHAnsi"/>
        </w:rPr>
        <w:t>In the years post World War One, the popular view of 1914 was that Britain went to war because the people wanted to. Arthur Marwick states that “British society in 1914 was strongly jingoistic and showed marked enthusiasm for the outbreak of war.”</w:t>
      </w:r>
      <w:r>
        <w:rPr>
          <w:rStyle w:val="FootnoteReference"/>
          <w:rFonts w:cstheme="minorHAnsi"/>
        </w:rPr>
        <w:footnoteReference w:id="2"/>
      </w:r>
      <w:r w:rsidR="002D7208">
        <w:rPr>
          <w:rFonts w:cstheme="minorHAnsi"/>
        </w:rPr>
        <w:t xml:space="preserve"> </w:t>
      </w:r>
      <w:r w:rsidR="003066AE">
        <w:rPr>
          <w:rFonts w:cstheme="minorHAnsi"/>
        </w:rPr>
        <w:t>Scenes like the vast crowds outside Buckingham Palace and Trafalgar Square</w:t>
      </w:r>
      <w:r w:rsidR="006B6B8D">
        <w:rPr>
          <w:rFonts w:cstheme="minorHAnsi"/>
        </w:rPr>
        <w:t>,</w:t>
      </w:r>
      <w:r w:rsidR="003066AE">
        <w:rPr>
          <w:rFonts w:cstheme="minorHAnsi"/>
        </w:rPr>
        <w:t xml:space="preserve"> as well as stretching lines outside of recruitment centres</w:t>
      </w:r>
      <w:r w:rsidR="006B6B8D">
        <w:rPr>
          <w:rFonts w:cstheme="minorHAnsi"/>
        </w:rPr>
        <w:t>,</w:t>
      </w:r>
      <w:r w:rsidR="003066AE">
        <w:rPr>
          <w:rFonts w:cstheme="minorHAnsi"/>
        </w:rPr>
        <w:t xml:space="preserve"> dominate the British psyche concerning the advent of war. </w:t>
      </w:r>
      <w:r w:rsidR="00AF6538">
        <w:rPr>
          <w:rFonts w:cstheme="minorHAnsi"/>
        </w:rPr>
        <w:t xml:space="preserve">In his autobiography, famous philosopher Bertrand Russel writes that </w:t>
      </w:r>
      <w:r w:rsidR="00AF6538" w:rsidRPr="00AF6538">
        <w:rPr>
          <w:rFonts w:cstheme="minorHAnsi"/>
        </w:rPr>
        <w:t xml:space="preserve">he </w:t>
      </w:r>
      <w:r w:rsidR="00AF6538">
        <w:rPr>
          <w:rFonts w:cstheme="minorHAnsi"/>
        </w:rPr>
        <w:t>“</w:t>
      </w:r>
      <w:r w:rsidR="00AF6538" w:rsidRPr="00AF6538">
        <w:rPr>
          <w:rFonts w:cstheme="minorHAnsi"/>
        </w:rPr>
        <w:t>spent the evening walking the streets, especially in the neighbourhood of Trafalgar Square, noticing cheering crowds, and making myself sensitive to the emotions of passers-by. During this and the following days, I discovered to my amazement that average men and women were delighted at the prospect of war.</w:t>
      </w:r>
      <w:r w:rsidR="00AF6538">
        <w:rPr>
          <w:rFonts w:cstheme="minorHAnsi"/>
        </w:rPr>
        <w:t>”</w:t>
      </w:r>
      <w:r w:rsidR="00CD3E2F">
        <w:rPr>
          <w:rStyle w:val="FootnoteReference"/>
          <w:rFonts w:cstheme="minorHAnsi"/>
        </w:rPr>
        <w:footnoteReference w:id="3"/>
      </w:r>
      <w:r w:rsidR="00D031FC">
        <w:rPr>
          <w:rFonts w:cstheme="minorHAnsi"/>
        </w:rPr>
        <w:t xml:space="preserve"> </w:t>
      </w:r>
    </w:p>
    <w:p w14:paraId="1F20B3FC" w14:textId="39B30427" w:rsidR="00AF6538" w:rsidRPr="00D031FC" w:rsidRDefault="00EE3831" w:rsidP="00AF6538">
      <w:pPr>
        <w:rPr>
          <w:rFonts w:cstheme="minorHAnsi"/>
        </w:rPr>
      </w:pPr>
      <w:r>
        <w:rPr>
          <w:rFonts w:cstheme="minorHAnsi"/>
        </w:rPr>
        <w:t>After the Second World War, there arose a tradition to show the Great War as the wholesale slaughter of a complacent populace in a war with no real purpose</w:t>
      </w:r>
      <w:r w:rsidR="00412DBA">
        <w:rPr>
          <w:rFonts w:cstheme="minorHAnsi"/>
        </w:rPr>
        <w:t>,</w:t>
      </w:r>
      <w:r>
        <w:rPr>
          <w:rFonts w:cstheme="minorHAnsi"/>
        </w:rPr>
        <w:t xml:space="preserve"> in contrast to the necessary and morally good conflict against the Axis Powers.</w:t>
      </w:r>
      <w:r w:rsidR="007526CD">
        <w:rPr>
          <w:rFonts w:cstheme="minorHAnsi"/>
        </w:rPr>
        <w:t xml:space="preserve"> </w:t>
      </w:r>
      <w:r w:rsidR="00412DBA">
        <w:rPr>
          <w:rFonts w:cstheme="minorHAnsi"/>
        </w:rPr>
        <w:t>Most</w:t>
      </w:r>
      <w:r w:rsidR="007526CD">
        <w:rPr>
          <w:rFonts w:cstheme="minorHAnsi"/>
        </w:rPr>
        <w:t xml:space="preserve"> scholars following the war were pacifist Revisionists and helped develop the narrative of a generation lost to a preventable war.</w:t>
      </w:r>
      <w:r>
        <w:rPr>
          <w:rFonts w:cstheme="minorHAnsi"/>
        </w:rPr>
        <w:t xml:space="preserve"> </w:t>
      </w:r>
      <w:r w:rsidR="00D031FC">
        <w:rPr>
          <w:rFonts w:cstheme="minorHAnsi"/>
        </w:rPr>
        <w:t xml:space="preserve">Adrian Gregory in </w:t>
      </w:r>
      <w:r w:rsidR="00D031FC">
        <w:rPr>
          <w:rFonts w:cstheme="minorHAnsi"/>
          <w:i/>
          <w:iCs/>
        </w:rPr>
        <w:t>The Last Great War</w:t>
      </w:r>
      <w:r w:rsidR="00D031FC">
        <w:rPr>
          <w:rFonts w:cstheme="minorHAnsi"/>
        </w:rPr>
        <w:t xml:space="preserve"> explains that the tendency to remember 1914 as jingoistic serves the purposes of the post-war pacifists. For the pacifist, the war was irrational</w:t>
      </w:r>
      <w:r w:rsidR="00144154">
        <w:rPr>
          <w:rFonts w:cstheme="minorHAnsi"/>
        </w:rPr>
        <w:t>,</w:t>
      </w:r>
      <w:r w:rsidR="00D031FC">
        <w:rPr>
          <w:rFonts w:cstheme="minorHAnsi"/>
        </w:rPr>
        <w:t xml:space="preserve"> so </w:t>
      </w:r>
      <w:r w:rsidR="00144154" w:rsidRPr="00144154">
        <w:rPr>
          <w:rFonts w:cstheme="minorHAnsi"/>
        </w:rPr>
        <w:t>depicting themselves as the wise minority makes them</w:t>
      </w:r>
      <w:r w:rsidR="00D031FC">
        <w:rPr>
          <w:rFonts w:cstheme="minorHAnsi"/>
        </w:rPr>
        <w:t xml:space="preserve"> appear </w:t>
      </w:r>
      <w:r w:rsidR="00144154">
        <w:rPr>
          <w:rFonts w:cstheme="minorHAnsi"/>
        </w:rPr>
        <w:t>almost heroic and above those around them. This is</w:t>
      </w:r>
      <w:r w:rsidR="00FF7C3A">
        <w:rPr>
          <w:rFonts w:cstheme="minorHAnsi"/>
        </w:rPr>
        <w:t xml:space="preserve"> best</w:t>
      </w:r>
      <w:r w:rsidR="00144154">
        <w:rPr>
          <w:rFonts w:cstheme="minorHAnsi"/>
        </w:rPr>
        <w:t xml:space="preserve"> seen when Bertrand Russell describes his amazement at the excitement of ‘average’ men and women.</w:t>
      </w:r>
      <w:r w:rsidR="00A96774">
        <w:rPr>
          <w:rStyle w:val="FootnoteReference"/>
          <w:rFonts w:cstheme="minorHAnsi"/>
        </w:rPr>
        <w:footnoteReference w:id="4"/>
      </w:r>
    </w:p>
    <w:p w14:paraId="27B76BA1" w14:textId="19C203C4" w:rsidR="0049073D" w:rsidRDefault="00FF7C3A">
      <w:pPr>
        <w:rPr>
          <w:rFonts w:cstheme="minorHAnsi"/>
        </w:rPr>
      </w:pPr>
      <w:r>
        <w:rPr>
          <w:rFonts w:cstheme="minorHAnsi"/>
        </w:rPr>
        <w:t xml:space="preserve">The portrayal of the masses being enthusiastic for war also served the interests of those in power at the start of the war </w:t>
      </w:r>
      <w:r w:rsidR="00C23039">
        <w:rPr>
          <w:rFonts w:cstheme="minorHAnsi"/>
        </w:rPr>
        <w:t>to</w:t>
      </w:r>
      <w:r>
        <w:rPr>
          <w:rFonts w:cstheme="minorHAnsi"/>
        </w:rPr>
        <w:t xml:space="preserve"> shift blame when public opinion started to view the </w:t>
      </w:r>
      <w:r w:rsidR="001321B3">
        <w:rPr>
          <w:rFonts w:cstheme="minorHAnsi"/>
        </w:rPr>
        <w:t>w</w:t>
      </w:r>
      <w:r>
        <w:rPr>
          <w:rFonts w:cstheme="minorHAnsi"/>
        </w:rPr>
        <w:t xml:space="preserve">ar as </w:t>
      </w:r>
      <w:r w:rsidR="00C23039">
        <w:rPr>
          <w:rFonts w:cstheme="minorHAnsi"/>
        </w:rPr>
        <w:t>near criminal</w:t>
      </w:r>
      <w:r>
        <w:rPr>
          <w:rFonts w:cstheme="minorHAnsi"/>
        </w:rPr>
        <w:t>.</w:t>
      </w:r>
      <w:r w:rsidR="00DC0C0D">
        <w:rPr>
          <w:rFonts w:cstheme="minorHAnsi"/>
        </w:rPr>
        <w:t xml:space="preserve"> </w:t>
      </w:r>
      <w:r w:rsidR="007838C1" w:rsidRPr="007838C1">
        <w:rPr>
          <w:rFonts w:cstheme="minorHAnsi"/>
        </w:rPr>
        <w:t>Politicians' autobiographies lent credence to this notion of 'war fever.' The decision to go to war in 1914 was made by a small group of individuals</w:t>
      </w:r>
      <w:r w:rsidR="007838C1">
        <w:rPr>
          <w:rFonts w:cstheme="minorHAnsi"/>
        </w:rPr>
        <w:t>. Still, the</w:t>
      </w:r>
      <w:r w:rsidR="007838C1" w:rsidRPr="007838C1">
        <w:rPr>
          <w:rFonts w:cstheme="minorHAnsi"/>
        </w:rPr>
        <w:t xml:space="preserve"> idea that the people backed it became a helpful myth for distributing guilt and avoiding unpleasant questions of individual accountability. </w:t>
      </w:r>
      <w:r w:rsidR="007838C1">
        <w:rPr>
          <w:rFonts w:cstheme="minorHAnsi"/>
        </w:rPr>
        <w:t>An excellent</w:t>
      </w:r>
      <w:r w:rsidR="007838C1" w:rsidRPr="007838C1">
        <w:rPr>
          <w:rFonts w:cstheme="minorHAnsi"/>
        </w:rPr>
        <w:t xml:space="preserve"> retrospective account of 'war fever' was given by David Lloyd George:</w:t>
      </w:r>
    </w:p>
    <w:p w14:paraId="431727E1" w14:textId="2620C08E" w:rsidR="007838C1" w:rsidRDefault="007838C1" w:rsidP="007838C1">
      <w:pPr>
        <w:ind w:left="720"/>
        <w:rPr>
          <w:rFonts w:cstheme="minorHAnsi"/>
        </w:rPr>
      </w:pPr>
      <w:r>
        <w:rPr>
          <w:rFonts w:cstheme="minorHAnsi"/>
        </w:rPr>
        <w:lastRenderedPageBreak/>
        <w:t>“[T</w:t>
      </w:r>
      <w:r w:rsidRPr="007838C1">
        <w:rPr>
          <w:rFonts w:cstheme="minorHAnsi"/>
        </w:rPr>
        <w:t>he</w:t>
      </w:r>
      <w:r>
        <w:rPr>
          <w:rFonts w:cstheme="minorHAnsi"/>
        </w:rPr>
        <w:t xml:space="preserve"> the</w:t>
      </w:r>
      <w:r w:rsidR="00B2668A">
        <w:rPr>
          <w:rFonts w:cstheme="minorHAnsi"/>
        </w:rPr>
        <w:t>ory that the]</w:t>
      </w:r>
      <w:r w:rsidRPr="007838C1">
        <w:rPr>
          <w:rFonts w:cstheme="minorHAnsi"/>
        </w:rPr>
        <w:t xml:space="preserve"> Great War was engineered by elder and </w:t>
      </w:r>
      <w:r w:rsidR="00A96F5C" w:rsidRPr="007838C1">
        <w:rPr>
          <w:rFonts w:cstheme="minorHAnsi"/>
        </w:rPr>
        <w:t>middle-aged</w:t>
      </w:r>
      <w:r w:rsidRPr="007838C1">
        <w:rPr>
          <w:rFonts w:cstheme="minorHAnsi"/>
        </w:rPr>
        <w:t xml:space="preserve"> statesmen who sent young men to face its horrors, is an invention ... I shall never forget the warlike crowds that thronged Whitehall and poured into Downing Street</w:t>
      </w:r>
      <w:r w:rsidR="001943E8">
        <w:rPr>
          <w:rFonts w:cstheme="minorHAnsi"/>
        </w:rPr>
        <w:t>…</w:t>
      </w:r>
      <w:r w:rsidRPr="007838C1">
        <w:rPr>
          <w:rFonts w:cstheme="minorHAnsi"/>
        </w:rPr>
        <w:t xml:space="preserve"> whilst the Cabinet was deliberating on the alternative of peace or war.</w:t>
      </w:r>
      <w:r w:rsidR="00B2668A">
        <w:rPr>
          <w:rFonts w:cstheme="minorHAnsi"/>
        </w:rPr>
        <w:t>”</w:t>
      </w:r>
      <w:r w:rsidR="00B2668A">
        <w:rPr>
          <w:rStyle w:val="FootnoteReference"/>
          <w:rFonts w:cstheme="minorHAnsi"/>
        </w:rPr>
        <w:footnoteReference w:id="5"/>
      </w:r>
    </w:p>
    <w:p w14:paraId="49D10C62" w14:textId="71959D5F" w:rsidR="00731132" w:rsidRDefault="00395572" w:rsidP="00073438">
      <w:pPr>
        <w:rPr>
          <w:rFonts w:cstheme="minorHAnsi"/>
        </w:rPr>
      </w:pPr>
      <w:r w:rsidRPr="00395572">
        <w:rPr>
          <w:rFonts w:cstheme="minorHAnsi"/>
        </w:rPr>
        <w:t xml:space="preserve">This chapter should be approached with extreme </w:t>
      </w:r>
      <w:r>
        <w:rPr>
          <w:rFonts w:cstheme="minorHAnsi"/>
        </w:rPr>
        <w:t>scepticism</w:t>
      </w:r>
      <w:r w:rsidRPr="00395572">
        <w:rPr>
          <w:rFonts w:cstheme="minorHAnsi"/>
        </w:rPr>
        <w:t xml:space="preserve">. Lloyd George </w:t>
      </w:r>
      <w:r>
        <w:rPr>
          <w:rFonts w:cstheme="minorHAnsi"/>
        </w:rPr>
        <w:t>justified</w:t>
      </w:r>
      <w:r w:rsidRPr="00395572">
        <w:rPr>
          <w:rFonts w:cstheme="minorHAnsi"/>
        </w:rPr>
        <w:t xml:space="preserve"> his own war decision by implying that the people forced the war declaration. The term "war enthusiasm" is intended to refute the charge that "old men" sacrificed the youth. However, the reality remains that the Cabinet, not the crowds, declared war against Germany, and Lloyd George himself played a pivotal role in convincing Liberal Britain to </w:t>
      </w:r>
      <w:r w:rsidR="00974551">
        <w:rPr>
          <w:rFonts w:cstheme="minorHAnsi"/>
        </w:rPr>
        <w:t>support the</w:t>
      </w:r>
      <w:r w:rsidRPr="00395572">
        <w:rPr>
          <w:rFonts w:cstheme="minorHAnsi"/>
        </w:rPr>
        <w:t xml:space="preserve"> </w:t>
      </w:r>
      <w:r>
        <w:rPr>
          <w:rFonts w:cstheme="minorHAnsi"/>
        </w:rPr>
        <w:t>conflict</w:t>
      </w:r>
      <w:r w:rsidRPr="00395572">
        <w:rPr>
          <w:rFonts w:cstheme="minorHAnsi"/>
        </w:rPr>
        <w:t>.</w:t>
      </w:r>
      <w:r w:rsidR="00974551">
        <w:rPr>
          <w:rStyle w:val="FootnoteReference"/>
          <w:rFonts w:cstheme="minorHAnsi"/>
        </w:rPr>
        <w:footnoteReference w:id="6"/>
      </w:r>
    </w:p>
    <w:p w14:paraId="525894EE" w14:textId="5B1DE3DC" w:rsidR="00A43CA2" w:rsidRDefault="00BD09F7" w:rsidP="00073438">
      <w:pPr>
        <w:rPr>
          <w:rFonts w:cstheme="minorHAnsi"/>
        </w:rPr>
      </w:pPr>
      <w:r>
        <w:rPr>
          <w:rFonts w:cstheme="minorHAnsi"/>
        </w:rPr>
        <w:t>Post-war revisionism has been quite destructive to the popular</w:t>
      </w:r>
      <w:r w:rsidR="00D44867">
        <w:rPr>
          <w:rFonts w:cstheme="minorHAnsi"/>
        </w:rPr>
        <w:t xml:space="preserve"> and scholarly</w:t>
      </w:r>
      <w:r>
        <w:rPr>
          <w:rFonts w:cstheme="minorHAnsi"/>
        </w:rPr>
        <w:t xml:space="preserve"> history of the Great War. </w:t>
      </w:r>
      <w:r w:rsidR="00D44867">
        <w:rPr>
          <w:rFonts w:cstheme="minorHAnsi"/>
        </w:rPr>
        <w:t xml:space="preserve">Anecdotal evidence, like that of Bertrand Russell and David Lloyd-George, in addition to photos of Buckingham Palace and Trafalgar Square taken out of context, are some of the few pieces of evidence given for a great deal of war enthusiasm in the summer of 1914. </w:t>
      </w:r>
      <w:r w:rsidR="004A6583">
        <w:rPr>
          <w:rFonts w:cstheme="minorHAnsi"/>
        </w:rPr>
        <w:t>These pieces of evidence lose a great deal of value if they are criticised cynically, as shown by scholars like Adrian Gregory.</w:t>
      </w:r>
    </w:p>
    <w:p w14:paraId="24BB4923" w14:textId="1ECB1E39" w:rsidR="00A116D1" w:rsidRDefault="006F5361" w:rsidP="00073438">
      <w:pPr>
        <w:rPr>
          <w:rFonts w:cstheme="minorHAnsi"/>
        </w:rPr>
      </w:pPr>
      <w:r>
        <w:rPr>
          <w:rFonts w:cstheme="minorHAnsi"/>
        </w:rPr>
        <w:t xml:space="preserve">To speak of the reaction of ‘Britons’ to the declaration of war in 1914 is counterproductive as it compounds all of Great Britain into one mass, where in actuality, there were striking differences of enthusiasm between not just different nationalities but also across </w:t>
      </w:r>
      <w:r w:rsidR="00832433">
        <w:rPr>
          <w:rFonts w:cstheme="minorHAnsi"/>
        </w:rPr>
        <w:t xml:space="preserve">gender and </w:t>
      </w:r>
      <w:r>
        <w:rPr>
          <w:rFonts w:cstheme="minorHAnsi"/>
        </w:rPr>
        <w:t>an Edwardian class system that was very dividing</w:t>
      </w:r>
      <w:r w:rsidR="007903CF">
        <w:rPr>
          <w:rFonts w:cstheme="minorHAnsi"/>
        </w:rPr>
        <w:t xml:space="preserve"> at the time</w:t>
      </w:r>
      <w:r>
        <w:rPr>
          <w:rFonts w:cstheme="minorHAnsi"/>
        </w:rPr>
        <w:t>.</w:t>
      </w:r>
    </w:p>
    <w:p w14:paraId="1442A1D3" w14:textId="6DD9A14F" w:rsidR="000810BD" w:rsidRDefault="00DA60BB" w:rsidP="00073438">
      <w:pPr>
        <w:rPr>
          <w:rFonts w:cstheme="minorHAnsi"/>
        </w:rPr>
      </w:pPr>
      <w:r>
        <w:rPr>
          <w:rFonts w:cstheme="minorHAnsi"/>
        </w:rPr>
        <w:t>Wales, for example, was a hotbed for anti-war sentiment in the years leading up to the First World War</w:t>
      </w:r>
      <w:r w:rsidR="00032815">
        <w:rPr>
          <w:rFonts w:cstheme="minorHAnsi"/>
        </w:rPr>
        <w:t xml:space="preserve">, so it would not have been surprising had it also presented significant opposition to the war declaration in 1914. </w:t>
      </w:r>
      <w:r w:rsidR="00EF056D" w:rsidRPr="00EF056D">
        <w:rPr>
          <w:rFonts w:cstheme="minorHAnsi"/>
        </w:rPr>
        <w:t xml:space="preserve">Then, just an MP for the Liberal Party, David Lloyd George </w:t>
      </w:r>
      <w:r w:rsidR="00032815">
        <w:rPr>
          <w:rFonts w:cstheme="minorHAnsi"/>
        </w:rPr>
        <w:t>became a charismatic rallying point against the Boer War</w:t>
      </w:r>
      <w:r w:rsidR="009B6B5C">
        <w:rPr>
          <w:rFonts w:cstheme="minorHAnsi"/>
        </w:rPr>
        <w:t>. It’s the domination of pacifist Liberals in the north</w:t>
      </w:r>
      <w:r w:rsidR="00EF056D">
        <w:rPr>
          <w:rFonts w:cstheme="minorHAnsi"/>
        </w:rPr>
        <w:t>,</w:t>
      </w:r>
      <w:r w:rsidR="009B6B5C">
        <w:rPr>
          <w:rFonts w:cstheme="minorHAnsi"/>
        </w:rPr>
        <w:t xml:space="preserve"> and the rule of labour unions in the south meant that it became a key area of opposition to the war in South Africa. The </w:t>
      </w:r>
      <w:r w:rsidR="00EF056D">
        <w:rPr>
          <w:rFonts w:cstheme="minorHAnsi"/>
        </w:rPr>
        <w:t>standard</w:t>
      </w:r>
      <w:r w:rsidR="009B6B5C">
        <w:rPr>
          <w:rFonts w:cstheme="minorHAnsi"/>
        </w:rPr>
        <w:t xml:space="preserve"> </w:t>
      </w:r>
      <w:r w:rsidR="00EF056D">
        <w:rPr>
          <w:rFonts w:cstheme="minorHAnsi"/>
        </w:rPr>
        <w:t xml:space="preserve">revisionist </w:t>
      </w:r>
      <w:r w:rsidR="009B6B5C">
        <w:rPr>
          <w:rFonts w:cstheme="minorHAnsi"/>
        </w:rPr>
        <w:t xml:space="preserve">view, as expounded by scholars like Kenneth Morgan in his history of Wales, </w:t>
      </w:r>
      <w:r w:rsidR="009B6B5C">
        <w:rPr>
          <w:rFonts w:cstheme="minorHAnsi"/>
          <w:i/>
          <w:iCs/>
        </w:rPr>
        <w:t>Rebirth of a Nation</w:t>
      </w:r>
      <w:r w:rsidR="009B6B5C">
        <w:rPr>
          <w:rFonts w:cstheme="minorHAnsi"/>
        </w:rPr>
        <w:t xml:space="preserve">, is that upon hearing of the call to war against Germany, </w:t>
      </w:r>
      <w:r w:rsidR="00CE6871">
        <w:rPr>
          <w:rFonts w:cstheme="minorHAnsi"/>
        </w:rPr>
        <w:t>both labour and Liberal pacifists pushed away</w:t>
      </w:r>
      <w:r w:rsidR="00EF056D">
        <w:rPr>
          <w:rFonts w:cstheme="minorHAnsi"/>
        </w:rPr>
        <w:t xml:space="preserve"> from</w:t>
      </w:r>
      <w:r w:rsidR="00CE6871">
        <w:rPr>
          <w:rFonts w:cstheme="minorHAnsi"/>
        </w:rPr>
        <w:t xml:space="preserve"> their ideals of peace and instead took up arms </w:t>
      </w:r>
      <w:r w:rsidR="00EF056D">
        <w:rPr>
          <w:rFonts w:cstheme="minorHAnsi"/>
        </w:rPr>
        <w:t>in the act of</w:t>
      </w:r>
      <w:r w:rsidR="00CE6871">
        <w:rPr>
          <w:rFonts w:cstheme="minorHAnsi"/>
        </w:rPr>
        <w:t xml:space="preserve"> patriotic zeal.</w:t>
      </w:r>
      <w:r w:rsidR="00CE6871">
        <w:rPr>
          <w:rStyle w:val="FootnoteReference"/>
          <w:rFonts w:cstheme="minorHAnsi"/>
        </w:rPr>
        <w:footnoteReference w:id="7"/>
      </w:r>
      <w:r w:rsidR="00A5434F">
        <w:rPr>
          <w:rFonts w:cstheme="minorHAnsi"/>
        </w:rPr>
        <w:t xml:space="preserve"> </w:t>
      </w:r>
      <w:r w:rsidR="003F6998" w:rsidRPr="003F6998">
        <w:rPr>
          <w:rFonts w:cstheme="minorHAnsi"/>
        </w:rPr>
        <w:t>However, this claim that the Welsh civilians immediately put aside their lives to support the war effort is not entirely valid</w:t>
      </w:r>
      <w:r w:rsidR="003F6998">
        <w:rPr>
          <w:rFonts w:cstheme="minorHAnsi"/>
        </w:rPr>
        <w:t xml:space="preserve">. On both the third and the fifth of August (the day after Britain joined the war), the government requested that workers cut short their holidays and return to work </w:t>
      </w:r>
      <w:r w:rsidR="00DB5370">
        <w:rPr>
          <w:rFonts w:cstheme="minorHAnsi"/>
        </w:rPr>
        <w:t>to</w:t>
      </w:r>
      <w:r w:rsidR="003F6998">
        <w:rPr>
          <w:rFonts w:cstheme="minorHAnsi"/>
        </w:rPr>
        <w:t xml:space="preserve"> assist with the war effort. </w:t>
      </w:r>
      <w:r w:rsidR="00DB5370">
        <w:rPr>
          <w:rFonts w:cstheme="minorHAnsi"/>
        </w:rPr>
        <w:t xml:space="preserve">Of the eleven-thousand workers asked to return to work, only about a hundred actually did! Despite not being a pacifist protest, it does </w:t>
      </w:r>
      <w:r w:rsidR="00D9691A">
        <w:rPr>
          <w:rFonts w:cstheme="minorHAnsi"/>
        </w:rPr>
        <w:t>bring into discussion the validity of that</w:t>
      </w:r>
      <w:r w:rsidR="00DB5370">
        <w:rPr>
          <w:rFonts w:cstheme="minorHAnsi"/>
        </w:rPr>
        <w:t xml:space="preserve"> view of the Welsh as being so overcome with patriotism they would sacrifice even a holiday</w:t>
      </w:r>
      <w:r w:rsidR="000A7BB7">
        <w:rPr>
          <w:rFonts w:cstheme="minorHAnsi"/>
        </w:rPr>
        <w:t xml:space="preserve"> to defeat Germany.</w:t>
      </w:r>
      <w:r w:rsidR="00E1146F">
        <w:rPr>
          <w:rStyle w:val="FootnoteReference"/>
          <w:rFonts w:cstheme="minorHAnsi"/>
        </w:rPr>
        <w:footnoteReference w:id="8"/>
      </w:r>
      <w:r w:rsidR="000F328B">
        <w:rPr>
          <w:rFonts w:cstheme="minorHAnsi"/>
        </w:rPr>
        <w:t xml:space="preserve"> Kenneth Morgan’s claim that: “</w:t>
      </w:r>
      <w:r w:rsidR="000F328B" w:rsidRPr="000F328B">
        <w:rPr>
          <w:rFonts w:cstheme="minorHAnsi"/>
        </w:rPr>
        <w:t>the overwhelming mass of the Welsh people cast aside their political and industrial divisions and threw themselves into the war with gusto</w:t>
      </w:r>
      <w:r w:rsidR="000F328B">
        <w:rPr>
          <w:rFonts w:cstheme="minorHAnsi"/>
        </w:rPr>
        <w:t>”</w:t>
      </w:r>
      <w:r w:rsidR="000F328B">
        <w:rPr>
          <w:rStyle w:val="FootnoteReference"/>
          <w:rFonts w:cstheme="minorHAnsi"/>
        </w:rPr>
        <w:footnoteReference w:id="9"/>
      </w:r>
      <w:r w:rsidR="000F328B">
        <w:rPr>
          <w:rFonts w:cstheme="minorHAnsi"/>
        </w:rPr>
        <w:t xml:space="preserve"> was not a comprehensive narrative.</w:t>
      </w:r>
    </w:p>
    <w:p w14:paraId="435A0280" w14:textId="069518AE" w:rsidR="00024520" w:rsidRDefault="00024520" w:rsidP="00073438">
      <w:pPr>
        <w:rPr>
          <w:rFonts w:cstheme="minorHAnsi"/>
        </w:rPr>
      </w:pPr>
      <w:r>
        <w:rPr>
          <w:rFonts w:cstheme="minorHAnsi"/>
        </w:rPr>
        <w:t>However, to say that Wales was a pacifist nation at the start of the war would also be untrue.</w:t>
      </w:r>
      <w:r w:rsidR="00AE7AE3">
        <w:rPr>
          <w:rFonts w:cstheme="minorHAnsi"/>
        </w:rPr>
        <w:t xml:space="preserve"> Especially in the north,</w:t>
      </w:r>
      <w:r>
        <w:rPr>
          <w:rFonts w:cstheme="minorHAnsi"/>
        </w:rPr>
        <w:t xml:space="preserve"> </w:t>
      </w:r>
      <w:r w:rsidR="00E1146F">
        <w:rPr>
          <w:rFonts w:cstheme="minorHAnsi"/>
        </w:rPr>
        <w:t xml:space="preserve">Welsh </w:t>
      </w:r>
      <w:r w:rsidR="00AE7AE3">
        <w:rPr>
          <w:rFonts w:cstheme="minorHAnsi"/>
        </w:rPr>
        <w:t xml:space="preserve">Liberals supported the war effort out of loyalty to the government. </w:t>
      </w:r>
      <w:r w:rsidR="00C95016">
        <w:rPr>
          <w:rFonts w:cstheme="minorHAnsi"/>
        </w:rPr>
        <w:t>They recently</w:t>
      </w:r>
      <w:r w:rsidR="00AE7AE3">
        <w:rPr>
          <w:rFonts w:cstheme="minorHAnsi"/>
        </w:rPr>
        <w:t xml:space="preserve"> fulfilled the Welsh Liberals main goal of disestablishing the Welsh </w:t>
      </w:r>
      <w:r w:rsidR="00802D9D">
        <w:rPr>
          <w:rFonts w:cstheme="minorHAnsi"/>
        </w:rPr>
        <w:t>Church,</w:t>
      </w:r>
      <w:r w:rsidR="00AE7AE3">
        <w:rPr>
          <w:rFonts w:cstheme="minorHAnsi"/>
        </w:rPr>
        <w:t xml:space="preserve"> so they </w:t>
      </w:r>
      <w:r w:rsidR="00AE7AE3">
        <w:rPr>
          <w:rFonts w:cstheme="minorHAnsi"/>
        </w:rPr>
        <w:lastRenderedPageBreak/>
        <w:t>were in good graces with Westminster.</w:t>
      </w:r>
      <w:r w:rsidR="00802D9D">
        <w:rPr>
          <w:rStyle w:val="FootnoteReference"/>
          <w:rFonts w:cstheme="minorHAnsi"/>
        </w:rPr>
        <w:footnoteReference w:id="10"/>
      </w:r>
      <w:r w:rsidR="00C95016">
        <w:rPr>
          <w:rFonts w:cstheme="minorHAnsi"/>
        </w:rPr>
        <w:t xml:space="preserve"> On the other hand</w:t>
      </w:r>
      <w:r w:rsidR="00C95016" w:rsidRPr="00C95016">
        <w:rPr>
          <w:rFonts w:cstheme="minorHAnsi"/>
        </w:rPr>
        <w:t>, there would be some resistance f</w:t>
      </w:r>
      <w:r w:rsidR="00C95016">
        <w:rPr>
          <w:rFonts w:cstheme="minorHAnsi"/>
        </w:rPr>
        <w:t>rom</w:t>
      </w:r>
      <w:r w:rsidR="00C95016" w:rsidRPr="00C95016">
        <w:rPr>
          <w:rFonts w:cstheme="minorHAnsi"/>
        </w:rPr>
        <w:t xml:space="preserve"> the working-class labour factions </w:t>
      </w:r>
      <w:r w:rsidR="00C95016">
        <w:rPr>
          <w:rFonts w:cstheme="minorHAnsi"/>
        </w:rPr>
        <w:t xml:space="preserve">before aligning with the war effort. </w:t>
      </w:r>
      <w:r w:rsidR="008D01F1">
        <w:rPr>
          <w:rFonts w:cstheme="minorHAnsi"/>
        </w:rPr>
        <w:t>Just four days after the holiday incident, the government and mine managers asked that the miners labour an additional hour every day. In response, the request was met with widespread opposition for a whole month. The controversy was eventually resolved on September 1</w:t>
      </w:r>
      <w:r w:rsidR="008D01F1" w:rsidRPr="008D01F1">
        <w:rPr>
          <w:rFonts w:cstheme="minorHAnsi"/>
          <w:vertAlign w:val="superscript"/>
        </w:rPr>
        <w:t>st</w:t>
      </w:r>
      <w:r w:rsidR="008D01F1">
        <w:rPr>
          <w:rFonts w:cstheme="minorHAnsi"/>
        </w:rPr>
        <w:t xml:space="preserve"> when a </w:t>
      </w:r>
      <w:r w:rsidR="009D2ECD">
        <w:rPr>
          <w:rFonts w:cstheme="minorHAnsi"/>
        </w:rPr>
        <w:t>South Wales Miners Federation</w:t>
      </w:r>
      <w:r w:rsidR="009F778D">
        <w:rPr>
          <w:rFonts w:cstheme="minorHAnsi"/>
        </w:rPr>
        <w:t xml:space="preserve"> conference </w:t>
      </w:r>
      <w:r w:rsidR="008D01F1">
        <w:rPr>
          <w:rFonts w:cstheme="minorHAnsi"/>
        </w:rPr>
        <w:t xml:space="preserve">was put in session to address the issue. In the end, the </w:t>
      </w:r>
      <w:r w:rsidR="009D2ECD">
        <w:rPr>
          <w:rFonts w:cstheme="minorHAnsi"/>
        </w:rPr>
        <w:t>South Wales Miners Federation</w:t>
      </w:r>
      <w:r w:rsidR="008D01F1">
        <w:rPr>
          <w:rFonts w:cstheme="minorHAnsi"/>
        </w:rPr>
        <w:t xml:space="preserve">’s decision to support the extra hour would be upheld. </w:t>
      </w:r>
      <w:r w:rsidR="0022613E">
        <w:rPr>
          <w:rFonts w:cstheme="minorHAnsi"/>
        </w:rPr>
        <w:t>However, in exchange</w:t>
      </w:r>
      <w:r w:rsidR="008D01F1">
        <w:rPr>
          <w:rFonts w:cstheme="minorHAnsi"/>
        </w:rPr>
        <w:t xml:space="preserve">, the </w:t>
      </w:r>
      <w:r w:rsidR="009D2ECD">
        <w:rPr>
          <w:rFonts w:cstheme="minorHAnsi"/>
        </w:rPr>
        <w:t>SWMF</w:t>
      </w:r>
      <w:r w:rsidR="008D01F1">
        <w:rPr>
          <w:rFonts w:cstheme="minorHAnsi"/>
        </w:rPr>
        <w:t xml:space="preserve"> urged </w:t>
      </w:r>
      <w:r w:rsidR="009F778D">
        <w:rPr>
          <w:rFonts w:cstheme="minorHAnsi"/>
        </w:rPr>
        <w:t>troops to be paid more and</w:t>
      </w:r>
      <w:r w:rsidR="008D01F1">
        <w:rPr>
          <w:rFonts w:cstheme="minorHAnsi"/>
        </w:rPr>
        <w:t xml:space="preserve"> given greater separation allowances. In the context</w:t>
      </w:r>
      <w:r w:rsidR="009F778D">
        <w:rPr>
          <w:rFonts w:cstheme="minorHAnsi"/>
        </w:rPr>
        <w:t xml:space="preserve">, it’s possible that the </w:t>
      </w:r>
      <w:r w:rsidR="009D2ECD">
        <w:rPr>
          <w:rFonts w:cstheme="minorHAnsi"/>
        </w:rPr>
        <w:t>SWMF</w:t>
      </w:r>
      <w:r w:rsidR="009F778D">
        <w:rPr>
          <w:rFonts w:cstheme="minorHAnsi"/>
        </w:rPr>
        <w:t xml:space="preserve"> was expanding its jurisdiction to defend its members who had joined the war rather than switching to an abstract zealous patriotism posture.</w:t>
      </w:r>
      <w:r w:rsidR="00BA176C">
        <w:rPr>
          <w:rFonts w:cstheme="minorHAnsi"/>
        </w:rPr>
        <w:t xml:space="preserve"> Incidents like this show the power of workers’ unions </w:t>
      </w:r>
      <w:r w:rsidR="006C5B5F">
        <w:rPr>
          <w:rFonts w:cstheme="minorHAnsi"/>
        </w:rPr>
        <w:t xml:space="preserve">in Britain at the time and how effective they were at inspiring enthusiasm for the war. </w:t>
      </w:r>
      <w:r w:rsidR="006C5B5F" w:rsidRPr="006C5B5F">
        <w:rPr>
          <w:rFonts w:cstheme="minorHAnsi"/>
        </w:rPr>
        <w:t xml:space="preserve">It's also true that </w:t>
      </w:r>
      <w:r w:rsidR="004A6555" w:rsidRPr="004A6555">
        <w:rPr>
          <w:rFonts w:cstheme="minorHAnsi"/>
        </w:rPr>
        <w:t>the military situation had drastically shifted by the end of August</w:t>
      </w:r>
      <w:r w:rsidR="006C5B5F" w:rsidRPr="006C5B5F">
        <w:rPr>
          <w:rFonts w:cstheme="minorHAnsi"/>
        </w:rPr>
        <w:t xml:space="preserve">. Britain looked to be on the verge of defeat, and the </w:t>
      </w:r>
      <w:r w:rsidR="009D2ECD">
        <w:rPr>
          <w:rFonts w:cstheme="minorHAnsi"/>
        </w:rPr>
        <w:t>SWMF</w:t>
      </w:r>
      <w:r w:rsidR="006C5B5F" w:rsidRPr="006C5B5F">
        <w:rPr>
          <w:rFonts w:cstheme="minorHAnsi"/>
        </w:rPr>
        <w:t xml:space="preserve">'s decision to 'rally' coincided with a </w:t>
      </w:r>
      <w:r w:rsidR="0034117D">
        <w:rPr>
          <w:rFonts w:cstheme="minorHAnsi"/>
        </w:rPr>
        <w:t>drastic rise</w:t>
      </w:r>
      <w:r w:rsidR="006C5B5F" w:rsidRPr="006C5B5F">
        <w:rPr>
          <w:rFonts w:cstheme="minorHAnsi"/>
        </w:rPr>
        <w:t xml:space="preserve"> in </w:t>
      </w:r>
      <w:r w:rsidR="0034117D">
        <w:rPr>
          <w:rFonts w:cstheme="minorHAnsi"/>
        </w:rPr>
        <w:t>war enthusiasm</w:t>
      </w:r>
      <w:r w:rsidR="006C5B5F" w:rsidRPr="006C5B5F">
        <w:rPr>
          <w:rFonts w:cstheme="minorHAnsi"/>
        </w:rPr>
        <w:t>.</w:t>
      </w:r>
      <w:r w:rsidR="006C5B5F">
        <w:rPr>
          <w:rStyle w:val="FootnoteReference"/>
          <w:rFonts w:cstheme="minorHAnsi"/>
        </w:rPr>
        <w:footnoteReference w:id="11"/>
      </w:r>
    </w:p>
    <w:p w14:paraId="372F77BA" w14:textId="6D08427A" w:rsidR="00842672" w:rsidRDefault="00842672" w:rsidP="00073438">
      <w:pPr>
        <w:rPr>
          <w:rFonts w:cstheme="minorHAnsi"/>
        </w:rPr>
      </w:pPr>
      <w:r>
        <w:rPr>
          <w:rFonts w:cstheme="minorHAnsi"/>
        </w:rPr>
        <w:t>Wales as a region would eventually turn quite jingoistic</w:t>
      </w:r>
      <w:r w:rsidR="004A6555">
        <w:rPr>
          <w:rFonts w:cstheme="minorHAnsi"/>
        </w:rPr>
        <w:t>. Still, the</w:t>
      </w:r>
      <w:r>
        <w:rPr>
          <w:rFonts w:cstheme="minorHAnsi"/>
        </w:rPr>
        <w:t xml:space="preserve"> discontentment of workers having to sacrifice for the ‘war at home’ would remain a point of agitation right throughout the war. The heckling of pacifist politician James Keir Hardie in Aberdare</w:t>
      </w:r>
      <w:r w:rsidR="004A6555">
        <w:rPr>
          <w:rFonts w:cstheme="minorHAnsi"/>
        </w:rPr>
        <w:t xml:space="preserve"> is an excellent example of Welsh jingoism in the summer of 1914</w:t>
      </w:r>
      <w:r>
        <w:rPr>
          <w:rFonts w:cstheme="minorHAnsi"/>
        </w:rPr>
        <w:t>. Hardie would return later</w:t>
      </w:r>
      <w:r w:rsidR="00A01852">
        <w:rPr>
          <w:rFonts w:cstheme="minorHAnsi"/>
        </w:rPr>
        <w:t>; however</w:t>
      </w:r>
      <w:r>
        <w:rPr>
          <w:rFonts w:cstheme="minorHAnsi"/>
        </w:rPr>
        <w:t>, after editing his speeches to accommodate the shift in public opinion</w:t>
      </w:r>
      <w:r w:rsidR="00A01852">
        <w:rPr>
          <w:rFonts w:cstheme="minorHAnsi"/>
        </w:rPr>
        <w:t>,</w:t>
      </w:r>
      <w:r>
        <w:rPr>
          <w:rFonts w:cstheme="minorHAnsi"/>
        </w:rPr>
        <w:t xml:space="preserve"> </w:t>
      </w:r>
      <w:r w:rsidR="00A01852">
        <w:rPr>
          <w:rFonts w:cstheme="minorHAnsi"/>
        </w:rPr>
        <w:t>there was great anxiety to support the troops as</w:t>
      </w:r>
      <w:r>
        <w:rPr>
          <w:rFonts w:cstheme="minorHAnsi"/>
        </w:rPr>
        <w:t xml:space="preserve"> </w:t>
      </w:r>
      <w:r w:rsidR="00A01852">
        <w:rPr>
          <w:rFonts w:cstheme="minorHAnsi"/>
        </w:rPr>
        <w:t>Britain</w:t>
      </w:r>
      <w:r w:rsidR="0011005A">
        <w:rPr>
          <w:rFonts w:cstheme="minorHAnsi"/>
        </w:rPr>
        <w:t xml:space="preserve"> appeared to be losing the war</w:t>
      </w:r>
      <w:r w:rsidR="004A6555">
        <w:rPr>
          <w:rFonts w:cstheme="minorHAnsi"/>
        </w:rPr>
        <w:t>, where he would be met with cheers.</w:t>
      </w:r>
    </w:p>
    <w:p w14:paraId="70EB2154" w14:textId="3846001E" w:rsidR="006F425B" w:rsidRDefault="006F425B" w:rsidP="00073438">
      <w:pPr>
        <w:rPr>
          <w:rFonts w:cstheme="minorHAnsi"/>
        </w:rPr>
      </w:pPr>
      <w:r>
        <w:rPr>
          <w:rFonts w:cstheme="minorHAnsi"/>
        </w:rPr>
        <w:t>As shown in the first section of this essay, there is a tendency to associate the whole of Britain under the scope of what’s happening in London. Arguments for Britain’s jingoism seem to argue very heavily on scenes outside Westminster and Buckingham Palace on the 4</w:t>
      </w:r>
      <w:r w:rsidRPr="006F425B">
        <w:rPr>
          <w:rFonts w:cstheme="minorHAnsi"/>
          <w:vertAlign w:val="superscript"/>
        </w:rPr>
        <w:t>th of</w:t>
      </w:r>
      <w:r>
        <w:rPr>
          <w:rFonts w:cstheme="minorHAnsi"/>
        </w:rPr>
        <w:t xml:space="preserve"> August, despite it not being </w:t>
      </w:r>
      <w:r w:rsidR="00603616">
        <w:rPr>
          <w:rFonts w:cstheme="minorHAnsi"/>
        </w:rPr>
        <w:t>representative</w:t>
      </w:r>
      <w:r>
        <w:rPr>
          <w:rFonts w:cstheme="minorHAnsi"/>
        </w:rPr>
        <w:t xml:space="preserve"> </w:t>
      </w:r>
      <w:r w:rsidR="00603616">
        <w:rPr>
          <w:rFonts w:cstheme="minorHAnsi"/>
        </w:rPr>
        <w:t>of</w:t>
      </w:r>
      <w:r>
        <w:rPr>
          <w:rFonts w:cstheme="minorHAnsi"/>
        </w:rPr>
        <w:t xml:space="preserve"> the whole nation</w:t>
      </w:r>
      <w:r w:rsidR="00A839DE">
        <w:rPr>
          <w:rFonts w:cstheme="minorHAnsi"/>
        </w:rPr>
        <w:t>, as it was incredibly divided at this time</w:t>
      </w:r>
      <w:r w:rsidR="00952CB7">
        <w:rPr>
          <w:rFonts w:cstheme="minorHAnsi"/>
        </w:rPr>
        <w:t xml:space="preserve"> (across regions and classes especially)</w:t>
      </w:r>
      <w:r w:rsidR="00A839DE">
        <w:rPr>
          <w:rFonts w:cstheme="minorHAnsi"/>
        </w:rPr>
        <w:t>.</w:t>
      </w:r>
      <w:r w:rsidR="005F04E4">
        <w:rPr>
          <w:rFonts w:cstheme="minorHAnsi"/>
        </w:rPr>
        <w:t xml:space="preserve"> And, indeed, I do not believe it is evidence for the British public </w:t>
      </w:r>
      <w:r w:rsidR="000500EF">
        <w:rPr>
          <w:rFonts w:cstheme="minorHAnsi"/>
        </w:rPr>
        <w:t>having</w:t>
      </w:r>
      <w:r w:rsidR="005F04E4">
        <w:rPr>
          <w:rFonts w:cstheme="minorHAnsi"/>
        </w:rPr>
        <w:t xml:space="preserve"> a high war enthusiasm </w:t>
      </w:r>
      <w:r w:rsidR="00C10B24">
        <w:rPr>
          <w:rFonts w:cstheme="minorHAnsi"/>
        </w:rPr>
        <w:t xml:space="preserve">in the summer of 1914 </w:t>
      </w:r>
      <w:r w:rsidR="005F04E4">
        <w:rPr>
          <w:rFonts w:cstheme="minorHAnsi"/>
        </w:rPr>
        <w:t>even in London.</w:t>
      </w:r>
    </w:p>
    <w:p w14:paraId="70A35391" w14:textId="591175C3" w:rsidR="005F04E4" w:rsidRDefault="00FF61B0" w:rsidP="00073438">
      <w:pPr>
        <w:rPr>
          <w:rFonts w:cstheme="minorHAnsi"/>
        </w:rPr>
      </w:pPr>
      <w:r>
        <w:rPr>
          <w:rFonts w:cstheme="minorHAnsi"/>
        </w:rPr>
        <w:t xml:space="preserve">Adrian Gregory cites </w:t>
      </w:r>
      <w:r w:rsidR="00C32AC0">
        <w:rPr>
          <w:rFonts w:cstheme="minorHAnsi"/>
        </w:rPr>
        <w:t>a description</w:t>
      </w:r>
      <w:r>
        <w:rPr>
          <w:rFonts w:cstheme="minorHAnsi"/>
        </w:rPr>
        <w:t xml:space="preserve"> of the crowd to display how the misconception of vast crowds cheering for war came about. </w:t>
      </w:r>
      <w:r w:rsidR="00777DD5">
        <w:rPr>
          <w:rFonts w:cstheme="minorHAnsi"/>
        </w:rPr>
        <w:t xml:space="preserve">Firstly, </w:t>
      </w:r>
      <w:r w:rsidR="00543429">
        <w:rPr>
          <w:rFonts w:cstheme="minorHAnsi"/>
        </w:rPr>
        <w:t>he shows the account of a newspaper at the time</w:t>
      </w:r>
      <w:r w:rsidR="00777DD5">
        <w:rPr>
          <w:rFonts w:cstheme="minorHAnsi"/>
        </w:rPr>
        <w:t xml:space="preserve">: </w:t>
      </w:r>
    </w:p>
    <w:p w14:paraId="19671DF4" w14:textId="7AF4D897" w:rsidR="00777DD5" w:rsidRDefault="00543429" w:rsidP="00202EAB">
      <w:pPr>
        <w:ind w:left="720"/>
        <w:rPr>
          <w:rFonts w:cstheme="minorHAnsi"/>
        </w:rPr>
      </w:pPr>
      <w:r>
        <w:rPr>
          <w:rFonts w:cstheme="minorHAnsi"/>
        </w:rPr>
        <w:t>“</w:t>
      </w:r>
      <w:r w:rsidRPr="00777DD5">
        <w:rPr>
          <w:rFonts w:cstheme="minorHAnsi"/>
        </w:rPr>
        <w:t>Thousands</w:t>
      </w:r>
      <w:r w:rsidR="00777DD5" w:rsidRPr="00777DD5">
        <w:rPr>
          <w:rFonts w:cstheme="minorHAnsi"/>
        </w:rPr>
        <w:t xml:space="preserve"> of </w:t>
      </w:r>
      <w:r w:rsidR="00202EAB">
        <w:rPr>
          <w:rFonts w:cstheme="minorHAnsi"/>
        </w:rPr>
        <w:t>holidaymakers</w:t>
      </w:r>
      <w:r w:rsidR="00777DD5" w:rsidRPr="00777DD5">
        <w:rPr>
          <w:rFonts w:cstheme="minorHAnsi"/>
        </w:rPr>
        <w:t xml:space="preserve"> who in other circumstances would have been only too happy to get out of town made their way to Whitehall in the hope of catching a glimpse of Ministers as they arrived. Quiet and orderly, this typical English crowd, obviously comprising all classes of people bore itself well. There was no feverish excitement. Downing Street itself was kept clear by Police – a duty easily managed by a handful of men, so correct was </w:t>
      </w:r>
      <w:r w:rsidR="00202EAB">
        <w:rPr>
          <w:rFonts w:cstheme="minorHAnsi"/>
        </w:rPr>
        <w:t>the behaviour</w:t>
      </w:r>
      <w:r w:rsidR="00777DD5" w:rsidRPr="00777DD5">
        <w:rPr>
          <w:rFonts w:cstheme="minorHAnsi"/>
        </w:rPr>
        <w:t xml:space="preserve"> of the crowd ... </w:t>
      </w:r>
      <w:r w:rsidR="00202EAB">
        <w:rPr>
          <w:rFonts w:cstheme="minorHAnsi"/>
        </w:rPr>
        <w:t xml:space="preserve"> </w:t>
      </w:r>
      <w:r w:rsidR="00777DD5" w:rsidRPr="00777DD5">
        <w:rPr>
          <w:rFonts w:cstheme="minorHAnsi"/>
        </w:rPr>
        <w:t>suddenly the sound of military music was heard from the direction of Wellington Barracks. Immediately there was a stampede. Fathers packed up their children, mothers gathered the bottles of milk, bags of cake and fruit and there was a general rush in the direction of the Palace.</w:t>
      </w:r>
      <w:r>
        <w:rPr>
          <w:rFonts w:cstheme="minorHAnsi"/>
        </w:rPr>
        <w:t>”</w:t>
      </w:r>
      <w:r>
        <w:rPr>
          <w:rStyle w:val="FootnoteReference"/>
          <w:rFonts w:cstheme="minorHAnsi"/>
        </w:rPr>
        <w:footnoteReference w:id="12"/>
      </w:r>
    </w:p>
    <w:p w14:paraId="1E261131" w14:textId="737FCE1E" w:rsidR="00C32AC0" w:rsidRDefault="00C32AC0" w:rsidP="00C32AC0">
      <w:pPr>
        <w:rPr>
          <w:rFonts w:cstheme="minorHAnsi"/>
        </w:rPr>
      </w:pPr>
      <w:r>
        <w:rPr>
          <w:rFonts w:cstheme="minorHAnsi"/>
        </w:rPr>
        <w:t>This contemporary account contradicts the notion that London was filled with protesters jingoistically celebrating the war. Instead, it presents the</w:t>
      </w:r>
      <w:r w:rsidR="00A41128">
        <w:rPr>
          <w:rFonts w:cstheme="minorHAnsi"/>
        </w:rPr>
        <w:t xml:space="preserve"> crowd as mere groups of contented tourists who happened to be out at the same time and place. The swarms of patriots chanting for German </w:t>
      </w:r>
      <w:r w:rsidR="00A41128">
        <w:rPr>
          <w:rFonts w:cstheme="minorHAnsi"/>
        </w:rPr>
        <w:lastRenderedPageBreak/>
        <w:t>blood</w:t>
      </w:r>
      <w:r w:rsidR="00334ED6">
        <w:rPr>
          <w:rFonts w:cstheme="minorHAnsi"/>
        </w:rPr>
        <w:t xml:space="preserve"> are just curious observers with their families. </w:t>
      </w:r>
      <w:r w:rsidR="001943E8">
        <w:rPr>
          <w:rFonts w:cstheme="minorHAnsi"/>
        </w:rPr>
        <w:t xml:space="preserve">This description is in stark contrast to David Lloyd George’s account. As Gregory argues at the beginning, it is </w:t>
      </w:r>
      <w:r w:rsidR="008075C1">
        <w:rPr>
          <w:rFonts w:cstheme="minorHAnsi"/>
        </w:rPr>
        <w:t>essential</w:t>
      </w:r>
      <w:r w:rsidR="001943E8">
        <w:rPr>
          <w:rFonts w:cstheme="minorHAnsi"/>
        </w:rPr>
        <w:t xml:space="preserve"> to view his descriptions cynically as retrospective attempts to minimise his involvement:</w:t>
      </w:r>
    </w:p>
    <w:p w14:paraId="07C387EF" w14:textId="6878DB3F" w:rsidR="001943E8" w:rsidRDefault="001943E8" w:rsidP="001943E8">
      <w:pPr>
        <w:ind w:left="720"/>
        <w:rPr>
          <w:rFonts w:cstheme="minorHAnsi"/>
        </w:rPr>
      </w:pPr>
      <w:r>
        <w:rPr>
          <w:rFonts w:cstheme="minorHAnsi"/>
        </w:rPr>
        <w:t>“</w:t>
      </w:r>
      <w:r w:rsidRPr="001943E8">
        <w:rPr>
          <w:rFonts w:cstheme="minorHAnsi"/>
        </w:rPr>
        <w:t>I shall never forget the warlike crowds that thronged Whitehall and poured into Downing Street, whilst the Cabinet was deliberating on the alternative of peace or war. On Sunday there was a great crowd. Monday was a Bank Holiday and multitudes of young people concentrated in Westminster demonstrating for war against Germany.</w:t>
      </w:r>
      <w:r>
        <w:rPr>
          <w:rFonts w:cstheme="minorHAnsi"/>
        </w:rPr>
        <w:t>”</w:t>
      </w:r>
      <w:r>
        <w:rPr>
          <w:rStyle w:val="FootnoteReference"/>
          <w:rFonts w:cstheme="minorHAnsi"/>
        </w:rPr>
        <w:footnoteReference w:id="13"/>
      </w:r>
    </w:p>
    <w:p w14:paraId="64F569DF" w14:textId="3AFE6DFE" w:rsidR="008075C1" w:rsidRDefault="00235534" w:rsidP="00C32AC0">
      <w:pPr>
        <w:rPr>
          <w:rFonts w:cstheme="minorHAnsi"/>
        </w:rPr>
      </w:pPr>
      <w:r>
        <w:rPr>
          <w:rFonts w:cstheme="minorHAnsi"/>
        </w:rPr>
        <w:t>I</w:t>
      </w:r>
      <w:r w:rsidR="008F248C">
        <w:rPr>
          <w:rFonts w:cstheme="minorHAnsi"/>
        </w:rPr>
        <w:t>n August of 1914, the general vie</w:t>
      </w:r>
      <w:r>
        <w:rPr>
          <w:rFonts w:cstheme="minorHAnsi"/>
        </w:rPr>
        <w:t xml:space="preserve">w seems to be of shocked scepticism, as shown by letters published in </w:t>
      </w:r>
      <w:r>
        <w:rPr>
          <w:rFonts w:cstheme="minorHAnsi"/>
          <w:i/>
          <w:iCs/>
        </w:rPr>
        <w:t>The Times</w:t>
      </w:r>
      <w:r>
        <w:rPr>
          <w:rFonts w:cstheme="minorHAnsi"/>
        </w:rPr>
        <w:t xml:space="preserve"> a few days war was declared.</w:t>
      </w:r>
      <w:r>
        <w:rPr>
          <w:rStyle w:val="FootnoteReference"/>
          <w:rFonts w:cstheme="minorHAnsi"/>
        </w:rPr>
        <w:footnoteReference w:id="14"/>
      </w:r>
      <w:r>
        <w:rPr>
          <w:rFonts w:cstheme="minorHAnsi"/>
        </w:rPr>
        <w:t xml:space="preserve"> </w:t>
      </w:r>
      <w:r w:rsidR="008075C1">
        <w:rPr>
          <w:rFonts w:cstheme="minorHAnsi"/>
        </w:rPr>
        <w:t xml:space="preserve">Wales would take well over a month </w:t>
      </w:r>
      <w:r>
        <w:rPr>
          <w:rFonts w:cstheme="minorHAnsi"/>
        </w:rPr>
        <w:t xml:space="preserve">to conform to the war effort after </w:t>
      </w:r>
      <w:r w:rsidR="00BE4E9E">
        <w:rPr>
          <w:rFonts w:cstheme="minorHAnsi"/>
        </w:rPr>
        <w:t>its</w:t>
      </w:r>
      <w:r>
        <w:rPr>
          <w:rFonts w:cstheme="minorHAnsi"/>
        </w:rPr>
        <w:t xml:space="preserve"> mining industry was plagued with </w:t>
      </w:r>
      <w:r w:rsidR="00BE4E9E">
        <w:rPr>
          <w:rFonts w:cstheme="minorHAnsi"/>
        </w:rPr>
        <w:t>worker agitation like the refusal to return to work and the controversy over the workday being extended an hour. The crowds baying for war against the Kaiser that appears in accounts by people like David Lloyd George</w:t>
      </w:r>
      <w:r w:rsidR="008075C1">
        <w:rPr>
          <w:rFonts w:cstheme="minorHAnsi"/>
        </w:rPr>
        <w:t xml:space="preserve"> </w:t>
      </w:r>
      <w:r w:rsidR="001943E8">
        <w:rPr>
          <w:rFonts w:cstheme="minorHAnsi"/>
        </w:rPr>
        <w:t xml:space="preserve">were described in sources at the time as little more than curious bystanders. Scholars like Adrian Gregory have dismissed the myth of the naïve </w:t>
      </w:r>
      <w:r w:rsidR="008075C1">
        <w:rPr>
          <w:rFonts w:cstheme="minorHAnsi"/>
        </w:rPr>
        <w:t>Briton blundering into a terrible war with a smile on his face and instead have presented a version of Britain that was relatively unenthusiastic to the concept of war with Germany.</w:t>
      </w:r>
    </w:p>
    <w:p w14:paraId="4DCE7CF8" w14:textId="77777777" w:rsidR="008075C1" w:rsidRDefault="008075C1">
      <w:pPr>
        <w:rPr>
          <w:rFonts w:cstheme="minorHAnsi"/>
        </w:rPr>
      </w:pPr>
      <w:r>
        <w:rPr>
          <w:rFonts w:cstheme="minorHAnsi"/>
        </w:rPr>
        <w:br w:type="page"/>
      </w:r>
    </w:p>
    <w:p w14:paraId="2FCBDD88" w14:textId="2603CC00" w:rsidR="008F248C" w:rsidRDefault="008075C1" w:rsidP="008075C1">
      <w:pPr>
        <w:pStyle w:val="Heading1"/>
      </w:pPr>
      <w:r>
        <w:lastRenderedPageBreak/>
        <w:t>Bibliography</w:t>
      </w:r>
    </w:p>
    <w:p w14:paraId="7AB5E427" w14:textId="0563B5F8" w:rsidR="008075C1" w:rsidRDefault="008075C1" w:rsidP="008075C1">
      <w:pPr>
        <w:pStyle w:val="ListParagraph"/>
        <w:numPr>
          <w:ilvl w:val="0"/>
          <w:numId w:val="1"/>
        </w:numPr>
      </w:pPr>
      <w:r w:rsidRPr="008075C1">
        <w:t>John Graham Royde-Smith, "World War I - Killed, Wounded, And Missing", </w:t>
      </w:r>
      <w:r w:rsidRPr="008075C1">
        <w:rPr>
          <w:i/>
          <w:iCs/>
        </w:rPr>
        <w:t>Encyclopedia Britannica</w:t>
      </w:r>
      <w:r w:rsidRPr="008075C1">
        <w:t>, 2022 &lt;https://www.britannica.com/event/World-War-I/Killed-wounded-and-missing&gt; [Accessed 6 February 2022].</w:t>
      </w:r>
    </w:p>
    <w:p w14:paraId="5D48A6CF" w14:textId="1E12139A" w:rsidR="008075C1" w:rsidRDefault="008075C1" w:rsidP="008075C1">
      <w:pPr>
        <w:pStyle w:val="ListParagraph"/>
        <w:numPr>
          <w:ilvl w:val="0"/>
          <w:numId w:val="1"/>
        </w:numPr>
      </w:pPr>
      <w:r w:rsidRPr="008075C1">
        <w:t>Arthur Marwick, </w:t>
      </w:r>
      <w:r w:rsidRPr="008075C1">
        <w:rPr>
          <w:i/>
          <w:iCs/>
        </w:rPr>
        <w:t>The Deluge</w:t>
      </w:r>
      <w:r w:rsidRPr="008075C1">
        <w:t> (Basingstoke: Palgrave, 2006)</w:t>
      </w:r>
      <w:r>
        <w:t>.</w:t>
      </w:r>
    </w:p>
    <w:p w14:paraId="3686CFC4" w14:textId="2CA9E30A" w:rsidR="008075C1" w:rsidRDefault="008075C1" w:rsidP="008075C1">
      <w:pPr>
        <w:pStyle w:val="ListParagraph"/>
        <w:numPr>
          <w:ilvl w:val="0"/>
          <w:numId w:val="1"/>
        </w:numPr>
      </w:pPr>
      <w:r w:rsidRPr="008075C1">
        <w:t>Bertrand Russell, </w:t>
      </w:r>
      <w:r w:rsidRPr="008075C1">
        <w:rPr>
          <w:i/>
          <w:iCs/>
        </w:rPr>
        <w:t>The Autobiography of Bertrand Russell, 1872-1967</w:t>
      </w:r>
      <w:r w:rsidRPr="008075C1">
        <w:t> (London: Allen and Unwin, 1967)</w:t>
      </w:r>
      <w:r>
        <w:t>.</w:t>
      </w:r>
    </w:p>
    <w:p w14:paraId="0C77CC0E" w14:textId="785DE868" w:rsidR="008075C1" w:rsidRDefault="008075C1" w:rsidP="008075C1">
      <w:pPr>
        <w:pStyle w:val="ListParagraph"/>
        <w:numPr>
          <w:ilvl w:val="0"/>
          <w:numId w:val="1"/>
        </w:numPr>
      </w:pPr>
      <w:r w:rsidRPr="008075C1">
        <w:t>Adrian Gregory, </w:t>
      </w:r>
      <w:r w:rsidRPr="008075C1">
        <w:rPr>
          <w:i/>
          <w:iCs/>
        </w:rPr>
        <w:t>The Last Great War: British Society and The First World War</w:t>
      </w:r>
      <w:r w:rsidRPr="008075C1">
        <w:t> (Cambridge: Cambridge University Press, 2008)</w:t>
      </w:r>
      <w:r>
        <w:t>.</w:t>
      </w:r>
    </w:p>
    <w:p w14:paraId="45A9DA89" w14:textId="0DFC0156" w:rsidR="008075C1" w:rsidRDefault="008075C1" w:rsidP="008075C1">
      <w:pPr>
        <w:pStyle w:val="ListParagraph"/>
        <w:numPr>
          <w:ilvl w:val="0"/>
          <w:numId w:val="1"/>
        </w:numPr>
      </w:pPr>
      <w:r w:rsidRPr="008075C1">
        <w:t>David Lloyd George, </w:t>
      </w:r>
      <w:r w:rsidRPr="008075C1">
        <w:rPr>
          <w:i/>
          <w:iCs/>
        </w:rPr>
        <w:t>War Memoirs</w:t>
      </w:r>
      <w:r w:rsidRPr="008075C1">
        <w:t> (London: Odham, 1936)</w:t>
      </w:r>
      <w:r>
        <w:t>.</w:t>
      </w:r>
    </w:p>
    <w:p w14:paraId="17CBEAE1" w14:textId="37CAC2FD" w:rsidR="008075C1" w:rsidRDefault="008075C1" w:rsidP="008075C1">
      <w:pPr>
        <w:pStyle w:val="ListParagraph"/>
        <w:numPr>
          <w:ilvl w:val="0"/>
          <w:numId w:val="1"/>
        </w:numPr>
      </w:pPr>
      <w:r w:rsidRPr="008075C1">
        <w:t xml:space="preserve">Kenneth O Morgan, </w:t>
      </w:r>
      <w:r w:rsidRPr="008075C1">
        <w:rPr>
          <w:i/>
          <w:iCs/>
        </w:rPr>
        <w:t>Rebirth of a Nation: Wales, 1880-1980</w:t>
      </w:r>
      <w:r w:rsidRPr="008075C1">
        <w:t xml:space="preserve"> (Oxford: Clarendon, 1981)</w:t>
      </w:r>
      <w:r>
        <w:t>.</w:t>
      </w:r>
    </w:p>
    <w:p w14:paraId="78A73E92" w14:textId="3BA4715D" w:rsidR="008075C1" w:rsidRDefault="008075C1" w:rsidP="008075C1">
      <w:pPr>
        <w:pStyle w:val="ListParagraph"/>
        <w:numPr>
          <w:ilvl w:val="0"/>
          <w:numId w:val="1"/>
        </w:numPr>
      </w:pPr>
      <w:r w:rsidRPr="008075C1">
        <w:t xml:space="preserve">Arthur Marwick, Wendy Simpson, </w:t>
      </w:r>
      <w:r w:rsidRPr="008075C1">
        <w:rPr>
          <w:i/>
          <w:iCs/>
        </w:rPr>
        <w:t>‘War, Peace and Social Change’</w:t>
      </w:r>
      <w:r w:rsidRPr="008075C1">
        <w:t xml:space="preserve"> – Documents 1 1900-1929 (Open University Press, 1990)</w:t>
      </w:r>
      <w:r>
        <w:t>.</w:t>
      </w:r>
    </w:p>
    <w:p w14:paraId="4E01FA40" w14:textId="41B74529" w:rsidR="00651A0E" w:rsidRPr="008075C1" w:rsidRDefault="00651A0E" w:rsidP="00651A0E">
      <w:pPr>
        <w:pStyle w:val="ListParagraph"/>
        <w:numPr>
          <w:ilvl w:val="0"/>
          <w:numId w:val="1"/>
        </w:numPr>
      </w:pPr>
      <w:r w:rsidRPr="00651A0E">
        <w:t>Keith Robbins, </w:t>
      </w:r>
      <w:r w:rsidRPr="00651A0E">
        <w:rPr>
          <w:i/>
          <w:iCs/>
        </w:rPr>
        <w:t xml:space="preserve">The Abolition </w:t>
      </w:r>
      <w:r w:rsidRPr="00651A0E">
        <w:rPr>
          <w:i/>
          <w:iCs/>
        </w:rPr>
        <w:t>of</w:t>
      </w:r>
      <w:r w:rsidRPr="00651A0E">
        <w:rPr>
          <w:i/>
          <w:iCs/>
        </w:rPr>
        <w:t xml:space="preserve"> War</w:t>
      </w:r>
      <w:r w:rsidRPr="00651A0E">
        <w:t> (Cardiff: University of Wales Press, 1976).</w:t>
      </w:r>
    </w:p>
    <w:sectPr w:rsidR="00651A0E" w:rsidRPr="008075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0B8AE" w14:textId="77777777" w:rsidR="007B131A" w:rsidRDefault="007B131A" w:rsidP="004F13E0">
      <w:pPr>
        <w:spacing w:after="0" w:line="240" w:lineRule="auto"/>
      </w:pPr>
      <w:r>
        <w:separator/>
      </w:r>
    </w:p>
  </w:endnote>
  <w:endnote w:type="continuationSeparator" w:id="0">
    <w:p w14:paraId="39D4DF6E" w14:textId="77777777" w:rsidR="007B131A" w:rsidRDefault="007B131A" w:rsidP="004F1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E6070" w14:textId="77777777" w:rsidR="007B131A" w:rsidRDefault="007B131A" w:rsidP="004F13E0">
      <w:pPr>
        <w:spacing w:after="0" w:line="240" w:lineRule="auto"/>
      </w:pPr>
      <w:r>
        <w:separator/>
      </w:r>
    </w:p>
  </w:footnote>
  <w:footnote w:type="continuationSeparator" w:id="0">
    <w:p w14:paraId="10927641" w14:textId="77777777" w:rsidR="007B131A" w:rsidRDefault="007B131A" w:rsidP="004F13E0">
      <w:pPr>
        <w:spacing w:after="0" w:line="240" w:lineRule="auto"/>
      </w:pPr>
      <w:r>
        <w:continuationSeparator/>
      </w:r>
    </w:p>
  </w:footnote>
  <w:footnote w:id="1">
    <w:p w14:paraId="5DBF0499" w14:textId="3A6CE078" w:rsidR="000F009E" w:rsidRDefault="000F009E">
      <w:pPr>
        <w:pStyle w:val="FootnoteText"/>
      </w:pPr>
      <w:r>
        <w:rPr>
          <w:rStyle w:val="FootnoteReference"/>
        </w:rPr>
        <w:footnoteRef/>
      </w:r>
      <w:r>
        <w:t xml:space="preserve"> </w:t>
      </w:r>
      <w:bookmarkStart w:id="0" w:name="_Hlk95082114"/>
      <w:r w:rsidRPr="000F009E">
        <w:t>John Graham Royde-Smith, "World War I - Killed, Wounded, And Missing", </w:t>
      </w:r>
      <w:r w:rsidRPr="000F009E">
        <w:rPr>
          <w:i/>
          <w:iCs/>
        </w:rPr>
        <w:t>Encyclopedia Britannica</w:t>
      </w:r>
      <w:r w:rsidRPr="000F009E">
        <w:t>, 2022 &lt;https://www.britannica.com/event/World-War-I/Killed-wounded-and-missing&gt; [Accessed 6 February 2022].</w:t>
      </w:r>
      <w:bookmarkEnd w:id="0"/>
    </w:p>
  </w:footnote>
  <w:footnote w:id="2">
    <w:p w14:paraId="3C6197ED" w14:textId="4AC9A122" w:rsidR="00B23834" w:rsidRDefault="00B23834">
      <w:pPr>
        <w:pStyle w:val="FootnoteText"/>
      </w:pPr>
      <w:r>
        <w:rPr>
          <w:rStyle w:val="FootnoteReference"/>
        </w:rPr>
        <w:footnoteRef/>
      </w:r>
      <w:r>
        <w:t xml:space="preserve"> </w:t>
      </w:r>
      <w:bookmarkStart w:id="1" w:name="_Hlk95082140"/>
      <w:r w:rsidRPr="00B23834">
        <w:t>Arthur Marwick, </w:t>
      </w:r>
      <w:r w:rsidRPr="00B23834">
        <w:rPr>
          <w:i/>
          <w:iCs/>
        </w:rPr>
        <w:t>The Deluge</w:t>
      </w:r>
      <w:r w:rsidRPr="00B23834">
        <w:t> (Basingstoke: Palgrave, 2006)</w:t>
      </w:r>
      <w:bookmarkEnd w:id="1"/>
      <w:r w:rsidRPr="00B23834">
        <w:t>, p</w:t>
      </w:r>
      <w:r>
        <w:t>g</w:t>
      </w:r>
      <w:r w:rsidRPr="00B23834">
        <w:t>. 309.</w:t>
      </w:r>
    </w:p>
  </w:footnote>
  <w:footnote w:id="3">
    <w:p w14:paraId="6959B6AB" w14:textId="28F261B3" w:rsidR="00CD3E2F" w:rsidRDefault="00CD3E2F">
      <w:pPr>
        <w:pStyle w:val="FootnoteText"/>
      </w:pPr>
      <w:r>
        <w:rPr>
          <w:rStyle w:val="FootnoteReference"/>
        </w:rPr>
        <w:footnoteRef/>
      </w:r>
      <w:r>
        <w:t xml:space="preserve"> </w:t>
      </w:r>
      <w:bookmarkStart w:id="2" w:name="_Hlk95082164"/>
      <w:r w:rsidRPr="00CD3E2F">
        <w:t>Bertrand Russell, </w:t>
      </w:r>
      <w:r w:rsidRPr="00CD3E2F">
        <w:rPr>
          <w:i/>
          <w:iCs/>
        </w:rPr>
        <w:t xml:space="preserve">The Autobiography </w:t>
      </w:r>
      <w:r w:rsidR="00DE00F4" w:rsidRPr="00CD3E2F">
        <w:rPr>
          <w:i/>
          <w:iCs/>
        </w:rPr>
        <w:t>of</w:t>
      </w:r>
      <w:r w:rsidRPr="00CD3E2F">
        <w:rPr>
          <w:i/>
          <w:iCs/>
        </w:rPr>
        <w:t xml:space="preserve"> Bertrand Russell, 1872-1967</w:t>
      </w:r>
      <w:r w:rsidRPr="00CD3E2F">
        <w:t> (London: Allen and Unwin, 1967)</w:t>
      </w:r>
      <w:bookmarkEnd w:id="2"/>
      <w:r w:rsidRPr="00CD3E2F">
        <w:t>, p</w:t>
      </w:r>
      <w:r>
        <w:t>g</w:t>
      </w:r>
      <w:r w:rsidRPr="00CD3E2F">
        <w:t>. 16.</w:t>
      </w:r>
    </w:p>
  </w:footnote>
  <w:footnote w:id="4">
    <w:p w14:paraId="5D0984C0" w14:textId="39A54B26" w:rsidR="00A96774" w:rsidRDefault="00A96774">
      <w:pPr>
        <w:pStyle w:val="FootnoteText"/>
      </w:pPr>
      <w:r>
        <w:rPr>
          <w:rStyle w:val="FootnoteReference"/>
        </w:rPr>
        <w:footnoteRef/>
      </w:r>
      <w:r>
        <w:t xml:space="preserve"> </w:t>
      </w:r>
      <w:r w:rsidRPr="00A96774">
        <w:t>Adrian Gregory, </w:t>
      </w:r>
      <w:r w:rsidR="00974551">
        <w:rPr>
          <w:i/>
          <w:iCs/>
        </w:rPr>
        <w:t xml:space="preserve">The Last Great War: </w:t>
      </w:r>
      <w:r w:rsidRPr="00A96774">
        <w:rPr>
          <w:i/>
          <w:iCs/>
        </w:rPr>
        <w:t xml:space="preserve">British Society </w:t>
      </w:r>
      <w:r w:rsidR="00DE00F4" w:rsidRPr="00A96774">
        <w:rPr>
          <w:i/>
          <w:iCs/>
        </w:rPr>
        <w:t>and</w:t>
      </w:r>
      <w:r w:rsidRPr="00A96774">
        <w:rPr>
          <w:i/>
          <w:iCs/>
        </w:rPr>
        <w:t xml:space="preserve"> The First World War</w:t>
      </w:r>
      <w:r w:rsidRPr="00A96774">
        <w:t> (Cambridge: Cambridge University Press, 2008), p</w:t>
      </w:r>
      <w:r>
        <w:t>g</w:t>
      </w:r>
      <w:r w:rsidRPr="00A96774">
        <w:t>. 2.</w:t>
      </w:r>
    </w:p>
  </w:footnote>
  <w:footnote w:id="5">
    <w:p w14:paraId="06D142A1" w14:textId="57F149BC" w:rsidR="00B2668A" w:rsidRDefault="00B2668A">
      <w:pPr>
        <w:pStyle w:val="FootnoteText"/>
      </w:pPr>
      <w:r>
        <w:rPr>
          <w:rStyle w:val="FootnoteReference"/>
        </w:rPr>
        <w:footnoteRef/>
      </w:r>
      <w:r>
        <w:t xml:space="preserve"> </w:t>
      </w:r>
      <w:bookmarkStart w:id="3" w:name="_Hlk95081827"/>
      <w:bookmarkStart w:id="4" w:name="_Hlk95082224"/>
      <w:r w:rsidRPr="00B2668A">
        <w:t>David Lloyd George, </w:t>
      </w:r>
      <w:r w:rsidRPr="00B2668A">
        <w:rPr>
          <w:i/>
          <w:iCs/>
        </w:rPr>
        <w:t>War Memoirs</w:t>
      </w:r>
      <w:r w:rsidRPr="00B2668A">
        <w:t> (London: Odham, 1936)</w:t>
      </w:r>
      <w:bookmarkEnd w:id="4"/>
      <w:r w:rsidRPr="00B2668A">
        <w:t>, p</w:t>
      </w:r>
      <w:r>
        <w:t>g</w:t>
      </w:r>
      <w:r w:rsidRPr="00B2668A">
        <w:t>. 39.</w:t>
      </w:r>
      <w:bookmarkEnd w:id="3"/>
    </w:p>
  </w:footnote>
  <w:footnote w:id="6">
    <w:p w14:paraId="5CB17F53" w14:textId="736CAC11" w:rsidR="00974551" w:rsidRDefault="00974551">
      <w:pPr>
        <w:pStyle w:val="FootnoteText"/>
      </w:pPr>
      <w:r>
        <w:rPr>
          <w:rStyle w:val="FootnoteReference"/>
        </w:rPr>
        <w:footnoteRef/>
      </w:r>
      <w:r>
        <w:t xml:space="preserve"> </w:t>
      </w:r>
      <w:bookmarkStart w:id="5" w:name="_Hlk95074213"/>
      <w:r w:rsidR="00E724E2" w:rsidRPr="00A96774">
        <w:t>Adrian Gregory, </w:t>
      </w:r>
      <w:r w:rsidR="00E724E2">
        <w:rPr>
          <w:i/>
          <w:iCs/>
        </w:rPr>
        <w:t xml:space="preserve">The Last Great War: </w:t>
      </w:r>
      <w:r w:rsidR="00E724E2" w:rsidRPr="00A96774">
        <w:rPr>
          <w:i/>
          <w:iCs/>
        </w:rPr>
        <w:t>British Society and The First World War</w:t>
      </w:r>
      <w:r w:rsidR="00E724E2" w:rsidRPr="00A96774">
        <w:t> (Cambridge: Cambridge University Press, 2008)</w:t>
      </w:r>
      <w:r w:rsidR="00CE6871">
        <w:t>.</w:t>
      </w:r>
      <w:bookmarkEnd w:id="5"/>
    </w:p>
  </w:footnote>
  <w:footnote w:id="7">
    <w:p w14:paraId="5DDDB255" w14:textId="3CFDE5FB" w:rsidR="00CE6871" w:rsidRDefault="00CE6871" w:rsidP="00CE6871">
      <w:pPr>
        <w:pStyle w:val="FootnoteText"/>
      </w:pPr>
      <w:r>
        <w:rPr>
          <w:rStyle w:val="FootnoteReference"/>
        </w:rPr>
        <w:footnoteRef/>
      </w:r>
      <w:r>
        <w:t xml:space="preserve"> </w:t>
      </w:r>
      <w:bookmarkStart w:id="6" w:name="_Hlk95073981"/>
      <w:r>
        <w:t xml:space="preserve">Kenneth O Morgan, </w:t>
      </w:r>
      <w:r w:rsidRPr="00CE6871">
        <w:rPr>
          <w:i/>
          <w:iCs/>
        </w:rPr>
        <w:t>Rebirth of a Nation: Wales, 1880-1980</w:t>
      </w:r>
      <w:r>
        <w:t xml:space="preserve"> (Oxford: Clarendon, 1981), pg. 159.</w:t>
      </w:r>
      <w:bookmarkEnd w:id="6"/>
    </w:p>
  </w:footnote>
  <w:footnote w:id="8">
    <w:p w14:paraId="510E4571" w14:textId="5B3D8B91" w:rsidR="00E1146F" w:rsidRDefault="00E1146F">
      <w:pPr>
        <w:pStyle w:val="FootnoteText"/>
      </w:pPr>
      <w:r>
        <w:rPr>
          <w:rStyle w:val="FootnoteReference"/>
        </w:rPr>
        <w:footnoteRef/>
      </w:r>
      <w:r>
        <w:t xml:space="preserve"> </w:t>
      </w:r>
      <w:r w:rsidRPr="00A96774">
        <w:t>Adrian Gregory, </w:t>
      </w:r>
      <w:r>
        <w:rPr>
          <w:i/>
          <w:iCs/>
        </w:rPr>
        <w:t xml:space="preserve">The Last Great War: </w:t>
      </w:r>
      <w:r w:rsidRPr="00A96774">
        <w:rPr>
          <w:i/>
          <w:iCs/>
        </w:rPr>
        <w:t>British Society and The First World War</w:t>
      </w:r>
      <w:r w:rsidRPr="00A96774">
        <w:t> (Cambridge: Cambridge University Press, 2008)</w:t>
      </w:r>
      <w:r>
        <w:t>.</w:t>
      </w:r>
    </w:p>
  </w:footnote>
  <w:footnote w:id="9">
    <w:p w14:paraId="624609FB" w14:textId="63216A0B" w:rsidR="000F328B" w:rsidRDefault="000F328B">
      <w:pPr>
        <w:pStyle w:val="FootnoteText"/>
      </w:pPr>
      <w:r>
        <w:rPr>
          <w:rStyle w:val="FootnoteReference"/>
        </w:rPr>
        <w:footnoteRef/>
      </w:r>
      <w:r>
        <w:t xml:space="preserve"> Kenneth O Morgan, </w:t>
      </w:r>
      <w:r w:rsidRPr="00CE6871">
        <w:rPr>
          <w:i/>
          <w:iCs/>
        </w:rPr>
        <w:t>Rebirth of a Nation: Wales, 1880-1980</w:t>
      </w:r>
      <w:r>
        <w:t xml:space="preserve"> (Oxford: Clarendon, 1981), pg. 159.</w:t>
      </w:r>
    </w:p>
  </w:footnote>
  <w:footnote w:id="10">
    <w:p w14:paraId="4EF30F47" w14:textId="594FF62D" w:rsidR="00802D9D" w:rsidRDefault="00802D9D">
      <w:pPr>
        <w:pStyle w:val="FootnoteText"/>
      </w:pPr>
      <w:r>
        <w:rPr>
          <w:rStyle w:val="FootnoteReference"/>
        </w:rPr>
        <w:footnoteRef/>
      </w:r>
      <w:r>
        <w:t xml:space="preserve"> </w:t>
      </w:r>
      <w:r w:rsidRPr="00A96774">
        <w:t>Adrian Gregory, </w:t>
      </w:r>
      <w:r>
        <w:rPr>
          <w:i/>
          <w:iCs/>
        </w:rPr>
        <w:t xml:space="preserve">The Last Great War: </w:t>
      </w:r>
      <w:r w:rsidRPr="00A96774">
        <w:rPr>
          <w:i/>
          <w:iCs/>
        </w:rPr>
        <w:t>British Society and The First World War</w:t>
      </w:r>
      <w:r w:rsidRPr="00A96774">
        <w:t> (Cambridge: Cambridge University Press, 2008)</w:t>
      </w:r>
      <w:r>
        <w:t>.</w:t>
      </w:r>
    </w:p>
  </w:footnote>
  <w:footnote w:id="11">
    <w:p w14:paraId="75A0D95F" w14:textId="7611CBF7" w:rsidR="006C5B5F" w:rsidRDefault="006C5B5F">
      <w:pPr>
        <w:pStyle w:val="FootnoteText"/>
      </w:pPr>
      <w:r>
        <w:rPr>
          <w:rStyle w:val="FootnoteReference"/>
        </w:rPr>
        <w:footnoteRef/>
      </w:r>
      <w:r>
        <w:t xml:space="preserve"> </w:t>
      </w:r>
      <w:bookmarkStart w:id="7" w:name="_Hlk95080244"/>
      <w:r w:rsidRPr="00A96774">
        <w:t>Adrian Gregory, </w:t>
      </w:r>
      <w:r>
        <w:rPr>
          <w:i/>
          <w:iCs/>
        </w:rPr>
        <w:t xml:space="preserve">The Last Great War: </w:t>
      </w:r>
      <w:r w:rsidRPr="00A96774">
        <w:rPr>
          <w:i/>
          <w:iCs/>
        </w:rPr>
        <w:t>British Society and The First World War</w:t>
      </w:r>
      <w:r w:rsidRPr="00A96774">
        <w:t> (Cambridge: Cambridge University Press, 2008)</w:t>
      </w:r>
      <w:r>
        <w:t>.</w:t>
      </w:r>
      <w:bookmarkEnd w:id="7"/>
    </w:p>
  </w:footnote>
  <w:footnote w:id="12">
    <w:p w14:paraId="62D13C7C" w14:textId="5B845AFF" w:rsidR="00543429" w:rsidRDefault="00543429">
      <w:pPr>
        <w:pStyle w:val="FootnoteText"/>
      </w:pPr>
      <w:r>
        <w:rPr>
          <w:rStyle w:val="FootnoteReference"/>
        </w:rPr>
        <w:footnoteRef/>
      </w:r>
      <w:r>
        <w:t xml:space="preserve"> </w:t>
      </w:r>
      <w:r w:rsidRPr="00A96774">
        <w:t>Adrian Gregory, </w:t>
      </w:r>
      <w:r>
        <w:rPr>
          <w:i/>
          <w:iCs/>
        </w:rPr>
        <w:t xml:space="preserve">The Last Great War: </w:t>
      </w:r>
      <w:r w:rsidRPr="00A96774">
        <w:rPr>
          <w:i/>
          <w:iCs/>
        </w:rPr>
        <w:t>British Society and The First World War</w:t>
      </w:r>
      <w:r w:rsidRPr="00A96774">
        <w:t> (Cambridge: Cambridge University Press, 2008)</w:t>
      </w:r>
      <w:r>
        <w:t xml:space="preserve"> pg. 5-6</w:t>
      </w:r>
    </w:p>
  </w:footnote>
  <w:footnote w:id="13">
    <w:p w14:paraId="5E2EBF55" w14:textId="765CFD93" w:rsidR="001943E8" w:rsidRDefault="001943E8">
      <w:pPr>
        <w:pStyle w:val="FootnoteText"/>
      </w:pPr>
      <w:r>
        <w:rPr>
          <w:rStyle w:val="FootnoteReference"/>
        </w:rPr>
        <w:footnoteRef/>
      </w:r>
      <w:r>
        <w:t xml:space="preserve"> </w:t>
      </w:r>
      <w:r w:rsidRPr="00B2668A">
        <w:t>David Lloyd George, </w:t>
      </w:r>
      <w:r w:rsidRPr="00B2668A">
        <w:rPr>
          <w:i/>
          <w:iCs/>
        </w:rPr>
        <w:t>War Memoirs</w:t>
      </w:r>
      <w:r w:rsidRPr="00B2668A">
        <w:t> (London: Odham, 1936), p</w:t>
      </w:r>
      <w:r>
        <w:t>g</w:t>
      </w:r>
      <w:r w:rsidRPr="00B2668A">
        <w:t>. 39.</w:t>
      </w:r>
    </w:p>
  </w:footnote>
  <w:footnote w:id="14">
    <w:p w14:paraId="6300B1A1" w14:textId="653D0C2F" w:rsidR="00235534" w:rsidRDefault="00235534">
      <w:pPr>
        <w:pStyle w:val="FootnoteText"/>
      </w:pPr>
      <w:r>
        <w:rPr>
          <w:rStyle w:val="FootnoteReference"/>
        </w:rPr>
        <w:footnoteRef/>
      </w:r>
      <w:r>
        <w:t xml:space="preserve"> </w:t>
      </w:r>
      <w:bookmarkStart w:id="8" w:name="_Hlk94994407"/>
      <w:bookmarkStart w:id="9" w:name="_Hlk94912119"/>
      <w:r>
        <w:t>Arthur Marwick</w:t>
      </w:r>
      <w:r w:rsidRPr="005B4CE4">
        <w:t xml:space="preserve">, </w:t>
      </w:r>
      <w:r>
        <w:t>Wendy Simpson</w:t>
      </w:r>
      <w:r w:rsidRPr="005B4CE4">
        <w:t xml:space="preserve">, </w:t>
      </w:r>
      <w:r w:rsidRPr="005B4CE4">
        <w:rPr>
          <w:i/>
          <w:iCs/>
        </w:rPr>
        <w:t>‘War, Peace and Social Change’</w:t>
      </w:r>
      <w:r w:rsidRPr="005B4CE4">
        <w:t xml:space="preserve"> – </w:t>
      </w:r>
      <w:r>
        <w:t>Documents 1</w:t>
      </w:r>
      <w:r w:rsidRPr="005B4CE4">
        <w:t xml:space="preserve"> 1900-1929 (</w:t>
      </w:r>
      <w:r>
        <w:t>Open University Press</w:t>
      </w:r>
      <w:r w:rsidRPr="005B4CE4">
        <w:t>, 1990)</w:t>
      </w:r>
      <w:bookmarkEnd w:id="8"/>
      <w:r w:rsidRPr="005B4CE4">
        <w:t>, PP.3-4.</w:t>
      </w:r>
      <w:bookmarkEnd w:id="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9ADA9" w14:textId="57C36B66" w:rsidR="004F13E0" w:rsidRDefault="004F13E0">
    <w:pPr>
      <w:pStyle w:val="Header"/>
    </w:pPr>
    <w:r>
      <w:t>Felix Whiteley-Bristow (1901619)</w:t>
    </w:r>
    <w:r w:rsidR="00151B8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E7AB0"/>
    <w:multiLevelType w:val="hybridMultilevel"/>
    <w:tmpl w:val="1B562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3E0"/>
    <w:rsid w:val="00011A7A"/>
    <w:rsid w:val="00024520"/>
    <w:rsid w:val="00032815"/>
    <w:rsid w:val="000500EF"/>
    <w:rsid w:val="00073438"/>
    <w:rsid w:val="000810BD"/>
    <w:rsid w:val="000A7BB7"/>
    <w:rsid w:val="000F009E"/>
    <w:rsid w:val="000F328B"/>
    <w:rsid w:val="0011005A"/>
    <w:rsid w:val="001321B3"/>
    <w:rsid w:val="00144154"/>
    <w:rsid w:val="001446E2"/>
    <w:rsid w:val="00151B8E"/>
    <w:rsid w:val="00177B93"/>
    <w:rsid w:val="001943E8"/>
    <w:rsid w:val="001D46F9"/>
    <w:rsid w:val="001F46E8"/>
    <w:rsid w:val="00202EAB"/>
    <w:rsid w:val="0022613E"/>
    <w:rsid w:val="00235534"/>
    <w:rsid w:val="00270A3C"/>
    <w:rsid w:val="002D7208"/>
    <w:rsid w:val="002E1B77"/>
    <w:rsid w:val="00300397"/>
    <w:rsid w:val="003066AE"/>
    <w:rsid w:val="00334ED6"/>
    <w:rsid w:val="0034117D"/>
    <w:rsid w:val="00395572"/>
    <w:rsid w:val="003E68E9"/>
    <w:rsid w:val="003F6998"/>
    <w:rsid w:val="00412DBA"/>
    <w:rsid w:val="0047288C"/>
    <w:rsid w:val="0049073D"/>
    <w:rsid w:val="004A45FF"/>
    <w:rsid w:val="004A6555"/>
    <w:rsid w:val="004A6583"/>
    <w:rsid w:val="004A7858"/>
    <w:rsid w:val="004C52CE"/>
    <w:rsid w:val="004D5410"/>
    <w:rsid w:val="004E15F5"/>
    <w:rsid w:val="004F13E0"/>
    <w:rsid w:val="00524F22"/>
    <w:rsid w:val="00543429"/>
    <w:rsid w:val="005F04E4"/>
    <w:rsid w:val="005F64E9"/>
    <w:rsid w:val="00603616"/>
    <w:rsid w:val="00612A6A"/>
    <w:rsid w:val="00632823"/>
    <w:rsid w:val="00651A0E"/>
    <w:rsid w:val="006B6B8D"/>
    <w:rsid w:val="006C5B5F"/>
    <w:rsid w:val="006F425B"/>
    <w:rsid w:val="006F5361"/>
    <w:rsid w:val="00731132"/>
    <w:rsid w:val="007526CD"/>
    <w:rsid w:val="00777DD5"/>
    <w:rsid w:val="007838C1"/>
    <w:rsid w:val="007903CF"/>
    <w:rsid w:val="00790629"/>
    <w:rsid w:val="007B131A"/>
    <w:rsid w:val="007F2427"/>
    <w:rsid w:val="00802D9D"/>
    <w:rsid w:val="008075C1"/>
    <w:rsid w:val="00832433"/>
    <w:rsid w:val="00842672"/>
    <w:rsid w:val="0087193F"/>
    <w:rsid w:val="008843A1"/>
    <w:rsid w:val="008D01F1"/>
    <w:rsid w:val="008F248C"/>
    <w:rsid w:val="008F6BED"/>
    <w:rsid w:val="00952CB7"/>
    <w:rsid w:val="00974551"/>
    <w:rsid w:val="00980AF3"/>
    <w:rsid w:val="00987C1B"/>
    <w:rsid w:val="009B6B5C"/>
    <w:rsid w:val="009C0532"/>
    <w:rsid w:val="009D2ECD"/>
    <w:rsid w:val="009D661F"/>
    <w:rsid w:val="009F778D"/>
    <w:rsid w:val="00A01852"/>
    <w:rsid w:val="00A05725"/>
    <w:rsid w:val="00A116D1"/>
    <w:rsid w:val="00A37F9D"/>
    <w:rsid w:val="00A41128"/>
    <w:rsid w:val="00A43CA2"/>
    <w:rsid w:val="00A5434F"/>
    <w:rsid w:val="00A839DE"/>
    <w:rsid w:val="00A96774"/>
    <w:rsid w:val="00A96F5C"/>
    <w:rsid w:val="00AA2797"/>
    <w:rsid w:val="00AB4917"/>
    <w:rsid w:val="00AB6AA0"/>
    <w:rsid w:val="00AE7AE3"/>
    <w:rsid w:val="00AF6538"/>
    <w:rsid w:val="00B00FED"/>
    <w:rsid w:val="00B23834"/>
    <w:rsid w:val="00B2668A"/>
    <w:rsid w:val="00B4348D"/>
    <w:rsid w:val="00B5641B"/>
    <w:rsid w:val="00BA176C"/>
    <w:rsid w:val="00BC2F09"/>
    <w:rsid w:val="00BD09F7"/>
    <w:rsid w:val="00BE4E9E"/>
    <w:rsid w:val="00BF02C8"/>
    <w:rsid w:val="00C10B24"/>
    <w:rsid w:val="00C16017"/>
    <w:rsid w:val="00C23039"/>
    <w:rsid w:val="00C32AC0"/>
    <w:rsid w:val="00C75116"/>
    <w:rsid w:val="00C80EC9"/>
    <w:rsid w:val="00C8451F"/>
    <w:rsid w:val="00C95016"/>
    <w:rsid w:val="00C97DA8"/>
    <w:rsid w:val="00CD1636"/>
    <w:rsid w:val="00CD3E2F"/>
    <w:rsid w:val="00CE6871"/>
    <w:rsid w:val="00D031FC"/>
    <w:rsid w:val="00D25AC0"/>
    <w:rsid w:val="00D41AEA"/>
    <w:rsid w:val="00D44867"/>
    <w:rsid w:val="00D54CF4"/>
    <w:rsid w:val="00D9691A"/>
    <w:rsid w:val="00DA60BB"/>
    <w:rsid w:val="00DB5370"/>
    <w:rsid w:val="00DC0C0D"/>
    <w:rsid w:val="00DD1F07"/>
    <w:rsid w:val="00DE00F4"/>
    <w:rsid w:val="00E108C7"/>
    <w:rsid w:val="00E1146F"/>
    <w:rsid w:val="00E2617C"/>
    <w:rsid w:val="00E67666"/>
    <w:rsid w:val="00E724E2"/>
    <w:rsid w:val="00E92C66"/>
    <w:rsid w:val="00E93CB2"/>
    <w:rsid w:val="00EC4B4E"/>
    <w:rsid w:val="00EE3831"/>
    <w:rsid w:val="00EF056D"/>
    <w:rsid w:val="00F10766"/>
    <w:rsid w:val="00FB4495"/>
    <w:rsid w:val="00FD1800"/>
    <w:rsid w:val="00FD5C58"/>
    <w:rsid w:val="00FF61B0"/>
    <w:rsid w:val="00FF7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5A8C19"/>
  <w15:chartTrackingRefBased/>
  <w15:docId w15:val="{2B97A5A4-1C87-407C-BB61-42DE3515B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3E0"/>
  </w:style>
  <w:style w:type="paragraph" w:styleId="Footer">
    <w:name w:val="footer"/>
    <w:basedOn w:val="Normal"/>
    <w:link w:val="FooterChar"/>
    <w:uiPriority w:val="99"/>
    <w:unhideWhenUsed/>
    <w:rsid w:val="004F1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3E0"/>
  </w:style>
  <w:style w:type="character" w:styleId="Hyperlink">
    <w:name w:val="Hyperlink"/>
    <w:basedOn w:val="DefaultParagraphFont"/>
    <w:uiPriority w:val="99"/>
    <w:semiHidden/>
    <w:unhideWhenUsed/>
    <w:rsid w:val="00632823"/>
    <w:rPr>
      <w:color w:val="0000FF"/>
      <w:u w:val="single"/>
    </w:rPr>
  </w:style>
  <w:style w:type="paragraph" w:styleId="FootnoteText">
    <w:name w:val="footnote text"/>
    <w:basedOn w:val="Normal"/>
    <w:link w:val="FootnoteTextChar"/>
    <w:uiPriority w:val="99"/>
    <w:semiHidden/>
    <w:unhideWhenUsed/>
    <w:rsid w:val="000F00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009E"/>
    <w:rPr>
      <w:sz w:val="20"/>
      <w:szCs w:val="20"/>
    </w:rPr>
  </w:style>
  <w:style w:type="character" w:styleId="FootnoteReference">
    <w:name w:val="footnote reference"/>
    <w:basedOn w:val="DefaultParagraphFont"/>
    <w:uiPriority w:val="99"/>
    <w:semiHidden/>
    <w:unhideWhenUsed/>
    <w:rsid w:val="000F009E"/>
    <w:rPr>
      <w:vertAlign w:val="superscript"/>
    </w:rPr>
  </w:style>
  <w:style w:type="character" w:customStyle="1" w:styleId="Heading1Char">
    <w:name w:val="Heading 1 Char"/>
    <w:basedOn w:val="DefaultParagraphFont"/>
    <w:link w:val="Heading1"/>
    <w:uiPriority w:val="9"/>
    <w:rsid w:val="008075C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075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39866">
      <w:bodyDiv w:val="1"/>
      <w:marLeft w:val="0"/>
      <w:marRight w:val="0"/>
      <w:marTop w:val="0"/>
      <w:marBottom w:val="0"/>
      <w:divBdr>
        <w:top w:val="none" w:sz="0" w:space="0" w:color="auto"/>
        <w:left w:val="none" w:sz="0" w:space="0" w:color="auto"/>
        <w:bottom w:val="none" w:sz="0" w:space="0" w:color="auto"/>
        <w:right w:val="none" w:sz="0" w:space="0" w:color="auto"/>
      </w:divBdr>
      <w:divsChild>
        <w:div w:id="868295082">
          <w:marLeft w:val="0"/>
          <w:marRight w:val="0"/>
          <w:marTop w:val="0"/>
          <w:marBottom w:val="0"/>
          <w:divBdr>
            <w:top w:val="none" w:sz="0" w:space="0" w:color="auto"/>
            <w:left w:val="none" w:sz="0" w:space="0" w:color="auto"/>
            <w:bottom w:val="none" w:sz="0" w:space="0" w:color="auto"/>
            <w:right w:val="none" w:sz="0" w:space="0" w:color="auto"/>
          </w:divBdr>
        </w:div>
        <w:div w:id="134033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0D6711-AFBB-4065-BF67-29764AA406C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42A5F54-4F3B-466E-979A-065560779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5</Pages>
  <Words>1930</Words>
  <Characters>11022</Characters>
  <Application>Microsoft Office Word</Application>
  <DocSecurity>0</DocSecurity>
  <Lines>159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114</cp:revision>
  <dcterms:created xsi:type="dcterms:W3CDTF">2022-02-06T11:26:00Z</dcterms:created>
  <dcterms:modified xsi:type="dcterms:W3CDTF">2022-02-06T23:26:00Z</dcterms:modified>
</cp:coreProperties>
</file>