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164" w:rsidRPr="00FD7BE0" w:rsidRDefault="00FD7BE0" w:rsidP="00FD7BE0">
      <w:pPr>
        <w:spacing w:line="360" w:lineRule="auto"/>
        <w:jc w:val="both"/>
        <w:rPr>
          <w:rFonts w:ascii="Arial" w:hAnsi="Arial" w:cs="Arial"/>
          <w:sz w:val="24"/>
          <w:szCs w:val="24"/>
        </w:rPr>
      </w:pPr>
      <w:r w:rsidRPr="00FD7BE0">
        <w:rPr>
          <w:rFonts w:ascii="Arial" w:hAnsi="Arial" w:cs="Arial"/>
          <w:sz w:val="24"/>
          <w:szCs w:val="24"/>
        </w:rPr>
        <w:t>This paper will focus upon reflecti</w:t>
      </w:r>
      <w:bookmarkStart w:id="0" w:name="_GoBack"/>
      <w:bookmarkEnd w:id="0"/>
      <w:r w:rsidRPr="00FD7BE0">
        <w:rPr>
          <w:rFonts w:ascii="Arial" w:hAnsi="Arial" w:cs="Arial"/>
          <w:sz w:val="24"/>
          <w:szCs w:val="24"/>
        </w:rPr>
        <w:t>on and the importance of reflection within early years settings. It will detail the role reflection plays in enabling effective practice</w:t>
      </w:r>
      <w:r>
        <w:rPr>
          <w:rFonts w:ascii="Arial" w:hAnsi="Arial" w:cs="Arial"/>
          <w:sz w:val="24"/>
          <w:szCs w:val="24"/>
        </w:rPr>
        <w:t xml:space="preserve"> and maintaining good practice in early years settings for young children and families. Also, this paper will detail two specific reflective models which are Gibbs and Rolfe and will compare and contrast the both models. Another key issue explored in this paper is the importance of partnerships within practice paying attention to multi-agency working. Throughout the paper evidence will clearly be backed up with references and theories.</w:t>
      </w:r>
    </w:p>
    <w:p w:rsidR="0099703A" w:rsidRDefault="0099703A" w:rsidP="00CD5E50">
      <w:pPr>
        <w:spacing w:line="360" w:lineRule="auto"/>
        <w:jc w:val="both"/>
        <w:rPr>
          <w:rFonts w:ascii="Arial" w:hAnsi="Arial" w:cs="Arial"/>
          <w:sz w:val="24"/>
        </w:rPr>
      </w:pPr>
      <w:r>
        <w:rPr>
          <w:rFonts w:ascii="Arial" w:hAnsi="Arial" w:cs="Arial"/>
          <w:sz w:val="24"/>
        </w:rPr>
        <w:t>Firstly, Canning and Reed (2010) discusses how reflection is the study of behaviours which involve feeling and thoughts on a certain experience or situation. Reflection is also described as a tool which is used to identify strengths and weaknesses to make improvements for the future (Canning and Reed, 2010). Atkins et al. (1994) cited in The Open University Press (2013) synthesises with Canning and Reed (2010) as Atkins et al. (1994) explains how reflection is based on thinking and considering experiences and analysing them in depth to improve for the future. Mezirow (no date) also adds that critical reflection involves the critique of the values a practitioner has. Royal College of Nursing (2015) further adds that there are two types of reflection which are on action reflection and in action reflection. Reflection in action is where a practitioner reflects whilst completing an activity whereas, reflection on action is reflection after the completion of an activity (Royal College of Nursing, 2015).</w:t>
      </w:r>
    </w:p>
    <w:p w:rsidR="007C74D8" w:rsidRDefault="0099703A" w:rsidP="00CD5E50">
      <w:pPr>
        <w:spacing w:line="360" w:lineRule="auto"/>
        <w:jc w:val="both"/>
        <w:rPr>
          <w:rFonts w:ascii="Arial" w:hAnsi="Arial" w:cs="Arial"/>
          <w:sz w:val="24"/>
        </w:rPr>
      </w:pPr>
      <w:r>
        <w:rPr>
          <w:rFonts w:ascii="Arial" w:hAnsi="Arial" w:cs="Arial"/>
          <w:sz w:val="24"/>
        </w:rPr>
        <w:t>According to O’Connor and Diggins (2002) cited in McFarland et al. (2009) reflective practice is a cycle which involves the practitioner stopping and thinking about the practices and the effectiveness of them by thinking critically to change practices for the better due to new understanding (O’Connor and Diggins,</w:t>
      </w:r>
      <w:r w:rsidR="009E513A">
        <w:rPr>
          <w:rFonts w:ascii="Arial" w:hAnsi="Arial" w:cs="Arial"/>
          <w:sz w:val="24"/>
        </w:rPr>
        <w:t xml:space="preserve"> </w:t>
      </w:r>
      <w:r>
        <w:rPr>
          <w:rFonts w:ascii="Arial" w:hAnsi="Arial" w:cs="Arial"/>
          <w:sz w:val="24"/>
        </w:rPr>
        <w:t>2002). The Open University Press (2017) adds that the term reflective practice derived from the work of Sch</w:t>
      </w:r>
      <w:r w:rsidR="00B24580">
        <w:rPr>
          <w:rFonts w:ascii="Arial" w:hAnsi="Arial" w:cs="Arial"/>
          <w:sz w:val="24"/>
        </w:rPr>
        <w:t xml:space="preserve">on and Dewey and how Dewey (1910) </w:t>
      </w:r>
      <w:r>
        <w:rPr>
          <w:rFonts w:ascii="Arial" w:hAnsi="Arial" w:cs="Arial"/>
          <w:sz w:val="24"/>
        </w:rPr>
        <w:t>wrote that reflective practice is the active and ongoing careful consideration of any belief or knowledge with evidence to back it (The Open University Press,2017)</w:t>
      </w:r>
      <w:r w:rsidR="00226CC1">
        <w:rPr>
          <w:rFonts w:ascii="Arial" w:hAnsi="Arial" w:cs="Arial"/>
          <w:sz w:val="24"/>
        </w:rPr>
        <w:t xml:space="preserve">. </w:t>
      </w:r>
      <w:r>
        <w:rPr>
          <w:rFonts w:ascii="Arial" w:hAnsi="Arial" w:cs="Arial"/>
          <w:sz w:val="24"/>
        </w:rPr>
        <w:t>This indicates that the practitioner will have to ask questions whilst reflecting and have sufficient evidence to back up the reflective process.</w:t>
      </w:r>
      <w:r w:rsidR="007C74D8">
        <w:rPr>
          <w:rFonts w:ascii="Arial" w:hAnsi="Arial" w:cs="Arial"/>
          <w:sz w:val="24"/>
        </w:rPr>
        <w:t xml:space="preserve"> Pa</w:t>
      </w:r>
      <w:r w:rsidR="00301BBD">
        <w:rPr>
          <w:rFonts w:ascii="Arial" w:hAnsi="Arial" w:cs="Arial"/>
          <w:sz w:val="24"/>
        </w:rPr>
        <w:t>ige-Smith and Craft (2008</w:t>
      </w:r>
      <w:r w:rsidR="007C74D8">
        <w:rPr>
          <w:rFonts w:ascii="Arial" w:hAnsi="Arial" w:cs="Arial"/>
          <w:sz w:val="24"/>
        </w:rPr>
        <w:t>) discusses how there can be implications of reflective practice which may influence the outcome of the reflection. One implication being reflection is time consuming and making space for it in practice can be challenging at ti</w:t>
      </w:r>
      <w:r w:rsidR="00301BBD">
        <w:rPr>
          <w:rFonts w:ascii="Arial" w:hAnsi="Arial" w:cs="Arial"/>
          <w:sz w:val="24"/>
        </w:rPr>
        <w:t>mes (Paige-Smith and Craft, 2008</w:t>
      </w:r>
      <w:r w:rsidR="007C74D8">
        <w:rPr>
          <w:rFonts w:ascii="Arial" w:hAnsi="Arial" w:cs="Arial"/>
          <w:sz w:val="24"/>
        </w:rPr>
        <w:t xml:space="preserve">) (Warwick Learning </w:t>
      </w:r>
      <w:r w:rsidR="007653F4">
        <w:rPr>
          <w:rFonts w:ascii="Arial" w:hAnsi="Arial" w:cs="Arial"/>
          <w:sz w:val="24"/>
        </w:rPr>
        <w:t>Centre</w:t>
      </w:r>
      <w:r w:rsidR="009E513A">
        <w:rPr>
          <w:rFonts w:ascii="Arial" w:hAnsi="Arial" w:cs="Arial"/>
          <w:sz w:val="24"/>
        </w:rPr>
        <w:t>, 2016</w:t>
      </w:r>
      <w:r w:rsidR="007C74D8">
        <w:rPr>
          <w:rFonts w:ascii="Arial" w:hAnsi="Arial" w:cs="Arial"/>
          <w:sz w:val="24"/>
        </w:rPr>
        <w:t>)</w:t>
      </w:r>
      <w:r w:rsidR="00226CC1">
        <w:rPr>
          <w:rFonts w:ascii="Arial" w:hAnsi="Arial" w:cs="Arial"/>
          <w:sz w:val="24"/>
        </w:rPr>
        <w:t>.</w:t>
      </w:r>
      <w:r w:rsidR="009E513A">
        <w:rPr>
          <w:rFonts w:ascii="Arial" w:hAnsi="Arial" w:cs="Arial"/>
          <w:sz w:val="24"/>
        </w:rPr>
        <w:t xml:space="preserve"> </w:t>
      </w:r>
      <w:r w:rsidR="009E513A">
        <w:rPr>
          <w:rFonts w:ascii="Arial" w:hAnsi="Arial" w:cs="Arial"/>
          <w:sz w:val="24"/>
        </w:rPr>
        <w:lastRenderedPageBreak/>
        <w:t>Warwick Learning Centre (2016</w:t>
      </w:r>
      <w:r w:rsidR="007653F4">
        <w:rPr>
          <w:rFonts w:ascii="Arial" w:hAnsi="Arial" w:cs="Arial"/>
          <w:sz w:val="24"/>
        </w:rPr>
        <w:t>) further adds how reflection can be difficult and uncomfortable due to the time that is needed for the reflection.</w:t>
      </w:r>
    </w:p>
    <w:p w:rsidR="0099703A" w:rsidRPr="005A0F75" w:rsidRDefault="0099703A" w:rsidP="00CD5E50">
      <w:pPr>
        <w:spacing w:line="360" w:lineRule="auto"/>
        <w:jc w:val="both"/>
        <w:rPr>
          <w:rFonts w:ascii="Arial" w:hAnsi="Arial" w:cs="Arial"/>
          <w:color w:val="FF0000"/>
          <w:sz w:val="24"/>
        </w:rPr>
      </w:pPr>
      <w:r>
        <w:rPr>
          <w:rFonts w:ascii="Arial" w:hAnsi="Arial" w:cs="Arial"/>
          <w:sz w:val="24"/>
        </w:rPr>
        <w:t xml:space="preserve">In </w:t>
      </w:r>
      <w:r w:rsidR="00226CC1">
        <w:rPr>
          <w:rFonts w:ascii="Arial" w:hAnsi="Arial" w:cs="Arial"/>
          <w:sz w:val="24"/>
        </w:rPr>
        <w:t>addition,</w:t>
      </w:r>
      <w:r>
        <w:rPr>
          <w:rFonts w:ascii="Arial" w:hAnsi="Arial" w:cs="Arial"/>
          <w:sz w:val="24"/>
        </w:rPr>
        <w:t xml:space="preserve"> Zeichner and Liston (1996) argue how reflection is a bad thing. Reflective practitioners should move past questions which are based on the effectiveness of practice (Zeichner and Liston,1996). This can suggest that the authors believe </w:t>
      </w:r>
      <w:r w:rsidR="00226CC1">
        <w:rPr>
          <w:rFonts w:ascii="Arial" w:hAnsi="Arial" w:cs="Arial"/>
          <w:sz w:val="24"/>
        </w:rPr>
        <w:t>practitioners</w:t>
      </w:r>
      <w:r>
        <w:rPr>
          <w:rFonts w:ascii="Arial" w:hAnsi="Arial" w:cs="Arial"/>
          <w:sz w:val="24"/>
        </w:rPr>
        <w:t xml:space="preserve"> need to move on from reflective questioning or even stop reflective practice altogether.</w:t>
      </w:r>
      <w:r w:rsidR="007D49D7">
        <w:rPr>
          <w:rFonts w:ascii="Arial" w:hAnsi="Arial" w:cs="Arial"/>
          <w:sz w:val="24"/>
        </w:rPr>
        <w:t xml:space="preserve"> Moon (1999) adds that reflection at this </w:t>
      </w:r>
      <w:r w:rsidR="007653F4">
        <w:rPr>
          <w:rFonts w:ascii="Arial" w:hAnsi="Arial" w:cs="Arial"/>
          <w:sz w:val="24"/>
        </w:rPr>
        <w:t>level</w:t>
      </w:r>
      <w:r w:rsidR="007D49D7">
        <w:rPr>
          <w:rFonts w:ascii="Arial" w:hAnsi="Arial" w:cs="Arial"/>
          <w:sz w:val="24"/>
        </w:rPr>
        <w:t xml:space="preserve"> is a learning tool and a practitioner must learn how to reflect before any reflection happens (Moon,1999). This implies that reflection is not a </w:t>
      </w:r>
      <w:r w:rsidR="007653F4">
        <w:rPr>
          <w:rFonts w:ascii="Arial" w:hAnsi="Arial" w:cs="Arial"/>
          <w:sz w:val="24"/>
        </w:rPr>
        <w:t>part</w:t>
      </w:r>
      <w:r w:rsidR="007D49D7">
        <w:rPr>
          <w:rFonts w:ascii="Arial" w:hAnsi="Arial" w:cs="Arial"/>
          <w:sz w:val="24"/>
        </w:rPr>
        <w:t xml:space="preserve"> of </w:t>
      </w:r>
      <w:r w:rsidR="007653F4">
        <w:rPr>
          <w:rFonts w:ascii="Arial" w:hAnsi="Arial" w:cs="Arial"/>
          <w:sz w:val="24"/>
        </w:rPr>
        <w:t>a practitioner’s</w:t>
      </w:r>
      <w:r w:rsidR="007D49D7">
        <w:rPr>
          <w:rFonts w:ascii="Arial" w:hAnsi="Arial" w:cs="Arial"/>
          <w:sz w:val="24"/>
        </w:rPr>
        <w:t xml:space="preserve"> daily running and due to this the practitioner must learn beforehand which suggests that reflection is not a </w:t>
      </w:r>
      <w:r w:rsidR="00226CC1">
        <w:rPr>
          <w:rFonts w:ascii="Arial" w:hAnsi="Arial" w:cs="Arial"/>
          <w:sz w:val="24"/>
        </w:rPr>
        <w:t xml:space="preserve">natural tool that everybody has (Moon, 1999). </w:t>
      </w:r>
      <w:r w:rsidR="007D49D7">
        <w:rPr>
          <w:rFonts w:ascii="Arial" w:hAnsi="Arial" w:cs="Arial"/>
          <w:sz w:val="24"/>
        </w:rPr>
        <w:t xml:space="preserve"> </w:t>
      </w:r>
      <w:r w:rsidR="00E95A51">
        <w:rPr>
          <w:rFonts w:ascii="Arial" w:hAnsi="Arial" w:cs="Arial"/>
          <w:sz w:val="24"/>
        </w:rPr>
        <w:t xml:space="preserve">Also, </w:t>
      </w:r>
      <w:r w:rsidRPr="00E95A51">
        <w:rPr>
          <w:rFonts w:ascii="Arial" w:hAnsi="Arial" w:cs="Arial"/>
          <w:sz w:val="24"/>
        </w:rPr>
        <w:t>Rolfe (2014) cited in Smith (2016) argues how reflection is only done once a year and is not part of practice every day. Also, how reflective practitioners are of less equal compared to reflection done by individuals with academia backgrounds (Rolfe, 2014).</w:t>
      </w:r>
    </w:p>
    <w:p w:rsidR="0099703A" w:rsidRDefault="0099703A" w:rsidP="00CD5E50">
      <w:pPr>
        <w:spacing w:line="360" w:lineRule="auto"/>
        <w:jc w:val="both"/>
        <w:rPr>
          <w:rFonts w:ascii="Arial" w:hAnsi="Arial" w:cs="Arial"/>
          <w:sz w:val="24"/>
        </w:rPr>
      </w:pPr>
      <w:r w:rsidRPr="00B50157">
        <w:rPr>
          <w:rFonts w:ascii="Arial" w:hAnsi="Arial" w:cs="Arial"/>
          <w:sz w:val="24"/>
        </w:rPr>
        <w:t>According</w:t>
      </w:r>
      <w:r>
        <w:rPr>
          <w:rFonts w:ascii="Arial" w:hAnsi="Arial" w:cs="Arial"/>
          <w:sz w:val="24"/>
        </w:rPr>
        <w:t xml:space="preserve"> to Oxford Brookes University (2017) Gibbs reflective cycle encourages practitioners to think thoroughly about stages of an experience and should use the headings of each stage to put together a reflection. Lia (2016) synthesises with Oxford Brookes University (2017) as Lia (2016) discusses how Gibbs reflective model is aimed to think about new ways to do something and think towards self-improvement. Fox (2004) details how there are six steps included in Gibbs reflective cycle. The six steps include description, feelings, evaluation, analysis, conclusion and then an action plan. Jayatilleke and Mackie (2013) suggests that Gibbs cycle of reflection allows the practitioner to gain a clear description of what happened and through the conclusion and action plan allows the practitioner to examine what could be done nex</w:t>
      </w:r>
      <w:r w:rsidR="00B76F51">
        <w:rPr>
          <w:rFonts w:ascii="Arial" w:hAnsi="Arial" w:cs="Arial"/>
          <w:sz w:val="24"/>
        </w:rPr>
        <w:t>t if the situation arose again (Jayatilleke and Mackie, 2013).</w:t>
      </w:r>
      <w:r w:rsidRPr="003F7624">
        <w:rPr>
          <w:rFonts w:ascii="Arial" w:hAnsi="Arial" w:cs="Arial"/>
          <w:color w:val="FF0000"/>
          <w:sz w:val="24"/>
        </w:rPr>
        <w:t xml:space="preserve"> </w:t>
      </w:r>
      <w:r>
        <w:rPr>
          <w:rFonts w:ascii="Arial" w:hAnsi="Arial" w:cs="Arial"/>
          <w:sz w:val="24"/>
        </w:rPr>
        <w:t xml:space="preserve">However, in comparison to Rolfe’s model of reflection </w:t>
      </w:r>
      <w:r w:rsidR="00226CC1">
        <w:rPr>
          <w:rFonts w:ascii="Arial" w:hAnsi="Arial" w:cs="Arial"/>
          <w:sz w:val="24"/>
        </w:rPr>
        <w:t>(</w:t>
      </w:r>
      <w:r w:rsidRPr="001B15DB">
        <w:rPr>
          <w:rFonts w:ascii="Arial" w:hAnsi="Arial" w:cs="Arial"/>
          <w:sz w:val="24"/>
        </w:rPr>
        <w:t>The National Co</w:t>
      </w:r>
      <w:r w:rsidR="00226CC1">
        <w:rPr>
          <w:rFonts w:ascii="Arial" w:hAnsi="Arial" w:cs="Arial"/>
          <w:sz w:val="24"/>
        </w:rPr>
        <w:t xml:space="preserve">llege for Teaching and Learning, </w:t>
      </w:r>
      <w:r w:rsidRPr="001B15DB">
        <w:rPr>
          <w:rFonts w:ascii="Arial" w:hAnsi="Arial" w:cs="Arial"/>
          <w:sz w:val="24"/>
        </w:rPr>
        <w:t>no date) describes how Rolfe’s model of reflection is based on three questions. The questions being what, so what and now what (The National College for Teaching and Learning, no date). According to Lee and Barnett (1994) reflective questioning is tool which allows an individual to be heard and can reflect aloud. Also, to allow the individual a chance to expand and extend thinking and knowledge through questioning (Lee and Barnett, 1994). The National College for Teaching and Learning (no date) synthesises with this point as the organisation discusses that using a questioning structure to reflection allows an individual to deepen understanding of certain behaviours and actions which will result in the moving forward.</w:t>
      </w:r>
      <w:r>
        <w:rPr>
          <w:rFonts w:ascii="Arial" w:hAnsi="Arial" w:cs="Arial"/>
          <w:sz w:val="24"/>
        </w:rPr>
        <w:t xml:space="preserve"> This suggests that both models of reflection have the end desire to change practice in the future. However, the two models are different in many ways as Gibbs model of reflection is a more in-depth model compared to Rolfe’s model which is very simple and straightforward.</w:t>
      </w:r>
    </w:p>
    <w:p w:rsidR="0099703A" w:rsidRPr="00203EFA" w:rsidRDefault="0099703A" w:rsidP="00CD5E50">
      <w:pPr>
        <w:spacing w:line="360" w:lineRule="auto"/>
        <w:jc w:val="both"/>
        <w:rPr>
          <w:rFonts w:ascii="Arial" w:hAnsi="Arial" w:cs="Arial"/>
          <w:sz w:val="24"/>
        </w:rPr>
      </w:pPr>
      <w:r>
        <w:rPr>
          <w:rFonts w:ascii="Arial" w:hAnsi="Arial" w:cs="Arial"/>
          <w:sz w:val="24"/>
        </w:rPr>
        <w:t>In addition, Jayatilleke and Mackie (2013) argue how Gibbs reflective cycle is useful to structure a reflection but is to superficial and that more critical reflection is needed. Although, Fox (2004) discusses how Gibbs cycle of reflection is beneficial in allowing the practitioner to learn from other’s reactions based on the situation which will affect the way the practitioner understands and thinks about that situation.</w:t>
      </w:r>
      <w:r w:rsidR="00E854DD">
        <w:rPr>
          <w:rFonts w:ascii="Arial" w:hAnsi="Arial" w:cs="Arial"/>
          <w:sz w:val="24"/>
        </w:rPr>
        <w:t xml:space="preserve"> This can tie in with Bandura’s social learning theory as (Instructional Design, 2015) states that Band</w:t>
      </w:r>
      <w:r w:rsidR="00226CC1">
        <w:rPr>
          <w:rFonts w:ascii="Arial" w:hAnsi="Arial" w:cs="Arial"/>
          <w:sz w:val="24"/>
        </w:rPr>
        <w:t xml:space="preserve">ura’s social learning theory  </w:t>
      </w:r>
      <w:r w:rsidR="00E854DD">
        <w:rPr>
          <w:rFonts w:ascii="Arial" w:hAnsi="Arial" w:cs="Arial"/>
          <w:sz w:val="24"/>
        </w:rPr>
        <w:t xml:space="preserve">highlights the importance of social interaction, observations of behaviours and attitudes and emotional responses from others. </w:t>
      </w:r>
      <w:r w:rsidR="00203EFA">
        <w:rPr>
          <w:rFonts w:ascii="Arial" w:hAnsi="Arial" w:cs="Arial"/>
          <w:sz w:val="24"/>
        </w:rPr>
        <w:t xml:space="preserve">Behaviours are often learned from others and </w:t>
      </w:r>
      <w:r w:rsidR="00B76F51">
        <w:rPr>
          <w:rFonts w:ascii="Arial" w:hAnsi="Arial" w:cs="Arial"/>
          <w:sz w:val="24"/>
        </w:rPr>
        <w:t>children</w:t>
      </w:r>
      <w:r w:rsidR="00203EFA">
        <w:rPr>
          <w:rFonts w:ascii="Arial" w:hAnsi="Arial" w:cs="Arial"/>
          <w:sz w:val="24"/>
        </w:rPr>
        <w:t xml:space="preserve"> often copy the actions of peers and parents/carers. Also, allowing the practitioner to learn from others it can lead to </w:t>
      </w:r>
      <w:r>
        <w:rPr>
          <w:rFonts w:ascii="Arial" w:hAnsi="Arial" w:cs="Arial"/>
          <w:sz w:val="24"/>
        </w:rPr>
        <w:t xml:space="preserve">new evidence about the situation which means that actions are constantly getting evaluated and the practitioner is reflecting on the actions which surround the situation (Fox, 2004). </w:t>
      </w:r>
      <w:r w:rsidR="00DA0146">
        <w:rPr>
          <w:rFonts w:ascii="Arial" w:hAnsi="Arial" w:cs="Arial"/>
          <w:sz w:val="24"/>
        </w:rPr>
        <w:t>This can closely link into Vy</w:t>
      </w:r>
      <w:r w:rsidR="00DA0146" w:rsidRPr="00DA0146">
        <w:rPr>
          <w:rFonts w:ascii="Arial" w:hAnsi="Arial" w:cs="Arial"/>
          <w:sz w:val="24"/>
        </w:rPr>
        <w:t>gotsky’s</w:t>
      </w:r>
      <w:r w:rsidR="00E76C53" w:rsidRPr="00DA0146">
        <w:rPr>
          <w:rFonts w:ascii="Arial" w:hAnsi="Arial" w:cs="Arial"/>
          <w:sz w:val="24"/>
        </w:rPr>
        <w:t xml:space="preserve"> theory of Zone of proximal development</w:t>
      </w:r>
      <w:r w:rsidR="00DA0146" w:rsidRPr="00DA0146">
        <w:rPr>
          <w:rFonts w:ascii="Arial" w:hAnsi="Arial" w:cs="Arial"/>
          <w:sz w:val="24"/>
        </w:rPr>
        <w:t xml:space="preserve"> As </w:t>
      </w:r>
      <w:r w:rsidR="00E76C53" w:rsidRPr="00DA0146">
        <w:rPr>
          <w:rFonts w:ascii="Arial" w:hAnsi="Arial" w:cs="Arial"/>
          <w:sz w:val="24"/>
        </w:rPr>
        <w:t xml:space="preserve">Coffey (no date) suggests that Vygotsky </w:t>
      </w:r>
      <w:r w:rsidR="00DA0146" w:rsidRPr="00DA0146">
        <w:rPr>
          <w:rFonts w:ascii="Arial" w:hAnsi="Arial" w:cs="Arial"/>
          <w:sz w:val="24"/>
        </w:rPr>
        <w:t>believed</w:t>
      </w:r>
      <w:r w:rsidR="00E76C53" w:rsidRPr="00DA0146">
        <w:rPr>
          <w:rFonts w:ascii="Arial" w:hAnsi="Arial" w:cs="Arial"/>
          <w:sz w:val="24"/>
        </w:rPr>
        <w:t xml:space="preserve"> that </w:t>
      </w:r>
      <w:r w:rsidR="00DA0146" w:rsidRPr="00DA0146">
        <w:rPr>
          <w:rFonts w:ascii="Arial" w:hAnsi="Arial" w:cs="Arial"/>
          <w:sz w:val="24"/>
        </w:rPr>
        <w:t>children</w:t>
      </w:r>
      <w:r w:rsidR="00E76C53" w:rsidRPr="00DA0146">
        <w:rPr>
          <w:rFonts w:ascii="Arial" w:hAnsi="Arial" w:cs="Arial"/>
          <w:sz w:val="24"/>
        </w:rPr>
        <w:t xml:space="preserve"> co</w:t>
      </w:r>
      <w:r w:rsidR="00DA0146" w:rsidRPr="00DA0146">
        <w:rPr>
          <w:rFonts w:ascii="Arial" w:hAnsi="Arial" w:cs="Arial"/>
          <w:sz w:val="24"/>
        </w:rPr>
        <w:t>ntinually learn new skills from social interactions with peers and parents/carers. Also, how Vygotsky suggests that the n</w:t>
      </w:r>
      <w:r w:rsidR="00DA0146">
        <w:rPr>
          <w:rFonts w:ascii="Arial" w:hAnsi="Arial" w:cs="Arial"/>
          <w:sz w:val="24"/>
        </w:rPr>
        <w:t>e</w:t>
      </w:r>
      <w:r w:rsidR="00DA0146" w:rsidRPr="00DA0146">
        <w:rPr>
          <w:rFonts w:ascii="Arial" w:hAnsi="Arial" w:cs="Arial"/>
          <w:sz w:val="24"/>
        </w:rPr>
        <w:t>w skills ar</w:t>
      </w:r>
      <w:r w:rsidR="00DA0146">
        <w:rPr>
          <w:rFonts w:ascii="Arial" w:hAnsi="Arial" w:cs="Arial"/>
          <w:sz w:val="24"/>
        </w:rPr>
        <w:t xml:space="preserve">e </w:t>
      </w:r>
      <w:r w:rsidR="00DA0146" w:rsidRPr="00DA0146">
        <w:rPr>
          <w:rFonts w:ascii="Arial" w:hAnsi="Arial" w:cs="Arial"/>
          <w:sz w:val="24"/>
        </w:rPr>
        <w:t xml:space="preserve">built upon to continually </w:t>
      </w:r>
      <w:r w:rsidR="00226CC1">
        <w:rPr>
          <w:rFonts w:ascii="Arial" w:hAnsi="Arial" w:cs="Arial"/>
          <w:sz w:val="24"/>
        </w:rPr>
        <w:t>l</w:t>
      </w:r>
      <w:r w:rsidR="00DA0146" w:rsidRPr="00DA0146">
        <w:rPr>
          <w:rFonts w:ascii="Arial" w:hAnsi="Arial" w:cs="Arial"/>
          <w:sz w:val="24"/>
        </w:rPr>
        <w:t>earn new way</w:t>
      </w:r>
      <w:r w:rsidR="00226CC1">
        <w:rPr>
          <w:rFonts w:ascii="Arial" w:hAnsi="Arial" w:cs="Arial"/>
          <w:sz w:val="24"/>
        </w:rPr>
        <w:t>s</w:t>
      </w:r>
      <w:r w:rsidR="00DA0146" w:rsidRPr="00DA0146">
        <w:rPr>
          <w:rFonts w:ascii="Arial" w:hAnsi="Arial" w:cs="Arial"/>
          <w:sz w:val="24"/>
        </w:rPr>
        <w:t xml:space="preserve"> of doing an activity therefore</w:t>
      </w:r>
      <w:r w:rsidR="00226CC1">
        <w:rPr>
          <w:rFonts w:ascii="Arial" w:hAnsi="Arial" w:cs="Arial"/>
          <w:sz w:val="24"/>
        </w:rPr>
        <w:t>,</w:t>
      </w:r>
      <w:r w:rsidR="00DA0146" w:rsidRPr="00DA0146">
        <w:rPr>
          <w:rFonts w:ascii="Arial" w:hAnsi="Arial" w:cs="Arial"/>
          <w:sz w:val="24"/>
        </w:rPr>
        <w:t xml:space="preserve"> children are continually developing skills which will help future development. </w:t>
      </w:r>
      <w:r>
        <w:rPr>
          <w:rFonts w:ascii="Arial" w:hAnsi="Arial" w:cs="Arial"/>
          <w:sz w:val="24"/>
        </w:rPr>
        <w:t xml:space="preserve">In comparison to Rolfe’s model of reflection Lucas (2012) </w:t>
      </w:r>
      <w:r w:rsidRPr="001B15DB">
        <w:rPr>
          <w:rFonts w:ascii="Arial" w:hAnsi="Arial" w:cs="Arial"/>
          <w:sz w:val="24"/>
        </w:rPr>
        <w:t>adds that Rolfe’s model of reflection is based upon Burtons framework of reflection. Also, Lucas (2012) adds that Rolfe’s model of reflection is simple compared to other models. Zneb (date to add) further adds that although Rolfe’s model of reflection is simple it allows a practitioner to use this model whilst in an activity and allows them time to carry out a quick reflection of the activity or experience.</w:t>
      </w:r>
      <w:r>
        <w:rPr>
          <w:rFonts w:ascii="Arial" w:hAnsi="Arial" w:cs="Arial"/>
          <w:sz w:val="24"/>
        </w:rPr>
        <w:t xml:space="preserve"> This can be a positive aspect of Rolfe’s model as compared to</w:t>
      </w:r>
      <w:r w:rsidR="003F165E">
        <w:rPr>
          <w:rFonts w:ascii="Arial" w:hAnsi="Arial" w:cs="Arial"/>
          <w:sz w:val="24"/>
        </w:rPr>
        <w:t xml:space="preserve"> Gibbs model of reflection.</w:t>
      </w:r>
      <w:r>
        <w:rPr>
          <w:rFonts w:ascii="Arial" w:hAnsi="Arial" w:cs="Arial"/>
          <w:sz w:val="24"/>
        </w:rPr>
        <w:t xml:space="preserve"> </w:t>
      </w:r>
    </w:p>
    <w:p w:rsidR="001B15DB" w:rsidRPr="003F7624" w:rsidRDefault="0099703A" w:rsidP="00CD5E50">
      <w:pPr>
        <w:spacing w:line="360" w:lineRule="auto"/>
        <w:jc w:val="both"/>
        <w:rPr>
          <w:rFonts w:ascii="Arial" w:hAnsi="Arial" w:cs="Arial"/>
          <w:sz w:val="24"/>
        </w:rPr>
      </w:pPr>
      <w:r>
        <w:rPr>
          <w:rFonts w:ascii="Arial" w:hAnsi="Arial" w:cs="Arial"/>
          <w:sz w:val="24"/>
        </w:rPr>
        <w:t xml:space="preserve">Furthermore, </w:t>
      </w:r>
      <w:r w:rsidRPr="003F7624">
        <w:rPr>
          <w:rFonts w:ascii="Arial" w:hAnsi="Arial" w:cs="Arial"/>
          <w:sz w:val="24"/>
        </w:rPr>
        <w:t>Gaynor (2013) explains how Gibbs model of reflection is best used after an activity or experience.</w:t>
      </w:r>
      <w:r>
        <w:rPr>
          <w:rFonts w:ascii="Arial" w:hAnsi="Arial" w:cs="Arial"/>
          <w:sz w:val="24"/>
        </w:rPr>
        <w:t xml:space="preserve"> This model is best used after </w:t>
      </w:r>
      <w:r w:rsidR="00226CC1">
        <w:rPr>
          <w:rFonts w:ascii="Arial" w:hAnsi="Arial" w:cs="Arial"/>
          <w:sz w:val="24"/>
        </w:rPr>
        <w:t xml:space="preserve">an event that has a positive or </w:t>
      </w:r>
      <w:r>
        <w:rPr>
          <w:rFonts w:ascii="Arial" w:hAnsi="Arial" w:cs="Arial"/>
          <w:sz w:val="24"/>
        </w:rPr>
        <w:t>negative impact on a practitioner or practice (Gayno</w:t>
      </w:r>
      <w:r w:rsidR="009E513A">
        <w:rPr>
          <w:rFonts w:ascii="Arial" w:hAnsi="Arial" w:cs="Arial"/>
          <w:sz w:val="24"/>
        </w:rPr>
        <w:t>r, 2013). Cambridge (no date</w:t>
      </w:r>
      <w:r>
        <w:rPr>
          <w:rFonts w:ascii="Arial" w:hAnsi="Arial" w:cs="Arial"/>
          <w:sz w:val="24"/>
        </w:rPr>
        <w:t>) agrees with Gaynor (2013) as the author also details how Gibbs model of reflection is best suited for after the event or experience to reflect on all six stages of the reflective model. Schon (1983)</w:t>
      </w:r>
      <w:r w:rsidR="009E513A">
        <w:rPr>
          <w:rFonts w:ascii="Arial" w:hAnsi="Arial" w:cs="Arial"/>
          <w:sz w:val="24"/>
        </w:rPr>
        <w:t xml:space="preserve"> cited in Cambridge (no date</w:t>
      </w:r>
      <w:r>
        <w:rPr>
          <w:rFonts w:ascii="Arial" w:hAnsi="Arial" w:cs="Arial"/>
          <w:sz w:val="24"/>
        </w:rPr>
        <w:t>) understands that there is an importance in looking back and reflecting as it allows the practitioner to learn how the knowledge gained from in action</w:t>
      </w:r>
      <w:r w:rsidR="00226CC1">
        <w:rPr>
          <w:rFonts w:ascii="Arial" w:hAnsi="Arial" w:cs="Arial"/>
          <w:sz w:val="24"/>
        </w:rPr>
        <w:t xml:space="preserve"> reflection</w:t>
      </w:r>
      <w:r>
        <w:rPr>
          <w:rFonts w:ascii="Arial" w:hAnsi="Arial" w:cs="Arial"/>
          <w:sz w:val="24"/>
        </w:rPr>
        <w:t xml:space="preserve"> can influence and contribute to the on-a</w:t>
      </w:r>
      <w:r w:rsidR="00E76C53">
        <w:rPr>
          <w:rFonts w:ascii="Arial" w:hAnsi="Arial" w:cs="Arial"/>
          <w:sz w:val="24"/>
        </w:rPr>
        <w:t xml:space="preserve">ction reflection (Schon, 1983). Schon (1983) further discusses how reflecting on action is luxury that the practitioner has. This is beneficial as the practitioner has time to think about past experiences and actions which may have impacted the outcome. This will help the reflection at the end (Schon, 1983). </w:t>
      </w:r>
      <w:r w:rsidRPr="000B6E82">
        <w:rPr>
          <w:rFonts w:ascii="Arial" w:hAnsi="Arial" w:cs="Arial"/>
          <w:sz w:val="24"/>
        </w:rPr>
        <w:t>However,</w:t>
      </w:r>
      <w:r w:rsidR="00226CC1">
        <w:rPr>
          <w:rFonts w:ascii="Arial" w:hAnsi="Arial" w:cs="Arial"/>
          <w:sz w:val="24"/>
        </w:rPr>
        <w:t xml:space="preserve"> this disagrees</w:t>
      </w:r>
      <w:r>
        <w:rPr>
          <w:rFonts w:ascii="Arial" w:hAnsi="Arial" w:cs="Arial"/>
          <w:sz w:val="24"/>
        </w:rPr>
        <w:t xml:space="preserve"> with Rolfe</w:t>
      </w:r>
      <w:r w:rsidR="00226CC1">
        <w:rPr>
          <w:rFonts w:ascii="Arial" w:hAnsi="Arial" w:cs="Arial"/>
          <w:sz w:val="24"/>
        </w:rPr>
        <w:t>’s model of reflection as (Zneb,</w:t>
      </w:r>
      <w:r>
        <w:rPr>
          <w:rFonts w:ascii="Arial" w:hAnsi="Arial" w:cs="Arial"/>
          <w:sz w:val="24"/>
        </w:rPr>
        <w:t>1981) proposes that Rolfe’s model of reflection can be used in action as it is very simple and quick to use. As Rolfe’s model is simple and quick to use this allows the reflective cycle to become flexible and allow</w:t>
      </w:r>
      <w:r w:rsidR="00226CC1">
        <w:rPr>
          <w:rFonts w:ascii="Arial" w:hAnsi="Arial" w:cs="Arial"/>
          <w:sz w:val="24"/>
        </w:rPr>
        <w:t>s</w:t>
      </w:r>
      <w:r>
        <w:rPr>
          <w:rFonts w:ascii="Arial" w:hAnsi="Arial" w:cs="Arial"/>
          <w:sz w:val="24"/>
        </w:rPr>
        <w:t xml:space="preserve"> the practitioner to achieve a quick efficient reflection whilst completing an activity (Zneb,1981). Sol</w:t>
      </w:r>
      <w:r w:rsidR="00226CC1">
        <w:rPr>
          <w:rFonts w:ascii="Arial" w:hAnsi="Arial" w:cs="Arial"/>
          <w:sz w:val="24"/>
        </w:rPr>
        <w:t>ent Online Learning (2012</w:t>
      </w:r>
      <w:r>
        <w:rPr>
          <w:rFonts w:ascii="Arial" w:hAnsi="Arial" w:cs="Arial"/>
          <w:sz w:val="24"/>
        </w:rPr>
        <w:t>) synthesises with Zneb (1981) as the organisations implies that in action reflection is about the practitioner thinking fast to reflect quickly (Zneb,1981) (Solent Online Learning,</w:t>
      </w:r>
      <w:r w:rsidR="005050FC">
        <w:rPr>
          <w:rFonts w:ascii="Arial" w:hAnsi="Arial" w:cs="Arial"/>
          <w:sz w:val="24"/>
        </w:rPr>
        <w:t xml:space="preserve"> </w:t>
      </w:r>
      <w:r>
        <w:rPr>
          <w:rFonts w:ascii="Arial" w:hAnsi="Arial" w:cs="Arial"/>
          <w:sz w:val="24"/>
        </w:rPr>
        <w:t>2012)</w:t>
      </w:r>
      <w:r w:rsidR="00226CC1">
        <w:rPr>
          <w:rFonts w:ascii="Arial" w:hAnsi="Arial" w:cs="Arial"/>
          <w:sz w:val="24"/>
        </w:rPr>
        <w:t>.</w:t>
      </w:r>
      <w:r>
        <w:rPr>
          <w:rFonts w:ascii="Arial" w:hAnsi="Arial" w:cs="Arial"/>
          <w:sz w:val="24"/>
        </w:rPr>
        <w:t xml:space="preserve"> This can link into Rolfe’s model of reflection because the three quick and easy questions allow a practitioner time to think fast to gain an efficient reflection</w:t>
      </w:r>
      <w:r w:rsidR="00B76F51">
        <w:rPr>
          <w:rFonts w:ascii="Arial" w:hAnsi="Arial" w:cs="Arial"/>
          <w:sz w:val="24"/>
        </w:rPr>
        <w:t xml:space="preserve"> </w:t>
      </w:r>
      <w:r w:rsidR="00B54F73">
        <w:rPr>
          <w:rFonts w:ascii="Arial" w:hAnsi="Arial" w:cs="Arial"/>
          <w:sz w:val="24"/>
        </w:rPr>
        <w:t>to benefit the practice.</w:t>
      </w:r>
    </w:p>
    <w:p w:rsidR="00B01AE2" w:rsidRDefault="00BD0421" w:rsidP="00CD5E50">
      <w:pPr>
        <w:spacing w:line="360" w:lineRule="auto"/>
        <w:jc w:val="both"/>
        <w:rPr>
          <w:rFonts w:ascii="Arial" w:hAnsi="Arial" w:cs="Arial"/>
          <w:color w:val="FF0000"/>
          <w:sz w:val="24"/>
        </w:rPr>
      </w:pPr>
      <w:r w:rsidRPr="00CD5E50">
        <w:rPr>
          <w:rFonts w:ascii="Arial" w:hAnsi="Arial" w:cs="Arial"/>
          <w:sz w:val="24"/>
        </w:rPr>
        <w:t>In additi</w:t>
      </w:r>
      <w:r w:rsidR="00226CC1">
        <w:rPr>
          <w:rFonts w:ascii="Arial" w:hAnsi="Arial" w:cs="Arial"/>
          <w:sz w:val="24"/>
        </w:rPr>
        <w:t>on, NHS Education for Scotland (</w:t>
      </w:r>
      <w:r w:rsidRPr="00CD5E50">
        <w:rPr>
          <w:rFonts w:ascii="Arial" w:hAnsi="Arial" w:cs="Arial"/>
          <w:sz w:val="24"/>
        </w:rPr>
        <w:t>2017)</w:t>
      </w:r>
      <w:r w:rsidR="00226CC1">
        <w:rPr>
          <w:rFonts w:ascii="Arial" w:hAnsi="Arial" w:cs="Arial"/>
          <w:sz w:val="24"/>
        </w:rPr>
        <w:t xml:space="preserve"> discusses</w:t>
      </w:r>
      <w:r w:rsidRPr="00CD5E50">
        <w:rPr>
          <w:rFonts w:ascii="Arial" w:hAnsi="Arial" w:cs="Arial"/>
          <w:sz w:val="24"/>
        </w:rPr>
        <w:t xml:space="preserve"> reflective practice underpins the flying start programme in aim to strengthen and meet the needs of the practice. Reflective practice will help a practitioner to improve practice in </w:t>
      </w:r>
      <w:r w:rsidR="000C594B" w:rsidRPr="00CD5E50">
        <w:rPr>
          <w:rFonts w:ascii="Arial" w:hAnsi="Arial" w:cs="Arial"/>
          <w:sz w:val="24"/>
        </w:rPr>
        <w:t>everyday</w:t>
      </w:r>
      <w:r w:rsidR="00226CC1">
        <w:rPr>
          <w:rFonts w:ascii="Arial" w:hAnsi="Arial" w:cs="Arial"/>
          <w:sz w:val="24"/>
        </w:rPr>
        <w:t xml:space="preserve"> work life</w:t>
      </w:r>
      <w:r w:rsidRPr="00CD5E50">
        <w:rPr>
          <w:rFonts w:ascii="Arial" w:hAnsi="Arial" w:cs="Arial"/>
          <w:sz w:val="24"/>
        </w:rPr>
        <w:t xml:space="preserve"> to provide a quality and holistic practice for </w:t>
      </w:r>
      <w:r w:rsidR="000C594B" w:rsidRPr="00CD5E50">
        <w:rPr>
          <w:rFonts w:ascii="Arial" w:hAnsi="Arial" w:cs="Arial"/>
          <w:sz w:val="24"/>
        </w:rPr>
        <w:t>children</w:t>
      </w:r>
      <w:r w:rsidRPr="00CD5E50">
        <w:rPr>
          <w:rFonts w:ascii="Arial" w:hAnsi="Arial" w:cs="Arial"/>
          <w:sz w:val="24"/>
        </w:rPr>
        <w:t xml:space="preserve"> and families (NHS Education for Scotland, 2017)</w:t>
      </w:r>
      <w:r w:rsidR="00226CC1">
        <w:rPr>
          <w:rFonts w:ascii="Arial" w:hAnsi="Arial" w:cs="Arial"/>
          <w:sz w:val="24"/>
        </w:rPr>
        <w:t xml:space="preserve">. </w:t>
      </w:r>
      <w:r w:rsidR="00332122" w:rsidRPr="00CD5E50">
        <w:rPr>
          <w:rFonts w:ascii="Arial" w:hAnsi="Arial" w:cs="Arial"/>
          <w:sz w:val="24"/>
        </w:rPr>
        <w:t>Also, Welsh Government (2013)</w:t>
      </w:r>
      <w:r w:rsidR="000C594B" w:rsidRPr="00CD5E50">
        <w:rPr>
          <w:rFonts w:ascii="Arial" w:hAnsi="Arial" w:cs="Arial"/>
          <w:sz w:val="24"/>
        </w:rPr>
        <w:t xml:space="preserve"> suggests through the</w:t>
      </w:r>
      <w:r w:rsidR="00332122" w:rsidRPr="00CD5E50">
        <w:rPr>
          <w:rFonts w:ascii="Arial" w:hAnsi="Arial" w:cs="Arial"/>
          <w:sz w:val="24"/>
        </w:rPr>
        <w:t xml:space="preserve"> building brighter futures document</w:t>
      </w:r>
      <w:r w:rsidR="000C594B" w:rsidRPr="00CD5E50">
        <w:rPr>
          <w:rFonts w:ascii="Arial" w:hAnsi="Arial" w:cs="Arial"/>
          <w:sz w:val="24"/>
        </w:rPr>
        <w:t xml:space="preserve"> that high</w:t>
      </w:r>
      <w:r w:rsidR="00301BBD">
        <w:rPr>
          <w:rFonts w:ascii="Arial" w:hAnsi="Arial" w:cs="Arial"/>
          <w:sz w:val="24"/>
        </w:rPr>
        <w:t>er</w:t>
      </w:r>
      <w:r w:rsidR="000C594B" w:rsidRPr="00CD5E50">
        <w:rPr>
          <w:rFonts w:ascii="Arial" w:hAnsi="Arial" w:cs="Arial"/>
          <w:sz w:val="24"/>
        </w:rPr>
        <w:t xml:space="preserve"> quality early years education provides children with long term </w:t>
      </w:r>
      <w:r w:rsidR="00EE1BE8" w:rsidRPr="00CD5E50">
        <w:rPr>
          <w:rFonts w:ascii="Arial" w:hAnsi="Arial" w:cs="Arial"/>
          <w:sz w:val="24"/>
        </w:rPr>
        <w:t>benefits</w:t>
      </w:r>
      <w:r w:rsidR="000C594B" w:rsidRPr="00CD5E50">
        <w:rPr>
          <w:rFonts w:ascii="Arial" w:hAnsi="Arial" w:cs="Arial"/>
          <w:sz w:val="24"/>
        </w:rPr>
        <w:t xml:space="preserve"> which will impact on </w:t>
      </w:r>
      <w:r w:rsidR="00EE1BE8" w:rsidRPr="00CD5E50">
        <w:rPr>
          <w:rFonts w:ascii="Arial" w:hAnsi="Arial" w:cs="Arial"/>
          <w:sz w:val="24"/>
        </w:rPr>
        <w:t>children’s</w:t>
      </w:r>
      <w:r w:rsidR="000C594B" w:rsidRPr="00CD5E50">
        <w:rPr>
          <w:rFonts w:ascii="Arial" w:hAnsi="Arial" w:cs="Arial"/>
          <w:sz w:val="24"/>
        </w:rPr>
        <w:t xml:space="preserve"> future development.</w:t>
      </w:r>
      <w:r w:rsidR="00332122" w:rsidRPr="00CD5E50">
        <w:rPr>
          <w:rFonts w:ascii="Arial" w:hAnsi="Arial" w:cs="Arial"/>
          <w:sz w:val="24"/>
        </w:rPr>
        <w:t xml:space="preserve"> The building a brighter future document</w:t>
      </w:r>
      <w:r w:rsidR="00EE1BE8" w:rsidRPr="00CD5E50">
        <w:rPr>
          <w:rFonts w:ascii="Arial" w:hAnsi="Arial" w:cs="Arial"/>
          <w:sz w:val="24"/>
        </w:rPr>
        <w:t xml:space="preserve"> </w:t>
      </w:r>
      <w:r w:rsidR="00332122" w:rsidRPr="00CD5E50">
        <w:rPr>
          <w:rFonts w:ascii="Arial" w:hAnsi="Arial" w:cs="Arial"/>
          <w:sz w:val="24"/>
        </w:rPr>
        <w:t>a</w:t>
      </w:r>
      <w:r w:rsidR="00EE1BE8" w:rsidRPr="00CD5E50">
        <w:rPr>
          <w:rFonts w:ascii="Arial" w:hAnsi="Arial" w:cs="Arial"/>
          <w:sz w:val="24"/>
        </w:rPr>
        <w:t>lso sets out to improve early education in Wales by focusing on four keys areas</w:t>
      </w:r>
      <w:r w:rsidR="00A80398" w:rsidRPr="00CD5E50">
        <w:rPr>
          <w:rFonts w:ascii="Arial" w:hAnsi="Arial" w:cs="Arial"/>
          <w:sz w:val="24"/>
        </w:rPr>
        <w:t xml:space="preserve"> leadership, the workforce, the environment and the experience of the children and the document states that this will be achieved through regular ins</w:t>
      </w:r>
      <w:r w:rsidR="00332122" w:rsidRPr="00CD5E50">
        <w:rPr>
          <w:rFonts w:ascii="Arial" w:hAnsi="Arial" w:cs="Arial"/>
          <w:sz w:val="24"/>
        </w:rPr>
        <w:t>pection (Welsh Government, 2013). The Care and Social Services Inspectorate (2017)</w:t>
      </w:r>
      <w:r w:rsidR="00A80398" w:rsidRPr="00CD5E50">
        <w:rPr>
          <w:rFonts w:ascii="Arial" w:hAnsi="Arial" w:cs="Arial"/>
          <w:sz w:val="24"/>
        </w:rPr>
        <w:t xml:space="preserve"> aims to regulate and inspect nurseries, care homes and child minders to improve the adult and childcare in Wales. The CSSIW inspects these types of settings annually which means that the inspectors inspect either once every two years or once every three years this solely depends on the type of service provided </w:t>
      </w:r>
      <w:bookmarkStart w:id="1" w:name="_Hlk497426695"/>
      <w:r w:rsidR="00A80398" w:rsidRPr="00CD5E50">
        <w:rPr>
          <w:rFonts w:ascii="Arial" w:hAnsi="Arial" w:cs="Arial"/>
          <w:sz w:val="24"/>
        </w:rPr>
        <w:t>(Care an</w:t>
      </w:r>
      <w:r w:rsidR="00332122" w:rsidRPr="00CD5E50">
        <w:rPr>
          <w:rFonts w:ascii="Arial" w:hAnsi="Arial" w:cs="Arial"/>
          <w:sz w:val="24"/>
        </w:rPr>
        <w:t xml:space="preserve">d Social Services Inspectorate, 2013) </w:t>
      </w:r>
      <w:bookmarkEnd w:id="1"/>
      <w:r w:rsidR="00332122" w:rsidRPr="00CD5E50">
        <w:rPr>
          <w:rFonts w:ascii="Arial" w:hAnsi="Arial" w:cs="Arial"/>
          <w:sz w:val="24"/>
        </w:rPr>
        <w:t xml:space="preserve">Also, through the inspections the CSSIW </w:t>
      </w:r>
      <w:r w:rsidR="00B76F51" w:rsidRPr="00CD5E50">
        <w:rPr>
          <w:rFonts w:ascii="Arial" w:hAnsi="Arial" w:cs="Arial"/>
          <w:sz w:val="24"/>
        </w:rPr>
        <w:t>considers</w:t>
      </w:r>
      <w:r w:rsidR="00332122" w:rsidRPr="00CD5E50">
        <w:rPr>
          <w:rFonts w:ascii="Arial" w:hAnsi="Arial" w:cs="Arial"/>
          <w:sz w:val="24"/>
        </w:rPr>
        <w:t xml:space="preserve"> the staffing of the early years setting by inspecting if there is an appraisal/supervision system in place. If there is a system in place whether the system is mean</w:t>
      </w:r>
      <w:r w:rsidR="00E97664" w:rsidRPr="00CD5E50">
        <w:rPr>
          <w:rFonts w:ascii="Arial" w:hAnsi="Arial" w:cs="Arial"/>
          <w:sz w:val="24"/>
        </w:rPr>
        <w:t>in</w:t>
      </w:r>
      <w:r w:rsidR="00332122" w:rsidRPr="00CD5E50">
        <w:rPr>
          <w:rFonts w:ascii="Arial" w:hAnsi="Arial" w:cs="Arial"/>
          <w:sz w:val="24"/>
        </w:rPr>
        <w:t>gful and how efficient it works (</w:t>
      </w:r>
      <w:r w:rsidR="00E97664" w:rsidRPr="00CD5E50">
        <w:rPr>
          <w:rFonts w:ascii="Arial" w:hAnsi="Arial" w:cs="Arial"/>
          <w:sz w:val="24"/>
        </w:rPr>
        <w:t>Care and Social Services Inspectorate, 2013)</w:t>
      </w:r>
      <w:r w:rsidR="00B76F51">
        <w:rPr>
          <w:rFonts w:ascii="Arial" w:hAnsi="Arial" w:cs="Arial"/>
          <w:sz w:val="24"/>
        </w:rPr>
        <w:t>.</w:t>
      </w:r>
    </w:p>
    <w:p w:rsidR="00487B82" w:rsidRDefault="00FD7BE0" w:rsidP="00CD5E50">
      <w:pPr>
        <w:spacing w:line="360" w:lineRule="auto"/>
        <w:jc w:val="both"/>
        <w:rPr>
          <w:rFonts w:ascii="Arial" w:hAnsi="Arial" w:cs="Arial"/>
          <w:sz w:val="24"/>
        </w:rPr>
      </w:pPr>
      <w:r>
        <w:rPr>
          <w:rFonts w:ascii="Arial" w:hAnsi="Arial" w:cs="Arial"/>
          <w:sz w:val="24"/>
        </w:rPr>
        <w:t xml:space="preserve">In addition, </w:t>
      </w:r>
      <w:r w:rsidR="00487B82" w:rsidRPr="00CD5E50">
        <w:rPr>
          <w:rFonts w:ascii="Arial" w:hAnsi="Arial" w:cs="Arial"/>
          <w:sz w:val="24"/>
        </w:rPr>
        <w:t xml:space="preserve">reflections can be useful </w:t>
      </w:r>
      <w:r w:rsidRPr="00CD5E50">
        <w:rPr>
          <w:rFonts w:ascii="Arial" w:hAnsi="Arial" w:cs="Arial"/>
          <w:sz w:val="24"/>
        </w:rPr>
        <w:t>regarding</w:t>
      </w:r>
      <w:r w:rsidR="00487B82" w:rsidRPr="00CD5E50">
        <w:rPr>
          <w:rFonts w:ascii="Arial" w:hAnsi="Arial" w:cs="Arial"/>
          <w:sz w:val="24"/>
        </w:rPr>
        <w:t xml:space="preserve"> allowi</w:t>
      </w:r>
      <w:r>
        <w:rPr>
          <w:rFonts w:ascii="Arial" w:hAnsi="Arial" w:cs="Arial"/>
          <w:sz w:val="24"/>
        </w:rPr>
        <w:t xml:space="preserve">ng practitioner time to observe </w:t>
      </w:r>
      <w:r w:rsidR="00487B82" w:rsidRPr="00CD5E50">
        <w:rPr>
          <w:rFonts w:ascii="Arial" w:hAnsi="Arial" w:cs="Arial"/>
          <w:sz w:val="24"/>
        </w:rPr>
        <w:t xml:space="preserve">and learn from the experience </w:t>
      </w:r>
      <w:r w:rsidR="00301BBD" w:rsidRPr="00CD5E50">
        <w:rPr>
          <w:rFonts w:ascii="Arial" w:hAnsi="Arial" w:cs="Arial"/>
          <w:sz w:val="24"/>
        </w:rPr>
        <w:t>to</w:t>
      </w:r>
      <w:r w:rsidR="00487B82" w:rsidRPr="00CD5E50">
        <w:rPr>
          <w:rFonts w:ascii="Arial" w:hAnsi="Arial" w:cs="Arial"/>
          <w:sz w:val="24"/>
        </w:rPr>
        <w:t xml:space="preserve"> provide a better service for children and families. The Effective Provision of </w:t>
      </w:r>
      <w:r w:rsidR="00A96C70" w:rsidRPr="00CD5E50">
        <w:rPr>
          <w:rFonts w:ascii="Arial" w:hAnsi="Arial" w:cs="Arial"/>
          <w:sz w:val="24"/>
        </w:rPr>
        <w:t>Pre</w:t>
      </w:r>
      <w:r w:rsidR="00487B82" w:rsidRPr="00CD5E50">
        <w:rPr>
          <w:rFonts w:ascii="Arial" w:hAnsi="Arial" w:cs="Arial"/>
          <w:sz w:val="24"/>
        </w:rPr>
        <w:t xml:space="preserve">-School Education Project also known as the EPPE project set out to determine the effectiveness of pre-school education for </w:t>
      </w:r>
      <w:r w:rsidR="00A96C70" w:rsidRPr="00CD5E50">
        <w:rPr>
          <w:rFonts w:ascii="Arial" w:hAnsi="Arial" w:cs="Arial"/>
          <w:sz w:val="24"/>
        </w:rPr>
        <w:t>children</w:t>
      </w:r>
      <w:r w:rsidR="00487B82" w:rsidRPr="00CD5E50">
        <w:rPr>
          <w:rFonts w:ascii="Arial" w:hAnsi="Arial" w:cs="Arial"/>
          <w:sz w:val="24"/>
        </w:rPr>
        <w:t xml:space="preserve">. Whilst </w:t>
      </w:r>
      <w:r w:rsidR="00A96C70" w:rsidRPr="00CD5E50">
        <w:rPr>
          <w:rFonts w:ascii="Arial" w:hAnsi="Arial" w:cs="Arial"/>
          <w:sz w:val="24"/>
        </w:rPr>
        <w:t>researching</w:t>
      </w:r>
      <w:r w:rsidR="00487B82" w:rsidRPr="00CD5E50">
        <w:rPr>
          <w:rFonts w:ascii="Arial" w:hAnsi="Arial" w:cs="Arial"/>
          <w:sz w:val="24"/>
        </w:rPr>
        <w:t xml:space="preserve"> the EPPE project found that providing a quality service for </w:t>
      </w:r>
      <w:r w:rsidR="00A96C70" w:rsidRPr="00CD5E50">
        <w:rPr>
          <w:rFonts w:ascii="Arial" w:hAnsi="Arial" w:cs="Arial"/>
          <w:sz w:val="24"/>
        </w:rPr>
        <w:t>children</w:t>
      </w:r>
      <w:r w:rsidR="00487B82" w:rsidRPr="00CD5E50">
        <w:rPr>
          <w:rFonts w:ascii="Arial" w:hAnsi="Arial" w:cs="Arial"/>
          <w:sz w:val="24"/>
        </w:rPr>
        <w:t xml:space="preserve"> is important. From the study</w:t>
      </w:r>
      <w:r w:rsidR="00A96C70" w:rsidRPr="00CD5E50">
        <w:rPr>
          <w:rFonts w:ascii="Arial" w:hAnsi="Arial" w:cs="Arial"/>
          <w:sz w:val="24"/>
        </w:rPr>
        <w:t>,</w:t>
      </w:r>
      <w:r w:rsidR="00487B82" w:rsidRPr="00CD5E50">
        <w:rPr>
          <w:rFonts w:ascii="Arial" w:hAnsi="Arial" w:cs="Arial"/>
          <w:sz w:val="24"/>
        </w:rPr>
        <w:t xml:space="preserve"> the </w:t>
      </w:r>
      <w:r w:rsidR="00A96C70" w:rsidRPr="00CD5E50">
        <w:rPr>
          <w:rFonts w:ascii="Arial" w:hAnsi="Arial" w:cs="Arial"/>
          <w:sz w:val="24"/>
        </w:rPr>
        <w:t>observations</w:t>
      </w:r>
      <w:r w:rsidR="00487B82" w:rsidRPr="00CD5E50">
        <w:rPr>
          <w:rFonts w:ascii="Arial" w:hAnsi="Arial" w:cs="Arial"/>
          <w:sz w:val="24"/>
        </w:rPr>
        <w:t xml:space="preserve"> from the settings which were based on the quality of the service showed that there was a clear link between </w:t>
      </w:r>
      <w:r w:rsidR="00A96C70" w:rsidRPr="00CD5E50">
        <w:rPr>
          <w:rFonts w:ascii="Arial" w:hAnsi="Arial" w:cs="Arial"/>
          <w:sz w:val="24"/>
        </w:rPr>
        <w:t>quality services and higher intellige</w:t>
      </w:r>
      <w:r w:rsidR="00301BBD">
        <w:rPr>
          <w:rFonts w:ascii="Arial" w:hAnsi="Arial" w:cs="Arial"/>
          <w:sz w:val="24"/>
        </w:rPr>
        <w:t xml:space="preserve">nce in children </w:t>
      </w:r>
      <w:r w:rsidR="00797501">
        <w:rPr>
          <w:rFonts w:ascii="Arial" w:hAnsi="Arial" w:cs="Arial"/>
          <w:sz w:val="24"/>
        </w:rPr>
        <w:t>(Sylva et al. 2004</w:t>
      </w:r>
      <w:r w:rsidR="00A96C70" w:rsidRPr="00CD5E50">
        <w:rPr>
          <w:rFonts w:ascii="Arial" w:hAnsi="Arial" w:cs="Arial"/>
          <w:sz w:val="24"/>
        </w:rPr>
        <w:t xml:space="preserve">). </w:t>
      </w:r>
      <w:r w:rsidR="00797501">
        <w:rPr>
          <w:rFonts w:ascii="Arial" w:hAnsi="Arial" w:cs="Arial"/>
          <w:sz w:val="24"/>
        </w:rPr>
        <w:t>Sylva et al. (2004) s</w:t>
      </w:r>
      <w:r w:rsidR="00A96C70" w:rsidRPr="00CD5E50">
        <w:rPr>
          <w:rFonts w:ascii="Arial" w:hAnsi="Arial" w:cs="Arial"/>
          <w:sz w:val="24"/>
        </w:rPr>
        <w:t>tates that quality has an impact and make a difference to children’s development. From the study, the project found out that there was a clear correlation between the quality of the setting and the o</w:t>
      </w:r>
      <w:r w:rsidR="00797501">
        <w:rPr>
          <w:rFonts w:ascii="Arial" w:hAnsi="Arial" w:cs="Arial"/>
          <w:sz w:val="24"/>
        </w:rPr>
        <w:t xml:space="preserve">utcomes the child reached. Also, </w:t>
      </w:r>
      <w:r w:rsidR="00A96C70" w:rsidRPr="00CD5E50">
        <w:rPr>
          <w:rFonts w:ascii="Arial" w:hAnsi="Arial" w:cs="Arial"/>
          <w:sz w:val="24"/>
        </w:rPr>
        <w:t xml:space="preserve">children made more progress in settings where staff members had higher qualifications and in </w:t>
      </w:r>
      <w:r w:rsidR="00797501" w:rsidRPr="00CD5E50">
        <w:rPr>
          <w:rFonts w:ascii="Arial" w:hAnsi="Arial" w:cs="Arial"/>
          <w:sz w:val="24"/>
        </w:rPr>
        <w:t>if</w:t>
      </w:r>
      <w:r w:rsidR="00A96C70" w:rsidRPr="00CD5E50">
        <w:rPr>
          <w:rFonts w:ascii="Arial" w:hAnsi="Arial" w:cs="Arial"/>
          <w:sz w:val="24"/>
        </w:rPr>
        <w:t xml:space="preserve"> the manager had a hi</w:t>
      </w:r>
      <w:r w:rsidR="00797501">
        <w:rPr>
          <w:rFonts w:ascii="Arial" w:hAnsi="Arial" w:cs="Arial"/>
          <w:sz w:val="24"/>
        </w:rPr>
        <w:t>gh qualification (Sylva et al. 2004</w:t>
      </w:r>
      <w:r w:rsidR="00A96C70" w:rsidRPr="00CD5E50">
        <w:rPr>
          <w:rFonts w:ascii="Arial" w:hAnsi="Arial" w:cs="Arial"/>
          <w:sz w:val="24"/>
        </w:rPr>
        <w:t>).</w:t>
      </w:r>
      <w:r w:rsidR="00CD5E50">
        <w:rPr>
          <w:rFonts w:ascii="Arial" w:hAnsi="Arial" w:cs="Arial"/>
          <w:sz w:val="24"/>
        </w:rPr>
        <w:t xml:space="preserve"> This can link with what the (The Children’s Workforce Development Council, 2010) discusses that there are six core skills that everyone who works with young </w:t>
      </w:r>
      <w:r w:rsidR="005A0F75">
        <w:rPr>
          <w:rFonts w:ascii="Arial" w:hAnsi="Arial" w:cs="Arial"/>
          <w:sz w:val="24"/>
        </w:rPr>
        <w:t>children</w:t>
      </w:r>
      <w:r w:rsidR="00CD5E50">
        <w:rPr>
          <w:rFonts w:ascii="Arial" w:hAnsi="Arial" w:cs="Arial"/>
          <w:sz w:val="24"/>
        </w:rPr>
        <w:t xml:space="preserve"> and families need </w:t>
      </w:r>
      <w:r w:rsidR="00797501">
        <w:rPr>
          <w:rFonts w:ascii="Arial" w:hAnsi="Arial" w:cs="Arial"/>
          <w:sz w:val="24"/>
        </w:rPr>
        <w:t>to</w:t>
      </w:r>
      <w:r w:rsidR="00CD5E50">
        <w:rPr>
          <w:rFonts w:ascii="Arial" w:hAnsi="Arial" w:cs="Arial"/>
          <w:sz w:val="24"/>
        </w:rPr>
        <w:t xml:space="preserve"> be efficient at the job. Nichols cited in The Children’s Workforce Development Council (2010) states that having these six core aims ensures that there is </w:t>
      </w:r>
      <w:r w:rsidR="005A0F75">
        <w:rPr>
          <w:rFonts w:ascii="Arial" w:hAnsi="Arial" w:cs="Arial"/>
          <w:sz w:val="24"/>
        </w:rPr>
        <w:t>consistent</w:t>
      </w:r>
      <w:r w:rsidR="00CD5E50">
        <w:rPr>
          <w:rFonts w:ascii="Arial" w:hAnsi="Arial" w:cs="Arial"/>
          <w:sz w:val="24"/>
        </w:rPr>
        <w:t xml:space="preserve"> quality within the services that are provided for the families. Also, if a young child </w:t>
      </w:r>
      <w:r w:rsidR="005A0F75">
        <w:rPr>
          <w:rFonts w:ascii="Arial" w:hAnsi="Arial" w:cs="Arial"/>
          <w:sz w:val="24"/>
        </w:rPr>
        <w:t xml:space="preserve">or a family approach any member of staff will be able to </w:t>
      </w:r>
      <w:r w:rsidR="00301BBD">
        <w:rPr>
          <w:rFonts w:ascii="Arial" w:hAnsi="Arial" w:cs="Arial"/>
          <w:sz w:val="24"/>
        </w:rPr>
        <w:t>help</w:t>
      </w:r>
      <w:r w:rsidR="005A0F75">
        <w:rPr>
          <w:rFonts w:ascii="Arial" w:hAnsi="Arial" w:cs="Arial"/>
          <w:sz w:val="24"/>
        </w:rPr>
        <w:t xml:space="preserve"> by knowing the stuff that is expected from them (The Children’s Workforce Development Council, 2010). One aim which is highlighted in the document is the importance of </w:t>
      </w:r>
      <w:r w:rsidR="00127616">
        <w:rPr>
          <w:rFonts w:ascii="Arial" w:hAnsi="Arial" w:cs="Arial"/>
          <w:sz w:val="24"/>
        </w:rPr>
        <w:t>multiagency</w:t>
      </w:r>
      <w:r w:rsidR="005A0F75">
        <w:rPr>
          <w:rFonts w:ascii="Arial" w:hAnsi="Arial" w:cs="Arial"/>
          <w:sz w:val="24"/>
        </w:rPr>
        <w:t xml:space="preserve"> working within practices to provide an efficient quality service for young </w:t>
      </w:r>
      <w:r w:rsidR="00127616">
        <w:rPr>
          <w:rFonts w:ascii="Arial" w:hAnsi="Arial" w:cs="Arial"/>
          <w:sz w:val="24"/>
        </w:rPr>
        <w:t>children</w:t>
      </w:r>
      <w:r w:rsidR="005A0F75">
        <w:rPr>
          <w:rFonts w:ascii="Arial" w:hAnsi="Arial" w:cs="Arial"/>
          <w:sz w:val="24"/>
        </w:rPr>
        <w:t xml:space="preserve"> and families (The </w:t>
      </w:r>
      <w:r w:rsidR="00127616">
        <w:rPr>
          <w:rFonts w:ascii="Arial" w:hAnsi="Arial" w:cs="Arial"/>
          <w:sz w:val="24"/>
        </w:rPr>
        <w:t>Children’s</w:t>
      </w:r>
      <w:r w:rsidR="005A0F75">
        <w:rPr>
          <w:rFonts w:ascii="Arial" w:hAnsi="Arial" w:cs="Arial"/>
          <w:sz w:val="24"/>
        </w:rPr>
        <w:t xml:space="preserve"> Workforce Development, 2010).</w:t>
      </w:r>
    </w:p>
    <w:p w:rsidR="00B01AE2" w:rsidRDefault="00127616" w:rsidP="00CD5E50">
      <w:pPr>
        <w:spacing w:line="360" w:lineRule="auto"/>
        <w:jc w:val="both"/>
        <w:rPr>
          <w:rFonts w:ascii="Arial" w:hAnsi="Arial" w:cs="Arial"/>
          <w:color w:val="FF0000"/>
          <w:sz w:val="24"/>
        </w:rPr>
      </w:pPr>
      <w:r>
        <w:rPr>
          <w:rFonts w:ascii="Arial" w:hAnsi="Arial" w:cs="Arial"/>
          <w:sz w:val="24"/>
        </w:rPr>
        <w:t xml:space="preserve">In addition, The Welsh Government (2017) within the education in Wales: national mission document details that a high- quality education workforce that is committed to continuously learning and improving practice will benefit children’s development. This will benefit children’s development by allowing learners to become resilient, imaginative, ambitious and compassionate about learning for learners to reach higher and reach more goals (The Welsh Government, 2017). This </w:t>
      </w:r>
      <w:r w:rsidR="00956FDA">
        <w:rPr>
          <w:rFonts w:ascii="Arial" w:hAnsi="Arial" w:cs="Arial"/>
          <w:sz w:val="24"/>
        </w:rPr>
        <w:t>document was created after the q</w:t>
      </w:r>
      <w:r>
        <w:rPr>
          <w:rFonts w:ascii="Arial" w:hAnsi="Arial" w:cs="Arial"/>
          <w:sz w:val="24"/>
        </w:rPr>
        <w:t xml:space="preserve">ualified for life document was issued by the Welsh Assembly Government. </w:t>
      </w:r>
      <w:r w:rsidR="00956FDA">
        <w:rPr>
          <w:rFonts w:ascii="Arial" w:hAnsi="Arial" w:cs="Arial"/>
          <w:sz w:val="24"/>
        </w:rPr>
        <w:t xml:space="preserve">The qualified for life document of 2014 states that it aims for learners in Wales to enjoy the teaching and learning received and hopes it inspires them to succeed in the future. Also, that this is done in an education community that works cooperatively and aims to be great. (Welsh Assembly Government, 2014). </w:t>
      </w:r>
      <w:r w:rsidR="00B01AE2" w:rsidRPr="00B01AE2">
        <w:rPr>
          <w:rFonts w:ascii="Arial" w:hAnsi="Arial" w:cs="Arial"/>
          <w:sz w:val="24"/>
        </w:rPr>
        <w:t>The term community of practice was coined by Jean Leave and Etienne Wenger (1991) as a means of exploring the learning which was based on learning through social practice. (Somekh and Lewin, 2005) Hildreth and Kimble (2004) further add that communities of practice are attracting much interest to academics and consultants as communities of practice allow people to become supported by a generation of new knowledge and skills.  Furthermore, Mitchell et al. (2001) discusses how communities of practice can be split into two sections impacts on individuals and impacts on organisations and practices. McDermott, 2000 cited in Mitchell et al. further explains how communities of practice link people with a common connection or interest who do not have day to day contact with each other.</w:t>
      </w:r>
    </w:p>
    <w:p w:rsidR="00127616" w:rsidRDefault="00956FDA" w:rsidP="00CD5E50">
      <w:pPr>
        <w:spacing w:line="360" w:lineRule="auto"/>
        <w:jc w:val="both"/>
        <w:rPr>
          <w:rFonts w:ascii="Arial" w:hAnsi="Arial" w:cs="Arial"/>
          <w:sz w:val="24"/>
        </w:rPr>
      </w:pPr>
      <w:r w:rsidRPr="00956FDA">
        <w:rPr>
          <w:rFonts w:ascii="Arial" w:hAnsi="Arial" w:cs="Arial"/>
          <w:sz w:val="24"/>
        </w:rPr>
        <w:t>A</w:t>
      </w:r>
      <w:r>
        <w:rPr>
          <w:rFonts w:ascii="Arial" w:hAnsi="Arial" w:cs="Arial"/>
          <w:sz w:val="24"/>
        </w:rPr>
        <w:t xml:space="preserve">ccording to </w:t>
      </w:r>
      <w:r w:rsidR="005C2BBA">
        <w:rPr>
          <w:rFonts w:ascii="Arial" w:hAnsi="Arial" w:cs="Arial"/>
          <w:sz w:val="24"/>
        </w:rPr>
        <w:t>Hagen</w:t>
      </w:r>
      <w:r w:rsidR="00B76F51" w:rsidRPr="00B76F51">
        <w:rPr>
          <w:rFonts w:ascii="Arial" w:hAnsi="Arial" w:cs="Arial"/>
          <w:sz w:val="24"/>
        </w:rPr>
        <w:t xml:space="preserve"> (2009</w:t>
      </w:r>
      <w:r w:rsidRPr="00B76F51">
        <w:rPr>
          <w:rFonts w:ascii="Arial" w:hAnsi="Arial" w:cs="Arial"/>
          <w:sz w:val="24"/>
        </w:rPr>
        <w:t xml:space="preserve">) </w:t>
      </w:r>
      <w:r w:rsidRPr="00956FDA">
        <w:rPr>
          <w:rFonts w:ascii="Arial" w:hAnsi="Arial" w:cs="Arial"/>
          <w:sz w:val="24"/>
        </w:rPr>
        <w:t>mu</w:t>
      </w:r>
      <w:r>
        <w:rPr>
          <w:rFonts w:ascii="Arial" w:hAnsi="Arial" w:cs="Arial"/>
          <w:sz w:val="24"/>
        </w:rPr>
        <w:t xml:space="preserve">lti-agency working is the </w:t>
      </w:r>
      <w:r w:rsidR="00B76F51">
        <w:rPr>
          <w:rFonts w:ascii="Arial" w:hAnsi="Arial" w:cs="Arial"/>
          <w:sz w:val="24"/>
        </w:rPr>
        <w:t>collaboration</w:t>
      </w:r>
      <w:r>
        <w:rPr>
          <w:rFonts w:ascii="Arial" w:hAnsi="Arial" w:cs="Arial"/>
          <w:sz w:val="24"/>
        </w:rPr>
        <w:t xml:space="preserve"> of work between different professional groups, sector</w:t>
      </w:r>
      <w:r w:rsidR="00C570B7">
        <w:rPr>
          <w:rFonts w:ascii="Arial" w:hAnsi="Arial" w:cs="Arial"/>
          <w:sz w:val="24"/>
        </w:rPr>
        <w:t>s or agencies. Alternatively, multi-agency working may involve professionals from the same workplace but from different departments to gain more p</w:t>
      </w:r>
      <w:r w:rsidR="005C2BBA">
        <w:rPr>
          <w:rFonts w:ascii="Arial" w:hAnsi="Arial" w:cs="Arial"/>
          <w:sz w:val="24"/>
        </w:rPr>
        <w:t>erspectives on one matter (Hagen</w:t>
      </w:r>
      <w:r w:rsidR="00C570B7" w:rsidRPr="00B76F51">
        <w:rPr>
          <w:rFonts w:ascii="Arial" w:hAnsi="Arial" w:cs="Arial"/>
          <w:sz w:val="24"/>
        </w:rPr>
        <w:t xml:space="preserve">, </w:t>
      </w:r>
      <w:r w:rsidR="00B76F51" w:rsidRPr="00B76F51">
        <w:rPr>
          <w:rFonts w:ascii="Arial" w:hAnsi="Arial" w:cs="Arial"/>
          <w:sz w:val="24"/>
        </w:rPr>
        <w:t>2009</w:t>
      </w:r>
      <w:r w:rsidR="00C570B7" w:rsidRPr="00B76F51">
        <w:rPr>
          <w:rFonts w:ascii="Arial" w:hAnsi="Arial" w:cs="Arial"/>
          <w:sz w:val="24"/>
        </w:rPr>
        <w:t xml:space="preserve">). </w:t>
      </w:r>
      <w:r w:rsidR="00C570B7">
        <w:rPr>
          <w:rFonts w:ascii="Arial" w:hAnsi="Arial" w:cs="Arial"/>
          <w:sz w:val="24"/>
        </w:rPr>
        <w:t>Moron et al. (2006) further suggests that the Government have implemented multi-agency working to provide young children and families with more coordinated and active services. This multi-agency working enables five outcomes to be met set out by Every Child Matters document (Moron et al. 2006).</w:t>
      </w:r>
      <w:r w:rsidR="00740ACC">
        <w:rPr>
          <w:rFonts w:ascii="Arial" w:hAnsi="Arial" w:cs="Arial"/>
          <w:sz w:val="24"/>
        </w:rPr>
        <w:t xml:space="preserve"> According to Every Child Matters (2005) </w:t>
      </w:r>
      <w:r w:rsidR="00642960">
        <w:rPr>
          <w:rFonts w:ascii="Arial" w:hAnsi="Arial" w:cs="Arial"/>
          <w:sz w:val="24"/>
        </w:rPr>
        <w:t>multi-agency working is an effective way in supporting children and families with additional needs helping them to secure improvements in the future. Also, multi-agency working can reduce the risk of any issues by identifying issues early on (Every Child Matters, 2005)</w:t>
      </w:r>
      <w:r w:rsidR="00301BBD">
        <w:rPr>
          <w:rFonts w:ascii="Arial" w:hAnsi="Arial" w:cs="Arial"/>
          <w:sz w:val="24"/>
        </w:rPr>
        <w:t>.</w:t>
      </w:r>
    </w:p>
    <w:p w:rsidR="00CF66E2" w:rsidRDefault="00B76F51" w:rsidP="007F4FD5">
      <w:pPr>
        <w:spacing w:line="360" w:lineRule="auto"/>
        <w:jc w:val="both"/>
        <w:rPr>
          <w:rFonts w:ascii="Arial" w:hAnsi="Arial" w:cs="Arial"/>
          <w:sz w:val="24"/>
        </w:rPr>
      </w:pPr>
      <w:r>
        <w:rPr>
          <w:rFonts w:ascii="Arial" w:hAnsi="Arial" w:cs="Arial"/>
          <w:sz w:val="24"/>
        </w:rPr>
        <w:t>Moreover</w:t>
      </w:r>
      <w:r w:rsidRPr="00B76F51">
        <w:rPr>
          <w:rFonts w:ascii="Arial" w:hAnsi="Arial" w:cs="Arial"/>
          <w:sz w:val="24"/>
        </w:rPr>
        <w:t>,</w:t>
      </w:r>
      <w:r w:rsidR="005757C3" w:rsidRPr="00B76F51">
        <w:rPr>
          <w:rFonts w:ascii="Arial" w:hAnsi="Arial" w:cs="Arial"/>
          <w:sz w:val="24"/>
        </w:rPr>
        <w:t xml:space="preserve"> </w:t>
      </w:r>
      <w:r w:rsidR="00470737" w:rsidRPr="00B76F51">
        <w:rPr>
          <w:rFonts w:ascii="Arial" w:hAnsi="Arial" w:cs="Arial"/>
          <w:sz w:val="24"/>
        </w:rPr>
        <w:t xml:space="preserve">Atkins (2007) </w:t>
      </w:r>
      <w:r w:rsidR="005757C3">
        <w:rPr>
          <w:rFonts w:ascii="Arial" w:hAnsi="Arial" w:cs="Arial"/>
          <w:sz w:val="24"/>
        </w:rPr>
        <w:t>suggests that multiagency working is beneficia</w:t>
      </w:r>
      <w:r w:rsidR="00470737">
        <w:rPr>
          <w:rFonts w:ascii="Arial" w:hAnsi="Arial" w:cs="Arial"/>
          <w:sz w:val="24"/>
        </w:rPr>
        <w:t>l in impacting practice to</w:t>
      </w:r>
      <w:r w:rsidR="005757C3">
        <w:rPr>
          <w:rFonts w:ascii="Arial" w:hAnsi="Arial" w:cs="Arial"/>
          <w:sz w:val="24"/>
        </w:rPr>
        <w:t xml:space="preserve"> make it effective</w:t>
      </w:r>
      <w:r w:rsidR="00470737">
        <w:rPr>
          <w:rFonts w:ascii="Arial" w:hAnsi="Arial" w:cs="Arial"/>
          <w:sz w:val="24"/>
        </w:rPr>
        <w:t xml:space="preserve"> for the future. Atkins (2007) further</w:t>
      </w:r>
      <w:r w:rsidR="005757C3">
        <w:rPr>
          <w:rFonts w:ascii="Arial" w:hAnsi="Arial" w:cs="Arial"/>
          <w:sz w:val="24"/>
        </w:rPr>
        <w:t xml:space="preserve"> implies that it is beneficial in allowing problem to be worked out</w:t>
      </w:r>
      <w:r>
        <w:rPr>
          <w:rFonts w:ascii="Arial" w:hAnsi="Arial" w:cs="Arial"/>
          <w:sz w:val="24"/>
        </w:rPr>
        <w:t xml:space="preserve"> together and take a</w:t>
      </w:r>
      <w:r w:rsidR="005757C3">
        <w:rPr>
          <w:rFonts w:ascii="Arial" w:hAnsi="Arial" w:cs="Arial"/>
          <w:sz w:val="24"/>
        </w:rPr>
        <w:t xml:space="preserve"> holistic approach and improve understanding</w:t>
      </w:r>
      <w:r w:rsidR="00FA078E">
        <w:rPr>
          <w:rFonts w:ascii="Arial" w:hAnsi="Arial" w:cs="Arial"/>
          <w:sz w:val="24"/>
        </w:rPr>
        <w:t xml:space="preserve"> between the differen</w:t>
      </w:r>
      <w:r w:rsidR="00470737">
        <w:rPr>
          <w:rFonts w:ascii="Arial" w:hAnsi="Arial" w:cs="Arial"/>
          <w:sz w:val="24"/>
        </w:rPr>
        <w:t>t agencies. Atkins (2007)</w:t>
      </w:r>
      <w:r w:rsidR="00FA078E">
        <w:rPr>
          <w:rFonts w:ascii="Arial" w:hAnsi="Arial" w:cs="Arial"/>
          <w:sz w:val="24"/>
        </w:rPr>
        <w:t xml:space="preserve"> further indicates that multi-agency benefits working </w:t>
      </w:r>
      <w:r w:rsidR="00470737">
        <w:rPr>
          <w:rFonts w:ascii="Arial" w:hAnsi="Arial" w:cs="Arial"/>
          <w:sz w:val="24"/>
        </w:rPr>
        <w:t>partnerships</w:t>
      </w:r>
      <w:r w:rsidR="00FA078E">
        <w:rPr>
          <w:rFonts w:ascii="Arial" w:hAnsi="Arial" w:cs="Arial"/>
          <w:sz w:val="24"/>
        </w:rPr>
        <w:t xml:space="preserve"> with the different agencies. This will help increase </w:t>
      </w:r>
      <w:r w:rsidR="00470737">
        <w:rPr>
          <w:rFonts w:ascii="Arial" w:hAnsi="Arial" w:cs="Arial"/>
          <w:sz w:val="24"/>
        </w:rPr>
        <w:t>practice</w:t>
      </w:r>
      <w:r w:rsidR="00FA078E">
        <w:rPr>
          <w:rFonts w:ascii="Arial" w:hAnsi="Arial" w:cs="Arial"/>
          <w:sz w:val="24"/>
        </w:rPr>
        <w:t xml:space="preserve"> and </w:t>
      </w:r>
      <w:r w:rsidR="00470737">
        <w:rPr>
          <w:rFonts w:ascii="Arial" w:hAnsi="Arial" w:cs="Arial"/>
          <w:sz w:val="24"/>
        </w:rPr>
        <w:t>allow</w:t>
      </w:r>
      <w:r w:rsidR="00FA078E">
        <w:rPr>
          <w:rFonts w:ascii="Arial" w:hAnsi="Arial" w:cs="Arial"/>
          <w:sz w:val="24"/>
        </w:rPr>
        <w:t xml:space="preserve"> practice to become more effective (Atkins, 2007)</w:t>
      </w:r>
      <w:r w:rsidR="00687035">
        <w:rPr>
          <w:rFonts w:ascii="Arial" w:hAnsi="Arial" w:cs="Arial"/>
          <w:sz w:val="24"/>
        </w:rPr>
        <w:t>.</w:t>
      </w:r>
      <w:r w:rsidR="00EE4354">
        <w:rPr>
          <w:rFonts w:ascii="Arial" w:hAnsi="Arial" w:cs="Arial"/>
          <w:sz w:val="24"/>
        </w:rPr>
        <w:t xml:space="preserve"> However, </w:t>
      </w:r>
      <w:r w:rsidR="002332D3" w:rsidRPr="002332D3">
        <w:rPr>
          <w:rFonts w:ascii="Arial" w:hAnsi="Arial" w:cs="Arial"/>
          <w:sz w:val="24"/>
        </w:rPr>
        <w:t>Lindon (1997)</w:t>
      </w:r>
      <w:r w:rsidR="00EE4354">
        <w:rPr>
          <w:rFonts w:ascii="Arial" w:hAnsi="Arial" w:cs="Arial"/>
          <w:sz w:val="24"/>
        </w:rPr>
        <w:t xml:space="preserve"> implies that</w:t>
      </w:r>
      <w:r w:rsidR="002332D3" w:rsidRPr="002332D3">
        <w:rPr>
          <w:rFonts w:ascii="Arial" w:hAnsi="Arial" w:cs="Arial"/>
          <w:sz w:val="24"/>
        </w:rPr>
        <w:t xml:space="preserve"> partnerships with parents have signalled a more equal relationship between with parents and carers rather than involving parents and carers on the centres terms. Lindon (2010) further suggests that both parents and carers have an equal opinion as does the centre.  The Welsh Assembly Government (2015) synthesises with Lindon (1997) as the Foundation Phase Curriculum sets out to foster positive relationships with parents/carers as the curriculum recognises that the parents/carers are the child’s first educators. (Welsh Assembly Government)</w:t>
      </w:r>
      <w:r w:rsidR="00EE4354">
        <w:rPr>
          <w:rFonts w:ascii="Arial" w:hAnsi="Arial" w:cs="Arial"/>
          <w:sz w:val="24"/>
        </w:rPr>
        <w:t>. The Early C</w:t>
      </w:r>
      <w:r w:rsidR="00FD7BE0">
        <w:rPr>
          <w:rFonts w:ascii="Arial" w:hAnsi="Arial" w:cs="Arial"/>
          <w:sz w:val="24"/>
        </w:rPr>
        <w:t>hildhood Curriculum (no date</w:t>
      </w:r>
      <w:r w:rsidR="00EE4354">
        <w:rPr>
          <w:rFonts w:ascii="Arial" w:hAnsi="Arial" w:cs="Arial"/>
          <w:sz w:val="24"/>
        </w:rPr>
        <w:t xml:space="preserve">) agrees with this by further adding that parents are the most important people in </w:t>
      </w:r>
      <w:r>
        <w:rPr>
          <w:rFonts w:ascii="Arial" w:hAnsi="Arial" w:cs="Arial"/>
          <w:sz w:val="24"/>
        </w:rPr>
        <w:t>children’s</w:t>
      </w:r>
      <w:r w:rsidR="00EE4354">
        <w:rPr>
          <w:rFonts w:ascii="Arial" w:hAnsi="Arial" w:cs="Arial"/>
          <w:sz w:val="24"/>
        </w:rPr>
        <w:t xml:space="preserve"> lives in the early stages. Also, how parents can support the </w:t>
      </w:r>
      <w:r>
        <w:rPr>
          <w:rFonts w:ascii="Arial" w:hAnsi="Arial" w:cs="Arial"/>
          <w:sz w:val="24"/>
        </w:rPr>
        <w:t>child’s</w:t>
      </w:r>
      <w:r w:rsidR="00EE4354">
        <w:rPr>
          <w:rFonts w:ascii="Arial" w:hAnsi="Arial" w:cs="Arial"/>
          <w:sz w:val="24"/>
        </w:rPr>
        <w:t xml:space="preserve"> learning though the setting by working together in partnership. The partnership will then allow the parents and practitioners to work together to enhance the child’s learning and development (The Early Childhood Curriculum, no date). The practitioner will need to </w:t>
      </w:r>
      <w:r>
        <w:rPr>
          <w:rFonts w:ascii="Arial" w:hAnsi="Arial" w:cs="Arial"/>
          <w:sz w:val="24"/>
        </w:rPr>
        <w:t>keep</w:t>
      </w:r>
      <w:r w:rsidR="00EE4354">
        <w:rPr>
          <w:rFonts w:ascii="Arial" w:hAnsi="Arial" w:cs="Arial"/>
          <w:sz w:val="24"/>
        </w:rPr>
        <w:t xml:space="preserve"> any information shared by the parents </w:t>
      </w:r>
      <w:r w:rsidR="00CF66E2">
        <w:rPr>
          <w:rFonts w:ascii="Arial" w:hAnsi="Arial" w:cs="Arial"/>
          <w:sz w:val="24"/>
        </w:rPr>
        <w:t xml:space="preserve">confidential unless there is genuine concern for the safety of the child (The Early Childhood Curriculum, no date). This can closely link to the </w:t>
      </w:r>
      <w:r>
        <w:rPr>
          <w:rFonts w:ascii="Arial" w:hAnsi="Arial" w:cs="Arial"/>
          <w:sz w:val="24"/>
        </w:rPr>
        <w:t>common</w:t>
      </w:r>
      <w:r w:rsidR="00CF66E2">
        <w:rPr>
          <w:rFonts w:ascii="Arial" w:hAnsi="Arial" w:cs="Arial"/>
          <w:sz w:val="24"/>
        </w:rPr>
        <w:t xml:space="preserve"> core skills that every practitioner needs to be aware which is set out by the Children’s Workforce Development</w:t>
      </w:r>
      <w:r w:rsidR="00301BBD">
        <w:rPr>
          <w:rFonts w:ascii="Arial" w:hAnsi="Arial" w:cs="Arial"/>
          <w:sz w:val="24"/>
        </w:rPr>
        <w:t xml:space="preserve"> Council (2010). One core skill</w:t>
      </w:r>
      <w:r w:rsidR="00CF66E2">
        <w:rPr>
          <w:rFonts w:ascii="Arial" w:hAnsi="Arial" w:cs="Arial"/>
          <w:sz w:val="24"/>
        </w:rPr>
        <w:t xml:space="preserve"> is information sharing and a practitioner must know how and when to share information </w:t>
      </w:r>
      <w:r w:rsidR="00301BBD">
        <w:rPr>
          <w:rFonts w:ascii="Arial" w:hAnsi="Arial" w:cs="Arial"/>
          <w:sz w:val="24"/>
        </w:rPr>
        <w:t>to</w:t>
      </w:r>
      <w:r w:rsidR="00CF66E2">
        <w:rPr>
          <w:rFonts w:ascii="Arial" w:hAnsi="Arial" w:cs="Arial"/>
          <w:sz w:val="24"/>
        </w:rPr>
        <w:t xml:space="preserve"> provide a better service for young children and families. Another key skill practitioners need is communication and being able to communicate with young </w:t>
      </w:r>
      <w:r>
        <w:rPr>
          <w:rFonts w:ascii="Arial" w:hAnsi="Arial" w:cs="Arial"/>
          <w:sz w:val="24"/>
        </w:rPr>
        <w:t>children</w:t>
      </w:r>
      <w:r w:rsidR="00CF66E2">
        <w:rPr>
          <w:rFonts w:ascii="Arial" w:hAnsi="Arial" w:cs="Arial"/>
          <w:sz w:val="24"/>
        </w:rPr>
        <w:t xml:space="preserve"> and families is vital. Having this skill is central to building up positive relationships with families </w:t>
      </w:r>
      <w:r w:rsidR="00F32A4C">
        <w:rPr>
          <w:rFonts w:ascii="Arial" w:hAnsi="Arial" w:cs="Arial"/>
          <w:sz w:val="24"/>
        </w:rPr>
        <w:t>to</w:t>
      </w:r>
      <w:r w:rsidR="00CF66E2">
        <w:rPr>
          <w:rFonts w:ascii="Arial" w:hAnsi="Arial" w:cs="Arial"/>
          <w:sz w:val="24"/>
        </w:rPr>
        <w:t xml:space="preserve"> provide a better service (The Children’s Workforce Development Council, 2010).</w:t>
      </w:r>
    </w:p>
    <w:p w:rsidR="00EE4354" w:rsidRDefault="00871939" w:rsidP="007F4FD5">
      <w:pPr>
        <w:spacing w:line="360" w:lineRule="auto"/>
        <w:jc w:val="both"/>
        <w:rPr>
          <w:rFonts w:ascii="Arial" w:hAnsi="Arial" w:cs="Arial"/>
          <w:sz w:val="24"/>
        </w:rPr>
      </w:pPr>
      <w:r>
        <w:rPr>
          <w:rFonts w:ascii="Arial" w:hAnsi="Arial" w:cs="Arial"/>
          <w:sz w:val="24"/>
        </w:rPr>
        <w:t xml:space="preserve">To conclude this paper there have been two models of reflection discussed within the paper </w:t>
      </w:r>
      <w:r w:rsidR="003473F2">
        <w:rPr>
          <w:rFonts w:ascii="Arial" w:hAnsi="Arial" w:cs="Arial"/>
          <w:sz w:val="24"/>
        </w:rPr>
        <w:t>detailing the similarities and difference between the two of them. Also discussed was reflection and critical reflection and the importance both play on the effectiveness of practice. One last key issue explored though this paper was the importance of multiagency working within practice to provide families and young children with efficient and quality services. There have also been clear references and links to theory included within the paper.</w:t>
      </w:r>
    </w:p>
    <w:p w:rsidR="00EE4354" w:rsidRDefault="00EE4354" w:rsidP="007F4FD5">
      <w:pPr>
        <w:spacing w:line="360" w:lineRule="auto"/>
        <w:jc w:val="both"/>
        <w:rPr>
          <w:rFonts w:ascii="Arial" w:hAnsi="Arial" w:cs="Arial"/>
          <w:sz w:val="24"/>
        </w:rPr>
      </w:pPr>
    </w:p>
    <w:p w:rsidR="00EE4354" w:rsidRDefault="00EE4354" w:rsidP="007F4FD5">
      <w:pPr>
        <w:spacing w:line="360" w:lineRule="auto"/>
        <w:jc w:val="both"/>
        <w:rPr>
          <w:rFonts w:ascii="Arial" w:hAnsi="Arial" w:cs="Arial"/>
          <w:sz w:val="24"/>
        </w:rPr>
      </w:pPr>
    </w:p>
    <w:p w:rsidR="002332D3" w:rsidRDefault="002332D3" w:rsidP="007F4FD5">
      <w:pPr>
        <w:spacing w:line="360" w:lineRule="auto"/>
        <w:jc w:val="both"/>
        <w:rPr>
          <w:rFonts w:ascii="Arial" w:hAnsi="Arial" w:cs="Arial"/>
          <w:sz w:val="24"/>
        </w:rPr>
      </w:pPr>
    </w:p>
    <w:p w:rsidR="00E95A51" w:rsidRDefault="00E95A51" w:rsidP="007F4FD5">
      <w:pPr>
        <w:spacing w:line="360" w:lineRule="auto"/>
        <w:jc w:val="both"/>
      </w:pPr>
    </w:p>
    <w:p w:rsidR="00CD3B9C" w:rsidRDefault="00CD3B9C" w:rsidP="002669CB">
      <w:pPr>
        <w:spacing w:line="360" w:lineRule="auto"/>
        <w:rPr>
          <w:rFonts w:ascii="Arial" w:hAnsi="Arial" w:cs="Arial"/>
          <w:sz w:val="24"/>
        </w:rPr>
      </w:pPr>
      <w:r>
        <w:rPr>
          <w:rFonts w:ascii="Arial" w:hAnsi="Arial" w:cs="Arial"/>
          <w:sz w:val="24"/>
        </w:rPr>
        <w:t>References:</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Atkins, M. Jones, M. Lamont, E. (2007) ‘Multi-agency working and its implications for practice.’ Available at: </w:t>
      </w:r>
      <w:hyperlink r:id="rId6" w:history="1">
        <w:r w:rsidRPr="008B1F24">
          <w:rPr>
            <w:rStyle w:val="Hyperlink"/>
            <w:rFonts w:ascii="Arial" w:hAnsi="Arial" w:cs="Arial"/>
            <w:sz w:val="24"/>
          </w:rPr>
          <w:t>https://www.nfer.ac.uk/publications/MAD01/MAD01.pdf</w:t>
        </w:r>
      </w:hyperlink>
      <w:r>
        <w:rPr>
          <w:rFonts w:ascii="Arial" w:hAnsi="Arial" w:cs="Arial"/>
          <w:sz w:val="24"/>
        </w:rPr>
        <w:t xml:space="preserve"> </w:t>
      </w:r>
      <w:r w:rsidRPr="002669CB">
        <w:rPr>
          <w:rFonts w:ascii="Arial" w:hAnsi="Arial" w:cs="Arial"/>
          <w:sz w:val="24"/>
        </w:rPr>
        <w:t xml:space="preserve">  [Accessed on: 2nd November 2017]</w:t>
      </w:r>
    </w:p>
    <w:p w:rsidR="002669CB" w:rsidRPr="002669CB" w:rsidRDefault="002669CB" w:rsidP="002669CB">
      <w:pPr>
        <w:spacing w:line="360" w:lineRule="auto"/>
        <w:rPr>
          <w:rFonts w:ascii="Arial" w:hAnsi="Arial" w:cs="Arial"/>
          <w:sz w:val="24"/>
        </w:rPr>
      </w:pPr>
      <w:r>
        <w:rPr>
          <w:rFonts w:ascii="Arial" w:hAnsi="Arial" w:cs="Arial"/>
          <w:sz w:val="24"/>
        </w:rPr>
        <w:t xml:space="preserve">Canning, N and Reed, M. (2010) </w:t>
      </w:r>
      <w:r w:rsidRPr="002669CB">
        <w:rPr>
          <w:rFonts w:ascii="Arial" w:hAnsi="Arial" w:cs="Arial"/>
          <w:i/>
          <w:sz w:val="24"/>
        </w:rPr>
        <w:t>Reflective Practice in the Early Years</w:t>
      </w:r>
      <w:r w:rsidRPr="002669CB">
        <w:rPr>
          <w:rFonts w:ascii="Arial" w:hAnsi="Arial" w:cs="Arial"/>
          <w:sz w:val="24"/>
        </w:rPr>
        <w:t xml:space="preserve"> Sage Publishers: London.</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Cambridge. (no date) ‘Reflective practice in practice.’ Available at: </w:t>
      </w:r>
      <w:hyperlink r:id="rId7" w:history="1">
        <w:r w:rsidRPr="008B1F24">
          <w:rPr>
            <w:rStyle w:val="Hyperlink"/>
            <w:rFonts w:ascii="Arial" w:hAnsi="Arial" w:cs="Arial"/>
            <w:sz w:val="24"/>
          </w:rPr>
          <w:t>https://www.cambridge-community.org.uk/professional-development/gswrp/index.html</w:t>
        </w:r>
      </w:hyperlink>
      <w:r>
        <w:rPr>
          <w:rFonts w:ascii="Arial" w:hAnsi="Arial" w:cs="Arial"/>
          <w:sz w:val="24"/>
        </w:rPr>
        <w:t xml:space="preserve"> </w:t>
      </w:r>
      <w:r w:rsidRPr="002669CB">
        <w:rPr>
          <w:rFonts w:ascii="Arial" w:hAnsi="Arial" w:cs="Arial"/>
          <w:sz w:val="24"/>
        </w:rPr>
        <w:t>Accessed on: 30th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Care and Social Services Inspectorate. (2013) ‘Baseline and focused inspections.’ Available at: </w:t>
      </w:r>
      <w:hyperlink r:id="rId8" w:history="1">
        <w:r w:rsidRPr="008B1F24">
          <w:rPr>
            <w:rStyle w:val="Hyperlink"/>
            <w:rFonts w:ascii="Arial" w:hAnsi="Arial" w:cs="Arial"/>
            <w:sz w:val="24"/>
          </w:rPr>
          <w:t>http://cssiw.org.uk/docs/cssiw/general/140730baselineinspectionguideen.pdf</w:t>
        </w:r>
      </w:hyperlink>
      <w:r>
        <w:rPr>
          <w:rFonts w:ascii="Arial" w:hAnsi="Arial" w:cs="Arial"/>
          <w:sz w:val="24"/>
        </w:rPr>
        <w:t xml:space="preserve"> </w:t>
      </w:r>
      <w:r w:rsidRPr="002669CB">
        <w:rPr>
          <w:rFonts w:ascii="Arial" w:hAnsi="Arial" w:cs="Arial"/>
          <w:sz w:val="24"/>
        </w:rPr>
        <w:t xml:space="preserve"> [Accessed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Care and Social Services Inspectorate. (2017) ‘What we do’ Available at: </w:t>
      </w:r>
      <w:hyperlink r:id="rId9" w:history="1">
        <w:r w:rsidRPr="008B1F24">
          <w:rPr>
            <w:rStyle w:val="Hyperlink"/>
            <w:rFonts w:ascii="Arial" w:hAnsi="Arial" w:cs="Arial"/>
            <w:sz w:val="24"/>
          </w:rPr>
          <w:t>http://cssiw.org.uk/about/what-we-do/?lang=en</w:t>
        </w:r>
      </w:hyperlink>
      <w:r>
        <w:rPr>
          <w:rFonts w:ascii="Arial" w:hAnsi="Arial" w:cs="Arial"/>
          <w:sz w:val="24"/>
        </w:rPr>
        <w:t xml:space="preserve"> </w:t>
      </w:r>
      <w:r w:rsidRPr="002669CB">
        <w:rPr>
          <w:rFonts w:ascii="Arial" w:hAnsi="Arial" w:cs="Arial"/>
          <w:sz w:val="24"/>
        </w:rPr>
        <w:t>[Accessed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Children’s Workforce Development Council. (2010) ‘The common core of skills and knowledge for children and young people’s workforce’ Available at: </w:t>
      </w:r>
      <w:hyperlink r:id="rId10" w:history="1">
        <w:r w:rsidRPr="008B1F24">
          <w:rPr>
            <w:rStyle w:val="Hyperlink"/>
            <w:rFonts w:ascii="Arial" w:hAnsi="Arial" w:cs="Arial"/>
            <w:sz w:val="24"/>
          </w:rPr>
          <w:t>http://moodle.uwtsd.ac.uk/pluginfile.php/97427/mod_resource/content/1/common_core_skills_factsheet.pdf</w:t>
        </w:r>
      </w:hyperlink>
      <w:r>
        <w:rPr>
          <w:rFonts w:ascii="Arial" w:hAnsi="Arial" w:cs="Arial"/>
          <w:sz w:val="24"/>
        </w:rPr>
        <w:t xml:space="preserve"> </w:t>
      </w:r>
      <w:r w:rsidRPr="002669CB">
        <w:rPr>
          <w:rFonts w:ascii="Arial" w:hAnsi="Arial" w:cs="Arial"/>
          <w:sz w:val="24"/>
        </w:rPr>
        <w:t>[Accessed on: 2nd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Coffey, H. (no date) ‘Zone of proximal development.’ Available at: </w:t>
      </w:r>
      <w:hyperlink r:id="rId11" w:history="1">
        <w:r w:rsidRPr="008B1F24">
          <w:rPr>
            <w:rStyle w:val="Hyperlink"/>
            <w:rFonts w:ascii="Arial" w:hAnsi="Arial" w:cs="Arial"/>
            <w:sz w:val="24"/>
          </w:rPr>
          <w:t>http://www.learnnc.org/lp/pages/5075</w:t>
        </w:r>
      </w:hyperlink>
      <w:r>
        <w:rPr>
          <w:rFonts w:ascii="Arial" w:hAnsi="Arial" w:cs="Arial"/>
          <w:sz w:val="24"/>
        </w:rPr>
        <w:t xml:space="preserve"> </w:t>
      </w:r>
      <w:r w:rsidRPr="002669CB">
        <w:rPr>
          <w:rFonts w:ascii="Arial" w:hAnsi="Arial" w:cs="Arial"/>
          <w:sz w:val="24"/>
        </w:rPr>
        <w:t xml:space="preserve"> [Accessed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Every Child Matters. (2005) ‘Multi-agency working’ Available at: </w:t>
      </w:r>
      <w:hyperlink r:id="rId12" w:history="1">
        <w:r w:rsidRPr="008B1F24">
          <w:rPr>
            <w:rStyle w:val="Hyperlink"/>
            <w:rFonts w:ascii="Arial" w:hAnsi="Arial" w:cs="Arial"/>
            <w:sz w:val="24"/>
          </w:rPr>
          <w:t>http://www.wokingham.gov.uk/EasysiteWeb/getresource.axd?AssetID=75433&amp;</w:t>
        </w:r>
      </w:hyperlink>
      <w:r>
        <w:rPr>
          <w:rFonts w:ascii="Arial" w:hAnsi="Arial" w:cs="Arial"/>
          <w:sz w:val="24"/>
        </w:rPr>
        <w:t xml:space="preserve"> </w:t>
      </w:r>
      <w:r w:rsidRPr="002669CB">
        <w:rPr>
          <w:rFonts w:ascii="Arial" w:hAnsi="Arial" w:cs="Arial"/>
          <w:sz w:val="24"/>
        </w:rPr>
        <w:t xml:space="preserve"> [Accessed on: 2nd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Finlay, L. (2008) ‘Reflecting on reflective practice.’ Available at: </w:t>
      </w:r>
      <w:hyperlink r:id="rId13" w:history="1">
        <w:r w:rsidRPr="008B1F24">
          <w:rPr>
            <w:rStyle w:val="Hyperlink"/>
            <w:rFonts w:ascii="Arial" w:hAnsi="Arial" w:cs="Arial"/>
            <w:sz w:val="24"/>
          </w:rPr>
          <w:t>https://pdfs.semanticscholar.org/c128/691f2615de873dfe544fcb5dc902fe812675.pdf</w:t>
        </w:r>
      </w:hyperlink>
      <w:r>
        <w:rPr>
          <w:rFonts w:ascii="Arial" w:hAnsi="Arial" w:cs="Arial"/>
          <w:sz w:val="24"/>
        </w:rPr>
        <w:t xml:space="preserve"> </w:t>
      </w:r>
      <w:r w:rsidRPr="002669CB">
        <w:rPr>
          <w:rFonts w:ascii="Arial" w:hAnsi="Arial" w:cs="Arial"/>
          <w:sz w:val="24"/>
        </w:rPr>
        <w:t>[Accessed on: 27th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Fox, J. (2004) ‘Reflective practice’ Available at: </w:t>
      </w:r>
      <w:hyperlink r:id="rId14" w:history="1">
        <w:r w:rsidRPr="008B1F24">
          <w:rPr>
            <w:rStyle w:val="Hyperlink"/>
            <w:rFonts w:ascii="Arial" w:hAnsi="Arial" w:cs="Arial"/>
            <w:sz w:val="24"/>
          </w:rPr>
          <w:t>http://www.childcentredpractice.co.uk/Websites/ccp1/files/Content/1355573/Relfective%20Practice.pdf</w:t>
        </w:r>
      </w:hyperlink>
      <w:r>
        <w:rPr>
          <w:rFonts w:ascii="Arial" w:hAnsi="Arial" w:cs="Arial"/>
          <w:sz w:val="24"/>
        </w:rPr>
        <w:t xml:space="preserve"> </w:t>
      </w:r>
      <w:r w:rsidRPr="002669CB">
        <w:rPr>
          <w:rFonts w:ascii="Arial" w:hAnsi="Arial" w:cs="Arial"/>
          <w:sz w:val="24"/>
        </w:rPr>
        <w:t>[Accessed: 26th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Gaynor, A. (2013) ‘Gibbs reflective cycle.’ Available at: </w:t>
      </w:r>
      <w:hyperlink r:id="rId15" w:history="1">
        <w:r w:rsidRPr="008B1F24">
          <w:rPr>
            <w:rStyle w:val="Hyperlink"/>
            <w:rFonts w:ascii="Arial" w:hAnsi="Arial" w:cs="Arial"/>
            <w:sz w:val="24"/>
          </w:rPr>
          <w:t>https://hhs.hud.ac.uk/lqsu/Sessionsforall/supp/Gibbs%201988%20reflective%20cycle.pdf</w:t>
        </w:r>
      </w:hyperlink>
      <w:r>
        <w:rPr>
          <w:rFonts w:ascii="Arial" w:hAnsi="Arial" w:cs="Arial"/>
          <w:sz w:val="24"/>
        </w:rPr>
        <w:t xml:space="preserve"> </w:t>
      </w:r>
      <w:r w:rsidRPr="002669CB">
        <w:rPr>
          <w:rFonts w:ascii="Arial" w:hAnsi="Arial" w:cs="Arial"/>
          <w:sz w:val="24"/>
        </w:rPr>
        <w:t>[Accessed on: 30th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Hildreth, P and Kimble, C. (2004) ‘Knowledge Networks: innovation through communities of practice.’ Idea Group Publishing: London [E-book] Available at: </w:t>
      </w:r>
      <w:hyperlink r:id="rId16" w:anchor="v=onepage&amp;q&amp;f=false" w:history="1">
        <w:r w:rsidRPr="008B1F24">
          <w:rPr>
            <w:rStyle w:val="Hyperlink"/>
            <w:rFonts w:ascii="Arial" w:hAnsi="Arial" w:cs="Arial"/>
            <w:sz w:val="24"/>
          </w:rPr>
          <w:t>https://books.google.co.uk/books?hl=en&amp;lr=&amp;id=4ANHY1c6b6YC&amp;oi=fnd&amp;pg=PP1&amp;dq=communities+of+practice&amp;ots=8_7KIlcgH_&amp;sig=mYwXf4tswLlkmqe5ZnCUXOui9so#v=onepage&amp;q&amp;f=false</w:t>
        </w:r>
      </w:hyperlink>
      <w:r>
        <w:rPr>
          <w:rFonts w:ascii="Arial" w:hAnsi="Arial" w:cs="Arial"/>
          <w:sz w:val="24"/>
        </w:rPr>
        <w:t xml:space="preserve"> </w:t>
      </w:r>
      <w:r w:rsidRPr="002669CB">
        <w:rPr>
          <w:rFonts w:ascii="Arial" w:hAnsi="Arial" w:cs="Arial"/>
          <w:sz w:val="24"/>
        </w:rPr>
        <w:t>Accessed on: 15th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Hagen, S. Dogra, N. Kitchen, C. (2009</w:t>
      </w:r>
      <w:r w:rsidRPr="002669CB">
        <w:rPr>
          <w:rFonts w:ascii="Arial" w:hAnsi="Arial" w:cs="Arial"/>
          <w:i/>
          <w:sz w:val="24"/>
        </w:rPr>
        <w:t xml:space="preserve">) Nursing in child and adolescent mental health </w:t>
      </w:r>
      <w:r>
        <w:rPr>
          <w:rFonts w:ascii="Arial" w:hAnsi="Arial" w:cs="Arial"/>
          <w:sz w:val="24"/>
        </w:rPr>
        <w:t>England</w:t>
      </w:r>
      <w:r w:rsidRPr="002669CB">
        <w:rPr>
          <w:rFonts w:ascii="Arial" w:hAnsi="Arial" w:cs="Arial"/>
          <w:sz w:val="24"/>
        </w:rPr>
        <w:t xml:space="preserve"> </w:t>
      </w:r>
      <w:r>
        <w:rPr>
          <w:rFonts w:ascii="Arial" w:hAnsi="Arial" w:cs="Arial"/>
          <w:sz w:val="24"/>
        </w:rPr>
        <w:t>:</w:t>
      </w:r>
      <w:r w:rsidRPr="002669CB">
        <w:rPr>
          <w:rFonts w:ascii="Arial" w:hAnsi="Arial" w:cs="Arial"/>
          <w:sz w:val="24"/>
        </w:rPr>
        <w:t xml:space="preserve">McGraw Hill Education. [e-book] Available at: </w:t>
      </w:r>
      <w:hyperlink r:id="rId17" w:anchor="v=onepage&amp;q=multi%20agency%20working&amp;f=false" w:history="1">
        <w:r w:rsidRPr="008B1F24">
          <w:rPr>
            <w:rStyle w:val="Hyperlink"/>
            <w:rFonts w:ascii="Arial" w:hAnsi="Arial" w:cs="Arial"/>
            <w:sz w:val="24"/>
          </w:rPr>
          <w:t>https://books.google.co.uk/books?hl=en&amp;lr=&amp;id=2dB4PhdoTHQC&amp;oi=fnd&amp;pg=PA134&amp;dq=multi+agency+working&amp;ots=NifLwMrce5&amp;sig=4f2x8K0bYWR4joQIjwLM7U96RjM#v=onepage&amp;q=multi%20agency%20working&amp;f=false</w:t>
        </w:r>
      </w:hyperlink>
      <w:r>
        <w:rPr>
          <w:rFonts w:ascii="Arial" w:hAnsi="Arial" w:cs="Arial"/>
          <w:sz w:val="24"/>
        </w:rPr>
        <w:t xml:space="preserve"> </w:t>
      </w:r>
      <w:r w:rsidRPr="002669CB">
        <w:rPr>
          <w:rFonts w:ascii="Arial" w:hAnsi="Arial" w:cs="Arial"/>
          <w:sz w:val="24"/>
        </w:rPr>
        <w:t>[</w:t>
      </w:r>
      <w:r>
        <w:rPr>
          <w:rFonts w:ascii="Arial" w:hAnsi="Arial" w:cs="Arial"/>
          <w:sz w:val="24"/>
        </w:rPr>
        <w:t>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Instructional Design. (2015) ‘Social Learning Theory (Albert Bandura)’ Available at: </w:t>
      </w:r>
      <w:hyperlink r:id="rId18" w:history="1">
        <w:r w:rsidRPr="008B1F24">
          <w:rPr>
            <w:rStyle w:val="Hyperlink"/>
            <w:rFonts w:ascii="Arial" w:hAnsi="Arial" w:cs="Arial"/>
            <w:sz w:val="24"/>
          </w:rPr>
          <w:t>http://www.instructionaldesign.org/theories/social-learning.html</w:t>
        </w:r>
      </w:hyperlink>
      <w:r>
        <w:rPr>
          <w:rFonts w:ascii="Arial" w:hAnsi="Arial" w:cs="Arial"/>
          <w:sz w:val="24"/>
        </w:rPr>
        <w:t xml:space="preserve"> </w:t>
      </w:r>
      <w:r w:rsidRPr="002669CB">
        <w:rPr>
          <w:rFonts w:ascii="Arial" w:hAnsi="Arial" w:cs="Arial"/>
          <w:sz w:val="24"/>
        </w:rPr>
        <w:t>[Accessed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Jayatilleke, N. Mackie, A. (2013) Reflection as part of continuous professional development for public health professionals: a literature review, </w:t>
      </w:r>
      <w:r w:rsidRPr="002669CB">
        <w:rPr>
          <w:rFonts w:ascii="Arial" w:hAnsi="Arial" w:cs="Arial"/>
          <w:i/>
          <w:sz w:val="24"/>
        </w:rPr>
        <w:t>Journal of Public Health,</w:t>
      </w:r>
      <w:r w:rsidRPr="002669CB">
        <w:rPr>
          <w:rFonts w:ascii="Arial" w:hAnsi="Arial" w:cs="Arial"/>
          <w:sz w:val="24"/>
        </w:rPr>
        <w:t xml:space="preserve"> 35:2, June, pp308-312.</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Lee, G. Barnett, B. (1994) Using reflective questioning to promote collaborative dialogue, </w:t>
      </w:r>
      <w:r w:rsidRPr="002669CB">
        <w:rPr>
          <w:rFonts w:ascii="Arial" w:hAnsi="Arial" w:cs="Arial"/>
          <w:i/>
          <w:sz w:val="24"/>
        </w:rPr>
        <w:t>Journal of staff</w:t>
      </w:r>
      <w:r w:rsidRPr="002669CB">
        <w:rPr>
          <w:rFonts w:ascii="Arial" w:hAnsi="Arial" w:cs="Arial"/>
          <w:sz w:val="24"/>
        </w:rPr>
        <w:t xml:space="preserve"> </w:t>
      </w:r>
      <w:r w:rsidRPr="002669CB">
        <w:rPr>
          <w:rFonts w:ascii="Arial" w:hAnsi="Arial" w:cs="Arial"/>
          <w:i/>
          <w:sz w:val="24"/>
        </w:rPr>
        <w:t>development,</w:t>
      </w:r>
      <w:r w:rsidRPr="002669CB">
        <w:rPr>
          <w:rFonts w:ascii="Arial" w:hAnsi="Arial" w:cs="Arial"/>
          <w:sz w:val="24"/>
        </w:rPr>
        <w:t xml:space="preserve"> 15:1, Winter, pp16- 21.</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Lia, P. (2016) ‘Using Gibbs reflective model’ Available at: </w:t>
      </w:r>
      <w:hyperlink r:id="rId19" w:history="1">
        <w:r w:rsidRPr="008B1F24">
          <w:rPr>
            <w:rStyle w:val="Hyperlink"/>
            <w:rFonts w:ascii="Arial" w:hAnsi="Arial" w:cs="Arial"/>
            <w:sz w:val="24"/>
          </w:rPr>
          <w:t>https://www.kcl.ac.uk/campuslife/services/disability/onlineresources/StudyGuides/USING-GIBBS-REFLECTIVE-CYCLE-IN-COURSEWORK-DEC-2016-P-LIA.pdf</w:t>
        </w:r>
      </w:hyperlink>
      <w:r>
        <w:rPr>
          <w:rFonts w:ascii="Arial" w:hAnsi="Arial" w:cs="Arial"/>
          <w:sz w:val="24"/>
        </w:rPr>
        <w:t xml:space="preserve"> </w:t>
      </w:r>
      <w:r w:rsidRPr="002669CB">
        <w:rPr>
          <w:rFonts w:ascii="Arial" w:hAnsi="Arial" w:cs="Arial"/>
          <w:sz w:val="24"/>
        </w:rPr>
        <w:t xml:space="preserve">  [Accessed on: 30th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Lindon, L and Lindon, J. (1997) </w:t>
      </w:r>
      <w:r w:rsidRPr="002669CB">
        <w:rPr>
          <w:rFonts w:ascii="Arial" w:hAnsi="Arial" w:cs="Arial"/>
          <w:i/>
          <w:sz w:val="24"/>
        </w:rPr>
        <w:t>Working together for young children</w:t>
      </w:r>
      <w:r w:rsidRPr="002669CB">
        <w:rPr>
          <w:rFonts w:ascii="Arial" w:hAnsi="Arial" w:cs="Arial"/>
          <w:sz w:val="24"/>
        </w:rPr>
        <w:t xml:space="preserve"> London: McMillian Press.</w:t>
      </w:r>
    </w:p>
    <w:p w:rsidR="002669CB" w:rsidRDefault="002669CB" w:rsidP="002669CB">
      <w:pPr>
        <w:spacing w:line="360" w:lineRule="auto"/>
        <w:rPr>
          <w:rFonts w:ascii="Arial" w:hAnsi="Arial" w:cs="Arial"/>
          <w:sz w:val="24"/>
        </w:rPr>
      </w:pPr>
      <w:r w:rsidRPr="002669CB">
        <w:rPr>
          <w:rFonts w:ascii="Arial" w:hAnsi="Arial" w:cs="Arial"/>
          <w:sz w:val="24"/>
        </w:rPr>
        <w:t xml:space="preserve">Mitchell, J, Wood, S, John Mitchell Associates. (2001) </w:t>
      </w:r>
      <w:r>
        <w:rPr>
          <w:rFonts w:ascii="Arial" w:hAnsi="Arial" w:cs="Arial"/>
          <w:sz w:val="24"/>
        </w:rPr>
        <w:t>‘</w:t>
      </w:r>
      <w:r w:rsidRPr="002669CB">
        <w:rPr>
          <w:rFonts w:ascii="Arial" w:hAnsi="Arial" w:cs="Arial"/>
          <w:sz w:val="24"/>
        </w:rPr>
        <w:t>Bene</w:t>
      </w:r>
      <w:r>
        <w:rPr>
          <w:rFonts w:ascii="Arial" w:hAnsi="Arial" w:cs="Arial"/>
          <w:sz w:val="24"/>
        </w:rPr>
        <w:t xml:space="preserve">fits of communities of practice.’ </w:t>
      </w:r>
      <w:r w:rsidRPr="002669CB">
        <w:rPr>
          <w:rFonts w:ascii="Arial" w:hAnsi="Arial" w:cs="Arial"/>
          <w:sz w:val="24"/>
        </w:rPr>
        <w:t xml:space="preserve">Available at: </w:t>
      </w:r>
      <w:hyperlink r:id="rId20" w:history="1">
        <w:r w:rsidRPr="008B1F24">
          <w:rPr>
            <w:rStyle w:val="Hyperlink"/>
            <w:rFonts w:ascii="Arial" w:hAnsi="Arial" w:cs="Arial"/>
            <w:sz w:val="24"/>
          </w:rPr>
          <w:t>http://www.jma.com.au/upload/pages/communities-of-practice/c-of-p-benefits.pdf?1377489802</w:t>
        </w:r>
      </w:hyperlink>
      <w:r>
        <w:rPr>
          <w:rFonts w:ascii="Arial" w:hAnsi="Arial" w:cs="Arial"/>
          <w:sz w:val="24"/>
        </w:rPr>
        <w:t xml:space="preserve"> </w:t>
      </w:r>
      <w:r w:rsidRPr="002669CB">
        <w:rPr>
          <w:rFonts w:ascii="Arial" w:hAnsi="Arial" w:cs="Arial"/>
          <w:sz w:val="24"/>
        </w:rPr>
        <w:t>[Accessed on: 15th October 2017]</w:t>
      </w:r>
    </w:p>
    <w:p w:rsidR="00F32A4C" w:rsidRPr="002669CB" w:rsidRDefault="00F32A4C" w:rsidP="002669CB">
      <w:pPr>
        <w:spacing w:line="360" w:lineRule="auto"/>
        <w:rPr>
          <w:rFonts w:ascii="Arial" w:hAnsi="Arial" w:cs="Arial"/>
          <w:sz w:val="24"/>
        </w:rPr>
      </w:pPr>
      <w:r>
        <w:rPr>
          <w:rFonts w:ascii="Arial" w:hAnsi="Arial" w:cs="Arial"/>
          <w:sz w:val="24"/>
        </w:rPr>
        <w:t xml:space="preserve">McFarland, L. Saunders, R. (2009) Reflective Practice and Self Evaluation in Learning Positive Guidance: Experiences of Early Childhood Practicum Students </w:t>
      </w:r>
      <w:r w:rsidRPr="00F32A4C">
        <w:rPr>
          <w:rFonts w:ascii="Arial" w:hAnsi="Arial" w:cs="Arial"/>
          <w:i/>
          <w:sz w:val="24"/>
        </w:rPr>
        <w:t>Early Childhood Education</w:t>
      </w:r>
      <w:r>
        <w:rPr>
          <w:rFonts w:ascii="Arial" w:hAnsi="Arial" w:cs="Arial"/>
          <w:i/>
          <w:sz w:val="24"/>
        </w:rPr>
        <w:t xml:space="preserve">, </w:t>
      </w:r>
      <w:r w:rsidRPr="00F32A4C">
        <w:rPr>
          <w:rFonts w:ascii="Arial" w:hAnsi="Arial" w:cs="Arial"/>
          <w:sz w:val="24"/>
        </w:rPr>
        <w:t>36, 2009, pp 505-511.</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Moran, P. Jacobs, C. Bunn, A. Bifulco, A. (2006) Multi- agency working: implications for early- intervention social work team Child and Family Social Work, 12, 2006, pp143-151 [online] Available at: </w:t>
      </w:r>
      <w:hyperlink r:id="rId21" w:history="1">
        <w:r w:rsidRPr="008B1F24">
          <w:rPr>
            <w:rStyle w:val="Hyperlink"/>
            <w:rFonts w:ascii="Arial" w:hAnsi="Arial" w:cs="Arial"/>
            <w:sz w:val="24"/>
          </w:rPr>
          <w:t>http://onlinelibrary.wiley.com/doi/10.1111/j.1365-2206.2006.00452.x/epdf?r3_referer=wol&amp;tracking_action=preview_click&amp;show_checkout=1&amp;purchase_referrer=onlinelibrary.wiley.com&amp;purchase_site_license=LICENSE_DENIED</w:t>
        </w:r>
      </w:hyperlink>
      <w:r>
        <w:rPr>
          <w:rFonts w:ascii="Arial" w:hAnsi="Arial" w:cs="Arial"/>
          <w:sz w:val="24"/>
        </w:rPr>
        <w:t xml:space="preserve"> </w:t>
      </w:r>
      <w:r w:rsidRPr="002669CB">
        <w:rPr>
          <w:rFonts w:ascii="Arial" w:hAnsi="Arial" w:cs="Arial"/>
          <w:sz w:val="24"/>
        </w:rPr>
        <w:t xml:space="preserve"> [Accessed on: 1st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National College for Teaching and Leadership. (no date) ‘Deepening understanding.’ Available at: </w:t>
      </w:r>
      <w:hyperlink r:id="rId22" w:history="1">
        <w:r w:rsidRPr="008B1F24">
          <w:rPr>
            <w:rStyle w:val="Hyperlink"/>
            <w:rFonts w:ascii="Arial" w:hAnsi="Arial" w:cs="Arial"/>
            <w:sz w:val="24"/>
          </w:rPr>
          <w:t>https://www.nationalcollege.org.uk/transfer/open/mentoring-and-coaching-core-skills/mccore-s06/mccore-s06-t01.html</w:t>
        </w:r>
      </w:hyperlink>
      <w:r>
        <w:rPr>
          <w:rFonts w:ascii="Arial" w:hAnsi="Arial" w:cs="Arial"/>
          <w:sz w:val="24"/>
        </w:rPr>
        <w:t xml:space="preserve"> </w:t>
      </w:r>
      <w:r w:rsidRPr="002669CB">
        <w:rPr>
          <w:rFonts w:ascii="Arial" w:hAnsi="Arial" w:cs="Arial"/>
          <w:sz w:val="24"/>
        </w:rPr>
        <w:t xml:space="preserve"> [Accessed on: 27th October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NHS Education for Scotland. (2017) ‘Flying Start NHS.’ Available at: </w:t>
      </w:r>
      <w:hyperlink r:id="rId23" w:history="1">
        <w:r w:rsidRPr="008B1F24">
          <w:rPr>
            <w:rStyle w:val="Hyperlink"/>
            <w:rFonts w:ascii="Arial" w:hAnsi="Arial" w:cs="Arial"/>
            <w:sz w:val="24"/>
          </w:rPr>
          <w:t>http://www.flyingstart.scot.nhs.uk/learning-programmes/reflective-practice/</w:t>
        </w:r>
      </w:hyperlink>
      <w:r>
        <w:rPr>
          <w:rFonts w:ascii="Arial" w:hAnsi="Arial" w:cs="Arial"/>
          <w:sz w:val="24"/>
        </w:rPr>
        <w:t xml:space="preserve"> </w:t>
      </w:r>
      <w:r w:rsidRPr="002669CB">
        <w:rPr>
          <w:rFonts w:ascii="Arial" w:hAnsi="Arial" w:cs="Arial"/>
          <w:sz w:val="24"/>
        </w:rPr>
        <w:t>[Accessed on:1st November 2017]</w:t>
      </w:r>
    </w:p>
    <w:p w:rsidR="002669CB" w:rsidRDefault="002669CB" w:rsidP="002669CB">
      <w:pPr>
        <w:spacing w:line="360" w:lineRule="auto"/>
        <w:rPr>
          <w:rFonts w:ascii="Arial" w:hAnsi="Arial" w:cs="Arial"/>
          <w:sz w:val="24"/>
        </w:rPr>
      </w:pPr>
      <w:r w:rsidRPr="002669CB">
        <w:rPr>
          <w:rFonts w:ascii="Arial" w:hAnsi="Arial" w:cs="Arial"/>
          <w:sz w:val="24"/>
        </w:rPr>
        <w:t xml:space="preserve">Oxford Brookes University. (2017) ‘Reflective writing: About Gibbs Reflective Cycle.’ Available at: </w:t>
      </w:r>
      <w:hyperlink r:id="rId24" w:history="1">
        <w:r w:rsidR="00CD3B9C" w:rsidRPr="008B1F24">
          <w:rPr>
            <w:rStyle w:val="Hyperlink"/>
            <w:rFonts w:ascii="Arial" w:hAnsi="Arial" w:cs="Arial"/>
            <w:sz w:val="24"/>
          </w:rPr>
          <w:t>https://www.brookes.ac.uk/students/upgrade/study-skills/reflective-writing-gibbs</w:t>
        </w:r>
      </w:hyperlink>
      <w:r w:rsidR="00CD3B9C">
        <w:rPr>
          <w:rFonts w:ascii="Arial" w:hAnsi="Arial" w:cs="Arial"/>
          <w:sz w:val="24"/>
        </w:rPr>
        <w:t xml:space="preserve"> </w:t>
      </w:r>
      <w:r w:rsidRPr="002669CB">
        <w:rPr>
          <w:rFonts w:ascii="Arial" w:hAnsi="Arial" w:cs="Arial"/>
          <w:sz w:val="24"/>
        </w:rPr>
        <w:t>[Accessed on: 30th October 2017]</w:t>
      </w:r>
    </w:p>
    <w:p w:rsidR="00301BBD" w:rsidRPr="002669CB" w:rsidRDefault="00301BBD" w:rsidP="002669CB">
      <w:pPr>
        <w:spacing w:line="360" w:lineRule="auto"/>
        <w:rPr>
          <w:rFonts w:ascii="Arial" w:hAnsi="Arial" w:cs="Arial"/>
          <w:sz w:val="24"/>
        </w:rPr>
      </w:pPr>
      <w:r>
        <w:rPr>
          <w:rFonts w:ascii="Arial" w:hAnsi="Arial" w:cs="Arial"/>
          <w:sz w:val="24"/>
        </w:rPr>
        <w:t>Paige-Sm</w:t>
      </w:r>
      <w:r w:rsidR="00DA7EA3">
        <w:rPr>
          <w:rFonts w:ascii="Arial" w:hAnsi="Arial" w:cs="Arial"/>
          <w:sz w:val="24"/>
        </w:rPr>
        <w:t xml:space="preserve">ith, A. Craft, A. (2008) </w:t>
      </w:r>
      <w:r w:rsidR="00DA7EA3" w:rsidRPr="00DA7EA3">
        <w:rPr>
          <w:rFonts w:ascii="Arial" w:hAnsi="Arial" w:cs="Arial"/>
          <w:i/>
          <w:sz w:val="24"/>
        </w:rPr>
        <w:t xml:space="preserve">Developing Reflective Practice In The Early Years </w:t>
      </w:r>
      <w:r w:rsidR="00DA7EA3">
        <w:rPr>
          <w:rFonts w:ascii="Arial" w:hAnsi="Arial" w:cs="Arial"/>
          <w:sz w:val="24"/>
        </w:rPr>
        <w:t>England: Open University Press</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The Early Childhood Curriculum Framework. (no date) ‘Building partnerships between parents and practitioners.’ Available at: </w:t>
      </w:r>
      <w:hyperlink r:id="rId25" w:history="1">
        <w:r w:rsidR="00CD3B9C" w:rsidRPr="008B1F24">
          <w:rPr>
            <w:rStyle w:val="Hyperlink"/>
            <w:rFonts w:ascii="Arial" w:hAnsi="Arial" w:cs="Arial"/>
            <w:sz w:val="24"/>
          </w:rPr>
          <w:t>http://www.ncca.biz/Aistear/pdfs/Guidelines_ENG/Practitioners_ENG.pdf</w:t>
        </w:r>
      </w:hyperlink>
      <w:r w:rsidR="00CD3B9C">
        <w:rPr>
          <w:rFonts w:ascii="Arial" w:hAnsi="Arial" w:cs="Arial"/>
          <w:sz w:val="24"/>
        </w:rPr>
        <w:t xml:space="preserve"> </w:t>
      </w:r>
      <w:r w:rsidRPr="002669CB">
        <w:rPr>
          <w:rFonts w:ascii="Arial" w:hAnsi="Arial" w:cs="Arial"/>
          <w:sz w:val="24"/>
        </w:rPr>
        <w:t>[Accessed on: 2nd November 2017]</w:t>
      </w:r>
    </w:p>
    <w:p w:rsidR="002669CB" w:rsidRPr="002669CB" w:rsidRDefault="002669CB" w:rsidP="002669CB">
      <w:pPr>
        <w:spacing w:line="360" w:lineRule="auto"/>
        <w:rPr>
          <w:rFonts w:ascii="Arial" w:hAnsi="Arial" w:cs="Arial"/>
          <w:sz w:val="24"/>
        </w:rPr>
      </w:pPr>
      <w:r w:rsidRPr="002669CB">
        <w:rPr>
          <w:rFonts w:ascii="Arial" w:hAnsi="Arial" w:cs="Arial"/>
          <w:sz w:val="24"/>
        </w:rPr>
        <w:t xml:space="preserve">Solent Online Learning. (2012) ‘Reflective thinking and writing.’ Available at: </w:t>
      </w:r>
      <w:hyperlink r:id="rId26" w:history="1">
        <w:r w:rsidR="00CD3B9C" w:rsidRPr="008B1F24">
          <w:rPr>
            <w:rStyle w:val="Hyperlink"/>
            <w:rFonts w:ascii="Arial" w:hAnsi="Arial" w:cs="Arial"/>
            <w:sz w:val="24"/>
          </w:rPr>
          <w:t>https://learn.solent.ac.uk/mod/book/view.php?id=2732&amp;chapterid=1113</w:t>
        </w:r>
      </w:hyperlink>
      <w:r w:rsidR="00CD3B9C">
        <w:rPr>
          <w:rFonts w:ascii="Arial" w:hAnsi="Arial" w:cs="Arial"/>
          <w:sz w:val="24"/>
        </w:rPr>
        <w:t xml:space="preserve"> </w:t>
      </w:r>
      <w:r w:rsidRPr="002669CB">
        <w:rPr>
          <w:rFonts w:ascii="Arial" w:hAnsi="Arial" w:cs="Arial"/>
          <w:sz w:val="24"/>
        </w:rPr>
        <w:t>[Accessed on: 30th October 2017]</w:t>
      </w:r>
    </w:p>
    <w:p w:rsidR="002669CB" w:rsidRPr="002669CB" w:rsidRDefault="002669CB" w:rsidP="002669CB">
      <w:pPr>
        <w:spacing w:line="360" w:lineRule="auto"/>
        <w:rPr>
          <w:rFonts w:ascii="Arial" w:hAnsi="Arial" w:cs="Arial"/>
          <w:sz w:val="24"/>
        </w:rPr>
      </w:pPr>
    </w:p>
    <w:p w:rsidR="002669CB" w:rsidRPr="002669CB" w:rsidRDefault="002669CB" w:rsidP="00CD3B9C">
      <w:pPr>
        <w:spacing w:line="360" w:lineRule="auto"/>
        <w:rPr>
          <w:rFonts w:ascii="Arial" w:hAnsi="Arial" w:cs="Arial"/>
          <w:sz w:val="24"/>
        </w:rPr>
      </w:pPr>
      <w:r w:rsidRPr="002669CB">
        <w:rPr>
          <w:rFonts w:ascii="Arial" w:hAnsi="Arial" w:cs="Arial"/>
          <w:sz w:val="24"/>
        </w:rPr>
        <w:t xml:space="preserve">Somekh, B and Lewin, C. (2005) </w:t>
      </w:r>
      <w:r w:rsidRPr="00CD3B9C">
        <w:rPr>
          <w:rFonts w:ascii="Arial" w:hAnsi="Arial" w:cs="Arial"/>
          <w:i/>
          <w:sz w:val="24"/>
        </w:rPr>
        <w:t>Research Methods in the Social Sciences</w:t>
      </w:r>
      <w:r w:rsidRPr="002669CB">
        <w:rPr>
          <w:rFonts w:ascii="Arial" w:hAnsi="Arial" w:cs="Arial"/>
          <w:sz w:val="24"/>
        </w:rPr>
        <w:t xml:space="preserve"> Sage Publications: London [E-book] Available at: </w:t>
      </w:r>
      <w:hyperlink r:id="rId27" w:anchor="v=onepage&amp;q&amp;f=false" w:history="1">
        <w:r w:rsidR="00CD3B9C" w:rsidRPr="008B1F24">
          <w:rPr>
            <w:rStyle w:val="Hyperlink"/>
            <w:rFonts w:ascii="Arial" w:hAnsi="Arial" w:cs="Arial"/>
            <w:sz w:val="24"/>
          </w:rPr>
          <w:t>https://books.google.co.uk/books?hl=en&amp;lr=&amp;id=Trfg5iWB22MC&amp;oi=fnd&amp;pg=PA180&amp;dq=communities+of+practice&amp;ots=q4-WFDwLlh&amp;sig=zfRrwiljBGeacTDAhxUkQFDnWYg#v=onepage&amp;q&amp;f=false</w:t>
        </w:r>
      </w:hyperlink>
      <w:r w:rsidR="00CD3B9C">
        <w:rPr>
          <w:rFonts w:ascii="Arial" w:hAnsi="Arial" w:cs="Arial"/>
          <w:sz w:val="24"/>
        </w:rPr>
        <w:t xml:space="preserve"> </w:t>
      </w:r>
      <w:r w:rsidRPr="002669CB">
        <w:rPr>
          <w:rFonts w:ascii="Arial" w:hAnsi="Arial" w:cs="Arial"/>
          <w:sz w:val="24"/>
        </w:rPr>
        <w:t>[Accessed on: 15th October 2017]</w:t>
      </w:r>
    </w:p>
    <w:p w:rsidR="002669CB" w:rsidRPr="002669CB" w:rsidRDefault="002669CB" w:rsidP="00CD3B9C">
      <w:pPr>
        <w:spacing w:line="360" w:lineRule="auto"/>
        <w:rPr>
          <w:rFonts w:ascii="Arial" w:hAnsi="Arial" w:cs="Arial"/>
          <w:sz w:val="24"/>
        </w:rPr>
      </w:pPr>
      <w:r w:rsidRPr="002669CB">
        <w:rPr>
          <w:rFonts w:ascii="Arial" w:hAnsi="Arial" w:cs="Arial"/>
          <w:sz w:val="24"/>
        </w:rPr>
        <w:t xml:space="preserve">Sylva, K. Melhuish, E. Sammons, P. Siraj-Blatchford, I. Taggart, B. (2004) ‘The Effective Provision of Preschool Education (EPPE) Project.’ Available at: </w:t>
      </w:r>
      <w:hyperlink r:id="rId28" w:history="1">
        <w:r w:rsidR="00CD3B9C" w:rsidRPr="008B1F24">
          <w:rPr>
            <w:rStyle w:val="Hyperlink"/>
            <w:rFonts w:ascii="Arial" w:hAnsi="Arial" w:cs="Arial"/>
            <w:sz w:val="24"/>
          </w:rPr>
          <w:t>http://citeseerx.ist.psu.edu/viewdoc/download?doi=10.1.1.495.2689&amp;rep=rep1&amp;type=pdf</w:t>
        </w:r>
      </w:hyperlink>
      <w:r w:rsidR="00CD3B9C">
        <w:rPr>
          <w:rFonts w:ascii="Arial" w:hAnsi="Arial" w:cs="Arial"/>
          <w:sz w:val="24"/>
        </w:rPr>
        <w:t xml:space="preserve"> </w:t>
      </w:r>
      <w:r w:rsidRPr="002669CB">
        <w:rPr>
          <w:rFonts w:ascii="Arial" w:hAnsi="Arial" w:cs="Arial"/>
          <w:sz w:val="24"/>
        </w:rPr>
        <w:t xml:space="preserve"> [Accessed on: 2nd November 2017]</w:t>
      </w:r>
    </w:p>
    <w:p w:rsidR="002669CB" w:rsidRPr="002669CB" w:rsidRDefault="002669CB" w:rsidP="00CD3B9C">
      <w:pPr>
        <w:spacing w:line="360" w:lineRule="auto"/>
        <w:rPr>
          <w:rFonts w:ascii="Arial" w:hAnsi="Arial" w:cs="Arial"/>
          <w:sz w:val="24"/>
        </w:rPr>
      </w:pPr>
      <w:r w:rsidRPr="002669CB">
        <w:rPr>
          <w:rFonts w:ascii="Arial" w:hAnsi="Arial" w:cs="Arial"/>
          <w:sz w:val="24"/>
        </w:rPr>
        <w:t xml:space="preserve">Warwick Learning Development Centre. (2016) ‘Reflection and reflective writing.’ Available at: </w:t>
      </w:r>
      <w:hyperlink r:id="rId29" w:history="1">
        <w:r w:rsidR="00CD3B9C" w:rsidRPr="008B1F24">
          <w:rPr>
            <w:rStyle w:val="Hyperlink"/>
            <w:rFonts w:ascii="Arial" w:hAnsi="Arial" w:cs="Arial"/>
            <w:sz w:val="24"/>
          </w:rPr>
          <w:t>https://www2.warwick.ac.uk/services/ldc/teaching_learning/coursedirectory/reflection-and-reflective-writing/</w:t>
        </w:r>
      </w:hyperlink>
      <w:r w:rsidR="00CD3B9C">
        <w:rPr>
          <w:rFonts w:ascii="Arial" w:hAnsi="Arial" w:cs="Arial"/>
          <w:sz w:val="24"/>
        </w:rPr>
        <w:t xml:space="preserve"> </w:t>
      </w:r>
      <w:r w:rsidRPr="002669CB">
        <w:rPr>
          <w:rFonts w:ascii="Arial" w:hAnsi="Arial" w:cs="Arial"/>
          <w:sz w:val="24"/>
        </w:rPr>
        <w:t>[Accessed on: 31st October 2017]</w:t>
      </w:r>
    </w:p>
    <w:p w:rsidR="002669CB" w:rsidRPr="002669CB" w:rsidRDefault="002669CB" w:rsidP="00CD3B9C">
      <w:pPr>
        <w:spacing w:line="360" w:lineRule="auto"/>
        <w:rPr>
          <w:rFonts w:ascii="Arial" w:hAnsi="Arial" w:cs="Arial"/>
          <w:sz w:val="24"/>
        </w:rPr>
      </w:pPr>
      <w:r w:rsidRPr="002669CB">
        <w:rPr>
          <w:rFonts w:ascii="Arial" w:hAnsi="Arial" w:cs="Arial"/>
          <w:sz w:val="24"/>
        </w:rPr>
        <w:t xml:space="preserve">Welsh Government. (2013) ‘Building Brighter futures’ Available at: </w:t>
      </w:r>
      <w:hyperlink r:id="rId30" w:history="1">
        <w:r w:rsidR="00CD3B9C" w:rsidRPr="008B1F24">
          <w:rPr>
            <w:rStyle w:val="Hyperlink"/>
            <w:rFonts w:ascii="Arial" w:hAnsi="Arial" w:cs="Arial"/>
            <w:sz w:val="24"/>
          </w:rPr>
          <w:t>http://dera.ioe.ac.uk/18045/1/130716-building-brighter-future-en.pdf</w:t>
        </w:r>
      </w:hyperlink>
      <w:r w:rsidR="00CD3B9C">
        <w:rPr>
          <w:rFonts w:ascii="Arial" w:hAnsi="Arial" w:cs="Arial"/>
          <w:sz w:val="24"/>
        </w:rPr>
        <w:t xml:space="preserve"> </w:t>
      </w:r>
      <w:r w:rsidRPr="002669CB">
        <w:rPr>
          <w:rFonts w:ascii="Arial" w:hAnsi="Arial" w:cs="Arial"/>
          <w:sz w:val="24"/>
        </w:rPr>
        <w:t>[Accessed on: 1st November 2017]</w:t>
      </w:r>
    </w:p>
    <w:p w:rsidR="002669CB" w:rsidRPr="002669CB" w:rsidRDefault="002669CB" w:rsidP="00CD3B9C">
      <w:pPr>
        <w:spacing w:line="360" w:lineRule="auto"/>
        <w:rPr>
          <w:rFonts w:ascii="Arial" w:hAnsi="Arial" w:cs="Arial"/>
          <w:sz w:val="24"/>
        </w:rPr>
      </w:pPr>
      <w:r w:rsidRPr="002669CB">
        <w:rPr>
          <w:rFonts w:ascii="Arial" w:hAnsi="Arial" w:cs="Arial"/>
          <w:sz w:val="24"/>
        </w:rPr>
        <w:t xml:space="preserve">Welsh Government. (2017) ‘Education in Wales: Our national mission.’ Available at: </w:t>
      </w:r>
      <w:hyperlink r:id="rId31" w:history="1">
        <w:r w:rsidR="00CD3B9C" w:rsidRPr="008B1F24">
          <w:rPr>
            <w:rStyle w:val="Hyperlink"/>
            <w:rFonts w:ascii="Arial" w:hAnsi="Arial" w:cs="Arial"/>
            <w:sz w:val="24"/>
          </w:rPr>
          <w:t>http://gov.wales/docs/dcells/publications/170926-education-in-wales-en.pdf</w:t>
        </w:r>
      </w:hyperlink>
      <w:r w:rsidR="00CD3B9C">
        <w:rPr>
          <w:rFonts w:ascii="Arial" w:hAnsi="Arial" w:cs="Arial"/>
          <w:sz w:val="24"/>
        </w:rPr>
        <w:t xml:space="preserve"> </w:t>
      </w:r>
      <w:r w:rsidRPr="002669CB">
        <w:rPr>
          <w:rFonts w:ascii="Arial" w:hAnsi="Arial" w:cs="Arial"/>
          <w:sz w:val="24"/>
        </w:rPr>
        <w:t>[Accessed on: 1st November 2017]</w:t>
      </w:r>
    </w:p>
    <w:p w:rsidR="00687035" w:rsidRPr="002669CB" w:rsidRDefault="002669CB" w:rsidP="00CD3B9C">
      <w:pPr>
        <w:spacing w:line="360" w:lineRule="auto"/>
        <w:rPr>
          <w:rFonts w:ascii="Arial" w:hAnsi="Arial" w:cs="Arial"/>
          <w:sz w:val="24"/>
        </w:rPr>
      </w:pPr>
      <w:r w:rsidRPr="002669CB">
        <w:rPr>
          <w:rFonts w:ascii="Arial" w:hAnsi="Arial" w:cs="Arial"/>
          <w:sz w:val="24"/>
        </w:rPr>
        <w:t xml:space="preserve">Zneb, D. (1981) </w:t>
      </w:r>
      <w:r w:rsidRPr="00CD3B9C">
        <w:rPr>
          <w:rFonts w:ascii="Arial" w:hAnsi="Arial" w:cs="Arial"/>
          <w:i/>
          <w:sz w:val="24"/>
        </w:rPr>
        <w:t>Fostering Reflective Teaching Practice in Pre-Service Education</w:t>
      </w:r>
      <w:r w:rsidRPr="002669CB">
        <w:rPr>
          <w:rFonts w:ascii="Arial" w:hAnsi="Arial" w:cs="Arial"/>
          <w:sz w:val="24"/>
        </w:rPr>
        <w:t xml:space="preserve"> United States of America: IGI Global.</w:t>
      </w:r>
    </w:p>
    <w:p w:rsidR="008F7BE5" w:rsidRPr="008F7BE5" w:rsidRDefault="008F7BE5" w:rsidP="00CD3B9C">
      <w:pPr>
        <w:spacing w:line="360" w:lineRule="auto"/>
        <w:rPr>
          <w:rFonts w:ascii="Arial" w:hAnsi="Arial" w:cs="Arial"/>
          <w:color w:val="FF0000"/>
          <w:sz w:val="24"/>
        </w:rPr>
      </w:pPr>
    </w:p>
    <w:p w:rsidR="00965164" w:rsidRDefault="00965164" w:rsidP="00CD3B9C"/>
    <w:p w:rsidR="00965164" w:rsidRDefault="00965164" w:rsidP="00CD3B9C"/>
    <w:p w:rsidR="00E82075" w:rsidRDefault="00E82075" w:rsidP="00CD3B9C"/>
    <w:sectPr w:rsidR="00E82075">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580" w:rsidRDefault="00B24580" w:rsidP="00965164">
      <w:pPr>
        <w:spacing w:after="0" w:line="240" w:lineRule="auto"/>
      </w:pPr>
      <w:r>
        <w:separator/>
      </w:r>
    </w:p>
  </w:endnote>
  <w:endnote w:type="continuationSeparator" w:id="0">
    <w:p w:rsidR="00B24580" w:rsidRDefault="00B24580" w:rsidP="00965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2944241"/>
      <w:docPartObj>
        <w:docPartGallery w:val="Page Numbers (Bottom of Page)"/>
        <w:docPartUnique/>
      </w:docPartObj>
    </w:sdtPr>
    <w:sdtEndPr>
      <w:rPr>
        <w:noProof/>
      </w:rPr>
    </w:sdtEndPr>
    <w:sdtContent>
      <w:p w:rsidR="00B24580" w:rsidRDefault="00B24580">
        <w:pPr>
          <w:pStyle w:val="Footer"/>
          <w:jc w:val="right"/>
        </w:pPr>
        <w:r>
          <w:fldChar w:fldCharType="begin"/>
        </w:r>
        <w:r>
          <w:instrText xml:space="preserve"> PAGE   \* MERGEFORMAT </w:instrText>
        </w:r>
        <w:r>
          <w:fldChar w:fldCharType="separate"/>
        </w:r>
        <w:r w:rsidR="00E30961">
          <w:rPr>
            <w:noProof/>
          </w:rPr>
          <w:t>1</w:t>
        </w:r>
        <w:r>
          <w:rPr>
            <w:noProof/>
          </w:rPr>
          <w:fldChar w:fldCharType="end"/>
        </w:r>
      </w:p>
    </w:sdtContent>
  </w:sdt>
  <w:p w:rsidR="00B24580" w:rsidRDefault="00B245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580" w:rsidRDefault="00B24580" w:rsidP="00965164">
      <w:pPr>
        <w:spacing w:after="0" w:line="240" w:lineRule="auto"/>
      </w:pPr>
      <w:r>
        <w:separator/>
      </w:r>
    </w:p>
  </w:footnote>
  <w:footnote w:type="continuationSeparator" w:id="0">
    <w:p w:rsidR="00B24580" w:rsidRDefault="00B24580" w:rsidP="00965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580" w:rsidRDefault="00DA7EA3">
    <w:pPr>
      <w:pStyle w:val="Header"/>
    </w:pPr>
    <w:r>
      <w:t>EAEC6001</w:t>
    </w:r>
    <w:r w:rsidR="00B24580">
      <w:t xml:space="preserve">           </w:t>
    </w:r>
    <w:r>
      <w:t xml:space="preserve">                     150121</w:t>
    </w:r>
    <w:r w:rsidR="00B24580">
      <w:t xml:space="preserve">         </w:t>
    </w:r>
    <w:r>
      <w:t xml:space="preserve"> </w:t>
    </w:r>
    <w:r w:rsidR="00B24580">
      <w:t xml:space="preserve">  </w:t>
    </w:r>
    <w:r w:rsidR="0050385F">
      <w:t xml:space="preserve">     </w:t>
    </w:r>
    <w:r>
      <w:t xml:space="preserve">           </w:t>
    </w:r>
    <w:r w:rsidR="00B24580">
      <w:t>Turnitin</w:t>
    </w:r>
    <w:r w:rsidR="000B43EB">
      <w:t xml:space="preserve"> 26</w:t>
    </w:r>
    <w:r w:rsidR="00B24580">
      <w:t xml:space="preserve"> %    </w:t>
    </w:r>
    <w:r>
      <w:t xml:space="preserve">                    Word Count: 2877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385"/>
    <w:rsid w:val="00030122"/>
    <w:rsid w:val="00036568"/>
    <w:rsid w:val="00074FCF"/>
    <w:rsid w:val="000948E7"/>
    <w:rsid w:val="000A0592"/>
    <w:rsid w:val="000B43EB"/>
    <w:rsid w:val="000B6E82"/>
    <w:rsid w:val="000C36AA"/>
    <w:rsid w:val="000C594B"/>
    <w:rsid w:val="000D7385"/>
    <w:rsid w:val="00103306"/>
    <w:rsid w:val="00127616"/>
    <w:rsid w:val="00130FAF"/>
    <w:rsid w:val="00151F6B"/>
    <w:rsid w:val="00175CDB"/>
    <w:rsid w:val="001B15DB"/>
    <w:rsid w:val="001D09F3"/>
    <w:rsid w:val="001F6F99"/>
    <w:rsid w:val="00203EFA"/>
    <w:rsid w:val="00225185"/>
    <w:rsid w:val="002262EC"/>
    <w:rsid w:val="00226CC1"/>
    <w:rsid w:val="002332D3"/>
    <w:rsid w:val="002348C0"/>
    <w:rsid w:val="002669CB"/>
    <w:rsid w:val="002A3CD0"/>
    <w:rsid w:val="00301BBD"/>
    <w:rsid w:val="0030232A"/>
    <w:rsid w:val="003240AD"/>
    <w:rsid w:val="00332122"/>
    <w:rsid w:val="003473F2"/>
    <w:rsid w:val="003F165E"/>
    <w:rsid w:val="003F7624"/>
    <w:rsid w:val="00455F58"/>
    <w:rsid w:val="00470737"/>
    <w:rsid w:val="00487B82"/>
    <w:rsid w:val="004D0F6B"/>
    <w:rsid w:val="004D5F37"/>
    <w:rsid w:val="004D6729"/>
    <w:rsid w:val="0050385F"/>
    <w:rsid w:val="005050FC"/>
    <w:rsid w:val="00526DA6"/>
    <w:rsid w:val="005757C3"/>
    <w:rsid w:val="005A0F75"/>
    <w:rsid w:val="005B7242"/>
    <w:rsid w:val="005C2BBA"/>
    <w:rsid w:val="005C5FEE"/>
    <w:rsid w:val="005D3B86"/>
    <w:rsid w:val="00642960"/>
    <w:rsid w:val="00687035"/>
    <w:rsid w:val="006F2548"/>
    <w:rsid w:val="006F3850"/>
    <w:rsid w:val="00701F06"/>
    <w:rsid w:val="00721691"/>
    <w:rsid w:val="0073071B"/>
    <w:rsid w:val="00740ACC"/>
    <w:rsid w:val="007653F4"/>
    <w:rsid w:val="00782BCF"/>
    <w:rsid w:val="00797501"/>
    <w:rsid w:val="007C74D8"/>
    <w:rsid w:val="007D49D7"/>
    <w:rsid w:val="007E2F0A"/>
    <w:rsid w:val="007F4FD5"/>
    <w:rsid w:val="00812E9D"/>
    <w:rsid w:val="00815E47"/>
    <w:rsid w:val="00823A3A"/>
    <w:rsid w:val="00840488"/>
    <w:rsid w:val="00871939"/>
    <w:rsid w:val="008F7BE5"/>
    <w:rsid w:val="00930B7A"/>
    <w:rsid w:val="00944A39"/>
    <w:rsid w:val="00956FDA"/>
    <w:rsid w:val="00965164"/>
    <w:rsid w:val="00996B2E"/>
    <w:rsid w:val="0099703A"/>
    <w:rsid w:val="009A42B5"/>
    <w:rsid w:val="009E513A"/>
    <w:rsid w:val="00A80398"/>
    <w:rsid w:val="00A822E0"/>
    <w:rsid w:val="00A96C70"/>
    <w:rsid w:val="00AE45B0"/>
    <w:rsid w:val="00B01AE2"/>
    <w:rsid w:val="00B174A5"/>
    <w:rsid w:val="00B24580"/>
    <w:rsid w:val="00B50157"/>
    <w:rsid w:val="00B5253C"/>
    <w:rsid w:val="00B54F73"/>
    <w:rsid w:val="00B67464"/>
    <w:rsid w:val="00B76F51"/>
    <w:rsid w:val="00B87E1F"/>
    <w:rsid w:val="00B92B16"/>
    <w:rsid w:val="00BD0421"/>
    <w:rsid w:val="00BF55F2"/>
    <w:rsid w:val="00C1790C"/>
    <w:rsid w:val="00C570B7"/>
    <w:rsid w:val="00CC072E"/>
    <w:rsid w:val="00CD3B9C"/>
    <w:rsid w:val="00CD5E50"/>
    <w:rsid w:val="00CF66E2"/>
    <w:rsid w:val="00D225F0"/>
    <w:rsid w:val="00D97D5F"/>
    <w:rsid w:val="00DA0146"/>
    <w:rsid w:val="00DA7EA3"/>
    <w:rsid w:val="00DC3043"/>
    <w:rsid w:val="00DD3D1B"/>
    <w:rsid w:val="00E03538"/>
    <w:rsid w:val="00E25560"/>
    <w:rsid w:val="00E30961"/>
    <w:rsid w:val="00E36316"/>
    <w:rsid w:val="00E76C53"/>
    <w:rsid w:val="00E82075"/>
    <w:rsid w:val="00E854DD"/>
    <w:rsid w:val="00E85BEB"/>
    <w:rsid w:val="00E94156"/>
    <w:rsid w:val="00E95A51"/>
    <w:rsid w:val="00E97664"/>
    <w:rsid w:val="00EE1BE8"/>
    <w:rsid w:val="00EE4354"/>
    <w:rsid w:val="00F32A4C"/>
    <w:rsid w:val="00F3664E"/>
    <w:rsid w:val="00F37DD9"/>
    <w:rsid w:val="00F821FF"/>
    <w:rsid w:val="00FA078E"/>
    <w:rsid w:val="00FB0AC2"/>
    <w:rsid w:val="00FD2689"/>
    <w:rsid w:val="00FD7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89F65"/>
  <w15:chartTrackingRefBased/>
  <w15:docId w15:val="{4421F095-936A-4107-A13D-D8C045E75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5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164"/>
  </w:style>
  <w:style w:type="paragraph" w:styleId="Footer">
    <w:name w:val="footer"/>
    <w:basedOn w:val="Normal"/>
    <w:link w:val="FooterChar"/>
    <w:uiPriority w:val="99"/>
    <w:unhideWhenUsed/>
    <w:rsid w:val="00965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164"/>
  </w:style>
  <w:style w:type="character" w:styleId="Hyperlink">
    <w:name w:val="Hyperlink"/>
    <w:basedOn w:val="DefaultParagraphFont"/>
    <w:uiPriority w:val="99"/>
    <w:unhideWhenUsed/>
    <w:rsid w:val="00225185"/>
    <w:rPr>
      <w:color w:val="0563C1" w:themeColor="hyperlink"/>
      <w:u w:val="single"/>
    </w:rPr>
  </w:style>
  <w:style w:type="character" w:styleId="UnresolvedMention">
    <w:name w:val="Unresolved Mention"/>
    <w:basedOn w:val="DefaultParagraphFont"/>
    <w:uiPriority w:val="99"/>
    <w:semiHidden/>
    <w:unhideWhenUsed/>
    <w:rsid w:val="00225185"/>
    <w:rPr>
      <w:color w:val="808080"/>
      <w:shd w:val="clear" w:color="auto" w:fill="E6E6E6"/>
    </w:rPr>
  </w:style>
  <w:style w:type="character" w:styleId="FollowedHyperlink">
    <w:name w:val="FollowedHyperlink"/>
    <w:basedOn w:val="DefaultParagraphFont"/>
    <w:uiPriority w:val="99"/>
    <w:semiHidden/>
    <w:unhideWhenUsed/>
    <w:rsid w:val="00FB0A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9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ssiw.org.uk/docs/cssiw/general/140730baselineinspectionguideen.pdf" TargetMode="External"/><Relationship Id="rId13" Type="http://schemas.openxmlformats.org/officeDocument/2006/relationships/hyperlink" Target="https://pdfs.semanticscholar.org/c128/691f2615de873dfe544fcb5dc902fe812675.pdf" TargetMode="External"/><Relationship Id="rId18" Type="http://schemas.openxmlformats.org/officeDocument/2006/relationships/hyperlink" Target="http://www.instructionaldesign.org/theories/social-learning.html" TargetMode="External"/><Relationship Id="rId26" Type="http://schemas.openxmlformats.org/officeDocument/2006/relationships/hyperlink" Target="https://learn.solent.ac.uk/mod/book/view.php?id=2732&amp;chapterid=1113" TargetMode="External"/><Relationship Id="rId3" Type="http://schemas.openxmlformats.org/officeDocument/2006/relationships/webSettings" Target="webSettings.xml"/><Relationship Id="rId21" Type="http://schemas.openxmlformats.org/officeDocument/2006/relationships/hyperlink" Target="http://onlinelibrary.wiley.com/doi/10.1111/j.1365-2206.2006.00452.x/epdf?r3_referer=wol&amp;tracking_action=preview_click&amp;show_checkout=1&amp;purchase_referrer=onlinelibrary.wiley.com&amp;purchase_site_license=LICENSE_DENIED" TargetMode="External"/><Relationship Id="rId34" Type="http://schemas.openxmlformats.org/officeDocument/2006/relationships/fontTable" Target="fontTable.xml"/><Relationship Id="rId7" Type="http://schemas.openxmlformats.org/officeDocument/2006/relationships/hyperlink" Target="https://www.cambridge-community.org.uk/professional-development/gswrp/index.html" TargetMode="External"/><Relationship Id="rId12" Type="http://schemas.openxmlformats.org/officeDocument/2006/relationships/hyperlink" Target="http://www.wokingham.gov.uk/EasysiteWeb/getresource.axd?AssetID=75433&amp;" TargetMode="External"/><Relationship Id="rId17" Type="http://schemas.openxmlformats.org/officeDocument/2006/relationships/hyperlink" Target="https://books.google.co.uk/books?hl=en&amp;lr=&amp;id=2dB4PhdoTHQC&amp;oi=fnd&amp;pg=PA134&amp;dq=multi+agency+working&amp;ots=NifLwMrce5&amp;sig=4f2x8K0bYWR4joQIjwLM7U96RjM" TargetMode="External"/><Relationship Id="rId25" Type="http://schemas.openxmlformats.org/officeDocument/2006/relationships/hyperlink" Target="http://www.ncca.biz/Aistear/pdfs/Guidelines_ENG/Practitioners_ENG.pdf"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books.google.co.uk/books?hl=en&amp;lr=&amp;id=4ANHY1c6b6YC&amp;oi=fnd&amp;pg=PP1&amp;dq=communities+of+practice&amp;ots=8_7KIlcgH_&amp;sig=mYwXf4tswLlkmqe5ZnCUXOui9so" TargetMode="External"/><Relationship Id="rId20" Type="http://schemas.openxmlformats.org/officeDocument/2006/relationships/hyperlink" Target="http://www.jma.com.au/upload/pages/communities-of-practice/c-of-p-benefits.pdf?1377489802" TargetMode="External"/><Relationship Id="rId29" Type="http://schemas.openxmlformats.org/officeDocument/2006/relationships/hyperlink" Target="https://www2.warwick.ac.uk/services/ldc/teaching_learning/coursedirectory/reflection-and-reflective-writing/" TargetMode="External"/><Relationship Id="rId1" Type="http://schemas.openxmlformats.org/officeDocument/2006/relationships/styles" Target="styles.xml"/><Relationship Id="rId6" Type="http://schemas.openxmlformats.org/officeDocument/2006/relationships/hyperlink" Target="https://www.nfer.ac.uk/publications/MAD01/MAD01.pdf" TargetMode="External"/><Relationship Id="rId11" Type="http://schemas.openxmlformats.org/officeDocument/2006/relationships/hyperlink" Target="http://www.learnnc.org/lp/pages/5075" TargetMode="External"/><Relationship Id="rId24" Type="http://schemas.openxmlformats.org/officeDocument/2006/relationships/hyperlink" Target="https://www.brookes.ac.uk/students/upgrade/study-skills/reflective-writing-gibbs"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hhs.hud.ac.uk/lqsu/Sessionsforall/supp/Gibbs%201988%20reflective%20cycle.pdf" TargetMode="External"/><Relationship Id="rId23" Type="http://schemas.openxmlformats.org/officeDocument/2006/relationships/hyperlink" Target="http://www.flyingstart.scot.nhs.uk/learning-programmes/reflective-practice/" TargetMode="External"/><Relationship Id="rId28" Type="http://schemas.openxmlformats.org/officeDocument/2006/relationships/hyperlink" Target="http://citeseerx.ist.psu.edu/viewdoc/download?doi=10.1.1.495.2689&amp;rep=rep1&amp;type=pdf" TargetMode="External"/><Relationship Id="rId10" Type="http://schemas.openxmlformats.org/officeDocument/2006/relationships/hyperlink" Target="http://moodle.uwtsd.ac.uk/pluginfile.php/97427/mod_resource/content/1/common_core_skills_factsheet.pdf" TargetMode="External"/><Relationship Id="rId19" Type="http://schemas.openxmlformats.org/officeDocument/2006/relationships/hyperlink" Target="https://www.kcl.ac.uk/campuslife/services/disability/onlineresources/StudyGuides/USING-GIBBS-REFLECTIVE-CYCLE-IN-COURSEWORK-DEC-2016-P-LIA.pdf" TargetMode="External"/><Relationship Id="rId31" Type="http://schemas.openxmlformats.org/officeDocument/2006/relationships/hyperlink" Target="http://gov.wales/docs/dcells/publications/170926-education-in-wales-en.pdf" TargetMode="External"/><Relationship Id="rId4" Type="http://schemas.openxmlformats.org/officeDocument/2006/relationships/footnotes" Target="footnotes.xml"/><Relationship Id="rId9" Type="http://schemas.openxmlformats.org/officeDocument/2006/relationships/hyperlink" Target="http://cssiw.org.uk/about/what-we-do/?lang=en" TargetMode="External"/><Relationship Id="rId14" Type="http://schemas.openxmlformats.org/officeDocument/2006/relationships/hyperlink" Target="http://www.childcentredpractice.co.uk/Websites/ccp1/files/Content/1355573/Relfective%20Practice.pdf" TargetMode="External"/><Relationship Id="rId22" Type="http://schemas.openxmlformats.org/officeDocument/2006/relationships/hyperlink" Target="https://www.nationalcollege.org.uk/transfer/open/mentoring-and-coaching-core-skills/mccore-s06/mccore-s06-t01.html" TargetMode="External"/><Relationship Id="rId27" Type="http://schemas.openxmlformats.org/officeDocument/2006/relationships/hyperlink" Target="https://books.google.co.uk/books?hl=en&amp;lr=&amp;id=Trfg5iWB22MC&amp;oi=fnd&amp;pg=PA180&amp;dq=communities+of+practice&amp;ots=q4-WFDwLlh&amp;sig=zfRrwiljBGeacTDAhxUkQFDnWYg" TargetMode="External"/><Relationship Id="rId30" Type="http://schemas.openxmlformats.org/officeDocument/2006/relationships/hyperlink" Target="http://dera.ioe.ac.uk/18045/1/130716-building-brighter-future-en.pdf"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2070</TotalTime>
  <Pages>11</Pages>
  <Words>4246</Words>
  <Characters>24207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Jenkins</dc:creator>
  <cp:keywords/>
  <dc:description/>
  <cp:lastModifiedBy>Georgia Jenkins</cp:lastModifiedBy>
  <cp:revision>59</cp:revision>
  <dcterms:created xsi:type="dcterms:W3CDTF">2017-10-25T13:27:00Z</dcterms:created>
  <dcterms:modified xsi:type="dcterms:W3CDTF">2017-11-03T01:48:00Z</dcterms:modified>
</cp:coreProperties>
</file>