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40DD5" w14:textId="018B43F1" w:rsidR="00AF55B5" w:rsidRPr="00DB0C5D" w:rsidRDefault="00AF55B5" w:rsidP="00DB0C5D">
      <w:pPr>
        <w:spacing w:line="360" w:lineRule="auto"/>
        <w:jc w:val="center"/>
        <w:rPr>
          <w:rFonts w:ascii="Times New Roman" w:hAnsi="Times New Roman" w:cs="Times New Roman"/>
          <w:sz w:val="24"/>
          <w:szCs w:val="24"/>
        </w:rPr>
      </w:pPr>
    </w:p>
    <w:p w14:paraId="56BA1B70" w14:textId="3CBB7BF1" w:rsidR="000975EE" w:rsidRPr="00DB0C5D" w:rsidRDefault="000975EE" w:rsidP="00DB0C5D">
      <w:pPr>
        <w:spacing w:line="360" w:lineRule="auto"/>
        <w:jc w:val="center"/>
        <w:rPr>
          <w:rFonts w:ascii="Times New Roman" w:hAnsi="Times New Roman" w:cs="Times New Roman"/>
          <w:sz w:val="24"/>
          <w:szCs w:val="24"/>
        </w:rPr>
      </w:pPr>
    </w:p>
    <w:p w14:paraId="7F8EB333" w14:textId="207DA5E3" w:rsidR="000975EE" w:rsidRPr="00DB0C5D" w:rsidRDefault="000975EE" w:rsidP="00DB0C5D">
      <w:pPr>
        <w:spacing w:line="360" w:lineRule="auto"/>
        <w:jc w:val="center"/>
        <w:rPr>
          <w:rFonts w:ascii="Times New Roman" w:hAnsi="Times New Roman" w:cs="Times New Roman"/>
          <w:sz w:val="24"/>
          <w:szCs w:val="24"/>
        </w:rPr>
      </w:pPr>
    </w:p>
    <w:p w14:paraId="0F51C0C5" w14:textId="4E5D0E19" w:rsidR="000975EE" w:rsidRPr="00DB0C5D" w:rsidRDefault="000975EE" w:rsidP="00DB0C5D">
      <w:pPr>
        <w:spacing w:line="360" w:lineRule="auto"/>
        <w:jc w:val="center"/>
        <w:rPr>
          <w:rFonts w:ascii="Times New Roman" w:hAnsi="Times New Roman" w:cs="Times New Roman"/>
          <w:sz w:val="24"/>
          <w:szCs w:val="24"/>
        </w:rPr>
      </w:pPr>
    </w:p>
    <w:p w14:paraId="62F2A853" w14:textId="123070CA" w:rsidR="000975EE" w:rsidRPr="00DB0C5D" w:rsidRDefault="000975EE" w:rsidP="00DB0C5D">
      <w:pPr>
        <w:spacing w:line="360" w:lineRule="auto"/>
        <w:jc w:val="center"/>
        <w:rPr>
          <w:rFonts w:ascii="Times New Roman" w:hAnsi="Times New Roman" w:cs="Times New Roman"/>
          <w:sz w:val="24"/>
          <w:szCs w:val="24"/>
        </w:rPr>
      </w:pPr>
    </w:p>
    <w:p w14:paraId="6763B9CA" w14:textId="77DB745D" w:rsidR="000975EE" w:rsidRPr="00DB0C5D" w:rsidRDefault="000975EE" w:rsidP="00DB0C5D">
      <w:pPr>
        <w:spacing w:line="360" w:lineRule="auto"/>
        <w:jc w:val="center"/>
        <w:rPr>
          <w:rFonts w:ascii="Times New Roman" w:hAnsi="Times New Roman" w:cs="Times New Roman"/>
          <w:sz w:val="24"/>
          <w:szCs w:val="24"/>
        </w:rPr>
      </w:pPr>
    </w:p>
    <w:p w14:paraId="390C08E6" w14:textId="1DBE35CD" w:rsidR="000975EE" w:rsidRPr="00DB0C5D" w:rsidRDefault="000975EE" w:rsidP="00DB0C5D">
      <w:pPr>
        <w:spacing w:line="360" w:lineRule="auto"/>
        <w:jc w:val="center"/>
        <w:rPr>
          <w:rFonts w:ascii="Times New Roman" w:hAnsi="Times New Roman" w:cs="Times New Roman"/>
          <w:sz w:val="24"/>
          <w:szCs w:val="24"/>
        </w:rPr>
      </w:pPr>
    </w:p>
    <w:p w14:paraId="2522AF93" w14:textId="3EB6536C" w:rsidR="000975EE" w:rsidRPr="00DB0C5D" w:rsidRDefault="000975EE" w:rsidP="00DB0C5D">
      <w:pPr>
        <w:spacing w:line="360" w:lineRule="auto"/>
        <w:jc w:val="center"/>
        <w:rPr>
          <w:rFonts w:ascii="Times New Roman" w:hAnsi="Times New Roman" w:cs="Times New Roman"/>
          <w:sz w:val="24"/>
          <w:szCs w:val="24"/>
        </w:rPr>
      </w:pPr>
    </w:p>
    <w:p w14:paraId="73AB38D6" w14:textId="0AB06B72" w:rsidR="000975EE" w:rsidRPr="00DB0C5D" w:rsidRDefault="000975EE" w:rsidP="00DB0C5D">
      <w:pPr>
        <w:spacing w:line="360" w:lineRule="auto"/>
        <w:jc w:val="center"/>
        <w:rPr>
          <w:rFonts w:ascii="Times New Roman" w:hAnsi="Times New Roman" w:cs="Times New Roman"/>
          <w:sz w:val="24"/>
          <w:szCs w:val="24"/>
        </w:rPr>
      </w:pPr>
    </w:p>
    <w:p w14:paraId="07E56D07" w14:textId="77777777" w:rsidR="00BE3525" w:rsidRPr="00DB0C5D" w:rsidRDefault="00BE3525" w:rsidP="00DB0C5D">
      <w:pPr>
        <w:spacing w:line="360" w:lineRule="auto"/>
        <w:rPr>
          <w:rFonts w:ascii="Times New Roman" w:hAnsi="Times New Roman" w:cs="Times New Roman"/>
          <w:b/>
          <w:bCs/>
          <w:sz w:val="24"/>
          <w:szCs w:val="24"/>
        </w:rPr>
      </w:pPr>
    </w:p>
    <w:p w14:paraId="39170B46" w14:textId="7D0D44D5" w:rsidR="000975EE" w:rsidRDefault="00B7731A" w:rsidP="00DB0C5D">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ACCOUNTING FUNDAMENTALS</w:t>
      </w:r>
    </w:p>
    <w:p w14:paraId="0116AC40" w14:textId="4FD8C14C" w:rsidR="00751565" w:rsidRDefault="00394B2A" w:rsidP="00DB0C5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Denis Emanuel Deiac</w:t>
      </w:r>
    </w:p>
    <w:p w14:paraId="497C5487" w14:textId="116573A1" w:rsidR="00394B2A" w:rsidRPr="00DB0C5D" w:rsidRDefault="00394B2A" w:rsidP="00DB0C5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00B7731A">
        <w:rPr>
          <w:rFonts w:ascii="Times New Roman" w:hAnsi="Times New Roman" w:cs="Times New Roman"/>
          <w:b/>
          <w:bCs/>
          <w:sz w:val="24"/>
          <w:szCs w:val="24"/>
        </w:rPr>
        <w:t>2115684</w:t>
      </w:r>
    </w:p>
    <w:p w14:paraId="5972A58C" w14:textId="77777777" w:rsidR="000975EE" w:rsidRPr="00DB0C5D" w:rsidRDefault="00B7731A" w:rsidP="00DB0C5D">
      <w:pPr>
        <w:spacing w:line="360" w:lineRule="auto"/>
        <w:rPr>
          <w:rFonts w:ascii="Times New Roman" w:hAnsi="Times New Roman" w:cs="Times New Roman"/>
          <w:sz w:val="24"/>
          <w:szCs w:val="24"/>
        </w:rPr>
      </w:pPr>
      <w:r w:rsidRPr="00DB0C5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753044232"/>
        <w:docPartObj>
          <w:docPartGallery w:val="Table of Contents"/>
          <w:docPartUnique/>
        </w:docPartObj>
      </w:sdtPr>
      <w:sdtEndPr>
        <w:rPr>
          <w:rFonts w:ascii="Times New Roman" w:hAnsi="Times New Roman" w:cs="Times New Roman"/>
          <w:b/>
          <w:bCs/>
          <w:noProof/>
          <w:sz w:val="24"/>
          <w:szCs w:val="24"/>
        </w:rPr>
      </w:sdtEndPr>
      <w:sdtContent>
        <w:p w14:paraId="41B8EBB0" w14:textId="3AF61768" w:rsidR="00475414" w:rsidRPr="00475414" w:rsidRDefault="00B7731A" w:rsidP="00475414">
          <w:pPr>
            <w:pStyle w:val="Titlucuprins"/>
            <w:spacing w:line="360" w:lineRule="auto"/>
            <w:jc w:val="center"/>
            <w:rPr>
              <w:rFonts w:ascii="Times New Roman" w:hAnsi="Times New Roman" w:cs="Times New Roman"/>
              <w:b/>
              <w:bCs/>
            </w:rPr>
          </w:pPr>
          <w:r w:rsidRPr="00475414">
            <w:rPr>
              <w:rFonts w:ascii="Times New Roman" w:hAnsi="Times New Roman" w:cs="Times New Roman"/>
              <w:b/>
              <w:bCs/>
            </w:rPr>
            <w:t>List of Contents</w:t>
          </w:r>
        </w:p>
        <w:p w14:paraId="6109BD8E" w14:textId="6325292E" w:rsidR="00475414" w:rsidRPr="00475414" w:rsidRDefault="00B7731A" w:rsidP="00475414">
          <w:pPr>
            <w:pStyle w:val="Cuprins1"/>
            <w:rPr>
              <w:rFonts w:eastAsiaTheme="minorEastAsia"/>
              <w:b w:val="0"/>
              <w:bCs w:val="0"/>
            </w:rPr>
          </w:pPr>
          <w:r w:rsidRPr="00475414">
            <w:fldChar w:fldCharType="begin"/>
          </w:r>
          <w:r w:rsidRPr="00475414">
            <w:instrText xml:space="preserve"> TOC \o "1-3" \h \z \u </w:instrText>
          </w:r>
          <w:r w:rsidRPr="00475414">
            <w:fldChar w:fldCharType="separate"/>
          </w:r>
          <w:hyperlink w:anchor="_Toc111636340" w:history="1">
            <w:r w:rsidRPr="00475414">
              <w:rPr>
                <w:rStyle w:val="Hyperlink"/>
              </w:rPr>
              <w:t>The answer to part 1</w:t>
            </w:r>
            <w:r w:rsidRPr="00475414">
              <w:rPr>
                <w:webHidden/>
              </w:rPr>
              <w:tab/>
            </w:r>
            <w:r w:rsidRPr="00475414">
              <w:rPr>
                <w:webHidden/>
              </w:rPr>
              <w:fldChar w:fldCharType="begin"/>
            </w:r>
            <w:r w:rsidRPr="00475414">
              <w:rPr>
                <w:webHidden/>
              </w:rPr>
              <w:instrText xml:space="preserve"> PAGEREF _Toc111636340 \h </w:instrText>
            </w:r>
            <w:r w:rsidRPr="00475414">
              <w:rPr>
                <w:webHidden/>
              </w:rPr>
            </w:r>
            <w:r w:rsidRPr="00475414">
              <w:rPr>
                <w:webHidden/>
              </w:rPr>
              <w:fldChar w:fldCharType="separate"/>
            </w:r>
            <w:r w:rsidRPr="00475414">
              <w:rPr>
                <w:webHidden/>
              </w:rPr>
              <w:t>3</w:t>
            </w:r>
            <w:r w:rsidRPr="00475414">
              <w:rPr>
                <w:webHidden/>
              </w:rPr>
              <w:fldChar w:fldCharType="end"/>
            </w:r>
          </w:hyperlink>
        </w:p>
        <w:p w14:paraId="4DB9D8D0" w14:textId="16A9910C"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1" w:history="1">
            <w:r w:rsidRPr="00475414">
              <w:rPr>
                <w:rStyle w:val="Hyperlink"/>
                <w:rFonts w:ascii="Times New Roman" w:hAnsi="Times New Roman" w:cs="Times New Roman"/>
                <w:noProof/>
                <w:sz w:val="24"/>
                <w:szCs w:val="24"/>
              </w:rPr>
              <w:t>Income statement of Wales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_Toc111636341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3</w:t>
            </w:r>
            <w:r w:rsidRPr="00475414">
              <w:rPr>
                <w:rFonts w:ascii="Times New Roman" w:hAnsi="Times New Roman" w:cs="Times New Roman"/>
                <w:noProof/>
                <w:webHidden/>
                <w:sz w:val="24"/>
                <w:szCs w:val="24"/>
              </w:rPr>
              <w:fldChar w:fldCharType="end"/>
            </w:r>
          </w:hyperlink>
        </w:p>
        <w:p w14:paraId="6DBF7070" w14:textId="09C4FA94"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2" w:history="1">
            <w:r w:rsidRPr="00475414">
              <w:rPr>
                <w:rStyle w:val="Hyperlink"/>
                <w:rFonts w:ascii="Times New Roman" w:hAnsi="Times New Roman" w:cs="Times New Roman"/>
                <w:noProof/>
                <w:sz w:val="24"/>
                <w:szCs w:val="24"/>
              </w:rPr>
              <w:t>Workings done in the income statement</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_Toc111636342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3</w:t>
            </w:r>
            <w:r w:rsidRPr="00475414">
              <w:rPr>
                <w:rFonts w:ascii="Times New Roman" w:hAnsi="Times New Roman" w:cs="Times New Roman"/>
                <w:noProof/>
                <w:webHidden/>
                <w:sz w:val="24"/>
                <w:szCs w:val="24"/>
              </w:rPr>
              <w:fldChar w:fldCharType="end"/>
            </w:r>
          </w:hyperlink>
        </w:p>
        <w:p w14:paraId="64496076" w14:textId="2E576DEF"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3" w:history="1">
            <w:r w:rsidRPr="00475414">
              <w:rPr>
                <w:rStyle w:val="Hyperlink"/>
                <w:rFonts w:ascii="Times New Roman" w:hAnsi="Times New Roman" w:cs="Times New Roman"/>
                <w:noProof/>
                <w:sz w:val="24"/>
                <w:szCs w:val="24"/>
              </w:rPr>
              <w:t>Financial position statement of Wales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w:instrText>
            </w:r>
            <w:r w:rsidRPr="00475414">
              <w:rPr>
                <w:rFonts w:ascii="Times New Roman" w:hAnsi="Times New Roman" w:cs="Times New Roman"/>
                <w:noProof/>
                <w:webHidden/>
                <w:sz w:val="24"/>
                <w:szCs w:val="24"/>
              </w:rPr>
              <w:instrText xml:space="preserve">REF _Toc111636343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4</w:t>
            </w:r>
            <w:r w:rsidRPr="00475414">
              <w:rPr>
                <w:rFonts w:ascii="Times New Roman" w:hAnsi="Times New Roman" w:cs="Times New Roman"/>
                <w:noProof/>
                <w:webHidden/>
                <w:sz w:val="24"/>
                <w:szCs w:val="24"/>
              </w:rPr>
              <w:fldChar w:fldCharType="end"/>
            </w:r>
          </w:hyperlink>
        </w:p>
        <w:p w14:paraId="6E067EBC" w14:textId="53495365"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4" w:history="1">
            <w:r w:rsidRPr="00475414">
              <w:rPr>
                <w:rStyle w:val="Hyperlink"/>
                <w:rFonts w:ascii="Times New Roman" w:hAnsi="Times New Roman" w:cs="Times New Roman"/>
                <w:noProof/>
                <w:sz w:val="24"/>
                <w:szCs w:val="24"/>
              </w:rPr>
              <w:t>Workings done in the financial position statement</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_Toc111636344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4</w:t>
            </w:r>
            <w:r w:rsidRPr="00475414">
              <w:rPr>
                <w:rFonts w:ascii="Times New Roman" w:hAnsi="Times New Roman" w:cs="Times New Roman"/>
                <w:noProof/>
                <w:webHidden/>
                <w:sz w:val="24"/>
                <w:szCs w:val="24"/>
              </w:rPr>
              <w:fldChar w:fldCharType="end"/>
            </w:r>
          </w:hyperlink>
        </w:p>
        <w:p w14:paraId="0A38D368" w14:textId="25B715EF" w:rsidR="00475414" w:rsidRPr="00475414" w:rsidRDefault="00B7731A" w:rsidP="00475414">
          <w:pPr>
            <w:pStyle w:val="Cuprins1"/>
            <w:rPr>
              <w:rFonts w:eastAsiaTheme="minorEastAsia"/>
              <w:b w:val="0"/>
              <w:bCs w:val="0"/>
            </w:rPr>
          </w:pPr>
          <w:hyperlink w:anchor="_Toc111636345" w:history="1">
            <w:r w:rsidRPr="00475414">
              <w:rPr>
                <w:rStyle w:val="Hyperlink"/>
              </w:rPr>
              <w:t>The purpose behind the balance between the two sides of a balance sheet</w:t>
            </w:r>
            <w:r w:rsidRPr="00475414">
              <w:rPr>
                <w:webHidden/>
              </w:rPr>
              <w:tab/>
            </w:r>
            <w:r w:rsidRPr="00475414">
              <w:rPr>
                <w:webHidden/>
              </w:rPr>
              <w:fldChar w:fldCharType="begin"/>
            </w:r>
            <w:r w:rsidRPr="00475414">
              <w:rPr>
                <w:webHidden/>
              </w:rPr>
              <w:instrText xml:space="preserve"> PAGEREF _Toc111636345 \h </w:instrText>
            </w:r>
            <w:r w:rsidRPr="00475414">
              <w:rPr>
                <w:webHidden/>
              </w:rPr>
            </w:r>
            <w:r w:rsidRPr="00475414">
              <w:rPr>
                <w:webHidden/>
              </w:rPr>
              <w:fldChar w:fldCharType="separate"/>
            </w:r>
            <w:r w:rsidRPr="00475414">
              <w:rPr>
                <w:webHidden/>
              </w:rPr>
              <w:t>5</w:t>
            </w:r>
            <w:r w:rsidRPr="00475414">
              <w:rPr>
                <w:webHidden/>
              </w:rPr>
              <w:fldChar w:fldCharType="end"/>
            </w:r>
          </w:hyperlink>
        </w:p>
        <w:p w14:paraId="4112FFD8" w14:textId="45925842" w:rsidR="00475414" w:rsidRPr="00475414" w:rsidRDefault="00B7731A" w:rsidP="00475414">
          <w:pPr>
            <w:pStyle w:val="Cuprins1"/>
            <w:rPr>
              <w:rFonts w:eastAsiaTheme="minorEastAsia"/>
              <w:b w:val="0"/>
              <w:bCs w:val="0"/>
            </w:rPr>
          </w:pPr>
          <w:hyperlink w:anchor="_Toc111636346" w:history="1">
            <w:r w:rsidRPr="00475414">
              <w:rPr>
                <w:rStyle w:val="Hyperlink"/>
              </w:rPr>
              <w:t>The answer to part 2</w:t>
            </w:r>
            <w:r w:rsidRPr="00475414">
              <w:rPr>
                <w:webHidden/>
              </w:rPr>
              <w:tab/>
            </w:r>
            <w:r w:rsidRPr="00475414">
              <w:rPr>
                <w:webHidden/>
              </w:rPr>
              <w:fldChar w:fldCharType="begin"/>
            </w:r>
            <w:r w:rsidRPr="00475414">
              <w:rPr>
                <w:webHidden/>
              </w:rPr>
              <w:instrText xml:space="preserve"> PAGEREF _Toc111636346 \h </w:instrText>
            </w:r>
            <w:r w:rsidRPr="00475414">
              <w:rPr>
                <w:webHidden/>
              </w:rPr>
            </w:r>
            <w:r w:rsidRPr="00475414">
              <w:rPr>
                <w:webHidden/>
              </w:rPr>
              <w:fldChar w:fldCharType="separate"/>
            </w:r>
            <w:r w:rsidRPr="00475414">
              <w:rPr>
                <w:webHidden/>
              </w:rPr>
              <w:t>5</w:t>
            </w:r>
            <w:r w:rsidRPr="00475414">
              <w:rPr>
                <w:webHidden/>
              </w:rPr>
              <w:fldChar w:fldCharType="end"/>
            </w:r>
          </w:hyperlink>
        </w:p>
        <w:p w14:paraId="10EDCAC0" w14:textId="6510C89E"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7" w:history="1">
            <w:r w:rsidRPr="00475414">
              <w:rPr>
                <w:rStyle w:val="Hyperlink"/>
                <w:rFonts w:ascii="Times New Roman" w:hAnsi="Times New Roman" w:cs="Times New Roman"/>
                <w:noProof/>
                <w:sz w:val="24"/>
                <w:szCs w:val="24"/>
              </w:rPr>
              <w:t>Computation of relevant accounting ratios of Sweets Plc for 2020 and 2021</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_Toc111636347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5</w:t>
            </w:r>
            <w:r w:rsidRPr="00475414">
              <w:rPr>
                <w:rFonts w:ascii="Times New Roman" w:hAnsi="Times New Roman" w:cs="Times New Roman"/>
                <w:noProof/>
                <w:webHidden/>
                <w:sz w:val="24"/>
                <w:szCs w:val="24"/>
              </w:rPr>
              <w:fldChar w:fldCharType="end"/>
            </w:r>
          </w:hyperlink>
        </w:p>
        <w:p w14:paraId="0D87F3F5" w14:textId="2BE0C4F9" w:rsidR="00475414" w:rsidRPr="00475414" w:rsidRDefault="00B7731A" w:rsidP="00475414">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1636348" w:history="1">
            <w:r w:rsidRPr="00475414">
              <w:rPr>
                <w:rStyle w:val="Hyperlink"/>
                <w:rFonts w:ascii="Times New Roman" w:hAnsi="Times New Roman" w:cs="Times New Roman"/>
                <w:noProof/>
                <w:sz w:val="24"/>
                <w:szCs w:val="24"/>
              </w:rPr>
              <w:t>Assessment of the financial performance of Sweet's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_Toc111636348 \h </w:instrText>
            </w:r>
            <w:r w:rsidRPr="00475414">
              <w:rPr>
                <w:rFonts w:ascii="Times New Roman" w:hAnsi="Times New Roman" w:cs="Times New Roman"/>
                <w:noProof/>
                <w:webHidden/>
                <w:sz w:val="24"/>
                <w:szCs w:val="24"/>
              </w:rPr>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9</w:t>
            </w:r>
            <w:r w:rsidRPr="00475414">
              <w:rPr>
                <w:rFonts w:ascii="Times New Roman" w:hAnsi="Times New Roman" w:cs="Times New Roman"/>
                <w:noProof/>
                <w:webHidden/>
                <w:sz w:val="24"/>
                <w:szCs w:val="24"/>
              </w:rPr>
              <w:fldChar w:fldCharType="end"/>
            </w:r>
          </w:hyperlink>
        </w:p>
        <w:p w14:paraId="33A6A711" w14:textId="18764434" w:rsidR="00475414" w:rsidRPr="00475414" w:rsidRDefault="00B7731A" w:rsidP="00475414">
          <w:pPr>
            <w:pStyle w:val="Cuprins1"/>
            <w:rPr>
              <w:rFonts w:eastAsiaTheme="minorEastAsia"/>
              <w:b w:val="0"/>
              <w:bCs w:val="0"/>
            </w:rPr>
          </w:pPr>
          <w:hyperlink w:anchor="_Toc111636349" w:history="1">
            <w:r w:rsidRPr="00475414">
              <w:rPr>
                <w:rStyle w:val="Hyperlink"/>
              </w:rPr>
              <w:t>Reference list</w:t>
            </w:r>
            <w:r w:rsidRPr="00475414">
              <w:rPr>
                <w:webHidden/>
              </w:rPr>
              <w:tab/>
            </w:r>
            <w:r w:rsidRPr="00475414">
              <w:rPr>
                <w:webHidden/>
              </w:rPr>
              <w:fldChar w:fldCharType="begin"/>
            </w:r>
            <w:r w:rsidRPr="00475414">
              <w:rPr>
                <w:webHidden/>
              </w:rPr>
              <w:instrText xml:space="preserve"> PAGEREF _Toc111636349 \h </w:instrText>
            </w:r>
            <w:r w:rsidRPr="00475414">
              <w:rPr>
                <w:webHidden/>
              </w:rPr>
            </w:r>
            <w:r w:rsidRPr="00475414">
              <w:rPr>
                <w:webHidden/>
              </w:rPr>
              <w:fldChar w:fldCharType="separate"/>
            </w:r>
            <w:r w:rsidRPr="00475414">
              <w:rPr>
                <w:webHidden/>
              </w:rPr>
              <w:t>10</w:t>
            </w:r>
            <w:r w:rsidRPr="00475414">
              <w:rPr>
                <w:webHidden/>
              </w:rPr>
              <w:fldChar w:fldCharType="end"/>
            </w:r>
          </w:hyperlink>
        </w:p>
        <w:p w14:paraId="6E369853" w14:textId="0C232E8C" w:rsidR="00475414" w:rsidRPr="00475414" w:rsidRDefault="00B7731A" w:rsidP="00475414">
          <w:pPr>
            <w:spacing w:line="360" w:lineRule="auto"/>
            <w:jc w:val="both"/>
            <w:rPr>
              <w:rFonts w:ascii="Times New Roman" w:hAnsi="Times New Roman" w:cs="Times New Roman"/>
              <w:sz w:val="24"/>
              <w:szCs w:val="24"/>
            </w:rPr>
          </w:pPr>
          <w:r w:rsidRPr="00475414">
            <w:rPr>
              <w:rFonts w:ascii="Times New Roman" w:hAnsi="Times New Roman" w:cs="Times New Roman"/>
              <w:b/>
              <w:bCs/>
              <w:noProof/>
              <w:sz w:val="24"/>
              <w:szCs w:val="24"/>
            </w:rPr>
            <w:fldChar w:fldCharType="end"/>
          </w:r>
        </w:p>
      </w:sdtContent>
    </w:sdt>
    <w:p w14:paraId="5E8B3A4C" w14:textId="22FB8BBA" w:rsidR="000975EE" w:rsidRPr="00DB0C5D" w:rsidRDefault="000975EE" w:rsidP="00DB0C5D">
      <w:pPr>
        <w:spacing w:line="360" w:lineRule="auto"/>
        <w:jc w:val="center"/>
        <w:rPr>
          <w:rFonts w:ascii="Times New Roman" w:hAnsi="Times New Roman" w:cs="Times New Roman"/>
          <w:sz w:val="24"/>
          <w:szCs w:val="24"/>
        </w:rPr>
      </w:pPr>
    </w:p>
    <w:p w14:paraId="47549797" w14:textId="77777777" w:rsidR="000975EE" w:rsidRPr="00DB0C5D" w:rsidRDefault="00B7731A" w:rsidP="00DB0C5D">
      <w:pPr>
        <w:spacing w:line="360" w:lineRule="auto"/>
        <w:rPr>
          <w:rFonts w:ascii="Times New Roman" w:hAnsi="Times New Roman" w:cs="Times New Roman"/>
          <w:sz w:val="24"/>
          <w:szCs w:val="24"/>
        </w:rPr>
      </w:pPr>
      <w:r w:rsidRPr="00DB0C5D">
        <w:rPr>
          <w:rFonts w:ascii="Times New Roman" w:hAnsi="Times New Roman" w:cs="Times New Roman"/>
          <w:sz w:val="24"/>
          <w:szCs w:val="24"/>
        </w:rPr>
        <w:br w:type="page"/>
      </w:r>
    </w:p>
    <w:p w14:paraId="4A035F0D" w14:textId="5DA358E1" w:rsidR="000975EE" w:rsidRPr="00DB0C5D" w:rsidRDefault="00B7731A" w:rsidP="00DB0C5D">
      <w:pPr>
        <w:pStyle w:val="Titlu1"/>
        <w:spacing w:line="360" w:lineRule="auto"/>
        <w:rPr>
          <w:rFonts w:cs="Times New Roman"/>
          <w:szCs w:val="24"/>
        </w:rPr>
      </w:pPr>
      <w:bookmarkStart w:id="0" w:name="_Toc109819966"/>
      <w:bookmarkStart w:id="1" w:name="_Toc111631938"/>
      <w:bookmarkStart w:id="2" w:name="_Toc111636340"/>
      <w:r w:rsidRPr="00DB0C5D">
        <w:rPr>
          <w:rFonts w:cs="Times New Roman"/>
          <w:szCs w:val="24"/>
        </w:rPr>
        <w:lastRenderedPageBreak/>
        <w:t>The answer to part 1</w:t>
      </w:r>
      <w:bookmarkEnd w:id="0"/>
      <w:bookmarkEnd w:id="1"/>
      <w:bookmarkEnd w:id="2"/>
    </w:p>
    <w:p w14:paraId="55C1D640" w14:textId="278F39D1" w:rsidR="000975EE" w:rsidRPr="00DB0C5D" w:rsidRDefault="00B7731A" w:rsidP="00DB0C5D">
      <w:pPr>
        <w:pStyle w:val="Titlu2"/>
        <w:spacing w:line="360" w:lineRule="auto"/>
        <w:rPr>
          <w:rFonts w:cs="Times New Roman"/>
          <w:szCs w:val="24"/>
        </w:rPr>
      </w:pPr>
      <w:bookmarkStart w:id="3" w:name="_Toc109819967"/>
      <w:bookmarkStart w:id="4" w:name="_Toc111631939"/>
      <w:bookmarkStart w:id="5" w:name="_Toc111636341"/>
      <w:r w:rsidRPr="00DB0C5D">
        <w:rPr>
          <w:rFonts w:cs="Times New Roman"/>
          <w:szCs w:val="24"/>
        </w:rPr>
        <w:t>Income statement of Wales Plc.</w:t>
      </w:r>
      <w:bookmarkEnd w:id="3"/>
      <w:bookmarkEnd w:id="4"/>
      <w:bookmarkEnd w:id="5"/>
    </w:p>
    <w:tbl>
      <w:tblPr>
        <w:tblW w:w="8511" w:type="dxa"/>
        <w:jc w:val="center"/>
        <w:tblLook w:val="04A0" w:firstRow="1" w:lastRow="0" w:firstColumn="1" w:lastColumn="0" w:noHBand="0" w:noVBand="1"/>
      </w:tblPr>
      <w:tblGrid>
        <w:gridCol w:w="3063"/>
        <w:gridCol w:w="996"/>
        <w:gridCol w:w="944"/>
        <w:gridCol w:w="1816"/>
        <w:gridCol w:w="855"/>
        <w:gridCol w:w="996"/>
      </w:tblGrid>
      <w:tr w:rsidR="00BF12EB" w14:paraId="510DFDE0" w14:textId="77777777" w:rsidTr="00DE014D">
        <w:trPr>
          <w:trHeight w:val="356"/>
          <w:jc w:val="center"/>
        </w:trPr>
        <w:tc>
          <w:tcPr>
            <w:tcW w:w="3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6BAEBA"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Dr.</w:t>
            </w:r>
          </w:p>
        </w:tc>
        <w:tc>
          <w:tcPr>
            <w:tcW w:w="887" w:type="dxa"/>
            <w:tcBorders>
              <w:top w:val="single" w:sz="4" w:space="0" w:color="auto"/>
              <w:left w:val="nil"/>
              <w:bottom w:val="single" w:sz="4" w:space="0" w:color="auto"/>
              <w:right w:val="single" w:sz="4" w:space="0" w:color="auto"/>
            </w:tcBorders>
            <w:shd w:val="clear" w:color="auto" w:fill="auto"/>
            <w:noWrap/>
            <w:vAlign w:val="bottom"/>
            <w:hideMark/>
          </w:tcPr>
          <w:p w14:paraId="721AF567" w14:textId="18C399C0"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F455679" w14:textId="22EE2CB9"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single" w:sz="4" w:space="0" w:color="auto"/>
              <w:left w:val="nil"/>
              <w:bottom w:val="single" w:sz="4" w:space="0" w:color="auto"/>
              <w:right w:val="single" w:sz="4" w:space="0" w:color="auto"/>
            </w:tcBorders>
            <w:shd w:val="clear" w:color="auto" w:fill="auto"/>
            <w:noWrap/>
            <w:vAlign w:val="bottom"/>
            <w:hideMark/>
          </w:tcPr>
          <w:p w14:paraId="721322B7" w14:textId="2636841C"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single" w:sz="4" w:space="0" w:color="auto"/>
              <w:left w:val="nil"/>
              <w:bottom w:val="single" w:sz="4" w:space="0" w:color="auto"/>
              <w:right w:val="single" w:sz="4" w:space="0" w:color="auto"/>
            </w:tcBorders>
            <w:shd w:val="clear" w:color="auto" w:fill="auto"/>
            <w:noWrap/>
            <w:vAlign w:val="bottom"/>
            <w:hideMark/>
          </w:tcPr>
          <w:p w14:paraId="6327C09D" w14:textId="1476E3EA"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71523E0"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Cr.</w:t>
            </w:r>
          </w:p>
        </w:tc>
      </w:tr>
      <w:tr w:rsidR="00BF12EB" w14:paraId="17D26817"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0D14861"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 the books of Wales plc</w:t>
            </w:r>
          </w:p>
        </w:tc>
      </w:tr>
      <w:tr w:rsidR="00BF12EB" w14:paraId="784A58A2"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DEFEC54"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For the year ended 31/12/2021</w:t>
            </w:r>
          </w:p>
        </w:tc>
      </w:tr>
      <w:tr w:rsidR="00BF12EB" w14:paraId="7E49C485"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7374473" w14:textId="77777777" w:rsidR="000975EE"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Income Statement</w:t>
            </w:r>
          </w:p>
        </w:tc>
      </w:tr>
      <w:tr w:rsidR="00BF12EB" w14:paraId="3F78E7C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050CDD"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887" w:type="dxa"/>
            <w:tcBorders>
              <w:top w:val="nil"/>
              <w:left w:val="nil"/>
              <w:bottom w:val="single" w:sz="4" w:space="0" w:color="auto"/>
              <w:right w:val="single" w:sz="4" w:space="0" w:color="auto"/>
            </w:tcBorders>
            <w:shd w:val="clear" w:color="auto" w:fill="auto"/>
            <w:noWrap/>
            <w:vAlign w:val="center"/>
            <w:hideMark/>
          </w:tcPr>
          <w:p w14:paraId="2FCB5F84"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281C0DB7"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816" w:type="dxa"/>
            <w:tcBorders>
              <w:top w:val="nil"/>
              <w:left w:val="nil"/>
              <w:bottom w:val="single" w:sz="4" w:space="0" w:color="auto"/>
              <w:right w:val="single" w:sz="4" w:space="0" w:color="auto"/>
            </w:tcBorders>
            <w:shd w:val="clear" w:color="auto" w:fill="auto"/>
            <w:noWrap/>
            <w:vAlign w:val="center"/>
            <w:hideMark/>
          </w:tcPr>
          <w:p w14:paraId="5746F940"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855" w:type="dxa"/>
            <w:tcBorders>
              <w:top w:val="nil"/>
              <w:left w:val="nil"/>
              <w:bottom w:val="single" w:sz="4" w:space="0" w:color="auto"/>
              <w:right w:val="single" w:sz="4" w:space="0" w:color="auto"/>
            </w:tcBorders>
            <w:shd w:val="clear" w:color="auto" w:fill="auto"/>
            <w:noWrap/>
            <w:vAlign w:val="center"/>
            <w:hideMark/>
          </w:tcPr>
          <w:p w14:paraId="58D4E8EF"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7AF90D1C"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r>
      <w:tr w:rsidR="00BF12EB" w14:paraId="57A54FFF"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C6099D5"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purchase</w:t>
            </w:r>
          </w:p>
        </w:tc>
        <w:tc>
          <w:tcPr>
            <w:tcW w:w="887" w:type="dxa"/>
            <w:tcBorders>
              <w:top w:val="nil"/>
              <w:left w:val="nil"/>
              <w:bottom w:val="single" w:sz="4" w:space="0" w:color="auto"/>
              <w:right w:val="single" w:sz="4" w:space="0" w:color="auto"/>
            </w:tcBorders>
            <w:shd w:val="clear" w:color="auto" w:fill="auto"/>
            <w:noWrap/>
            <w:vAlign w:val="center"/>
            <w:hideMark/>
          </w:tcPr>
          <w:p w14:paraId="40FA405E"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578650</w:t>
            </w:r>
          </w:p>
        </w:tc>
        <w:tc>
          <w:tcPr>
            <w:tcW w:w="944" w:type="dxa"/>
            <w:tcBorders>
              <w:top w:val="nil"/>
              <w:left w:val="nil"/>
              <w:bottom w:val="single" w:sz="4" w:space="0" w:color="auto"/>
              <w:right w:val="single" w:sz="4" w:space="0" w:color="auto"/>
            </w:tcBorders>
            <w:shd w:val="clear" w:color="auto" w:fill="auto"/>
            <w:noWrap/>
            <w:vAlign w:val="center"/>
            <w:hideMark/>
          </w:tcPr>
          <w:p w14:paraId="5B8434A2" w14:textId="30125543"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9E40690"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By Sales</w:t>
            </w:r>
          </w:p>
        </w:tc>
        <w:tc>
          <w:tcPr>
            <w:tcW w:w="855" w:type="dxa"/>
            <w:tcBorders>
              <w:top w:val="nil"/>
              <w:left w:val="nil"/>
              <w:bottom w:val="single" w:sz="4" w:space="0" w:color="auto"/>
              <w:right w:val="single" w:sz="4" w:space="0" w:color="auto"/>
            </w:tcBorders>
            <w:shd w:val="clear" w:color="auto" w:fill="auto"/>
            <w:noWrap/>
            <w:vAlign w:val="center"/>
            <w:hideMark/>
          </w:tcPr>
          <w:p w14:paraId="3BDCA8BD" w14:textId="4A5DA93B"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B424031"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r>
      <w:tr w:rsidR="00BF12EB" w14:paraId="0815D164"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BFACC50" w14:textId="614BAF6F"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To gross profit </w:t>
            </w:r>
            <w:r w:rsidR="00117C36" w:rsidRPr="00DB0C5D">
              <w:rPr>
                <w:rFonts w:ascii="Times New Roman" w:eastAsia="Times New Roman" w:hAnsi="Times New Roman" w:cs="Times New Roman"/>
                <w:color w:val="000000"/>
                <w:sz w:val="24"/>
                <w:szCs w:val="24"/>
              </w:rPr>
              <w:t>c</w:t>
            </w:r>
            <w:r w:rsidRPr="00DB0C5D">
              <w:rPr>
                <w:rFonts w:ascii="Times New Roman" w:eastAsia="Times New Roman" w:hAnsi="Times New Roman" w:cs="Times New Roman"/>
                <w:color w:val="000000"/>
                <w:sz w:val="24"/>
                <w:szCs w:val="24"/>
              </w:rPr>
              <w:t>/d</w:t>
            </w:r>
          </w:p>
        </w:tc>
        <w:tc>
          <w:tcPr>
            <w:tcW w:w="887" w:type="dxa"/>
            <w:tcBorders>
              <w:top w:val="nil"/>
              <w:left w:val="nil"/>
              <w:bottom w:val="single" w:sz="4" w:space="0" w:color="auto"/>
              <w:right w:val="single" w:sz="4" w:space="0" w:color="auto"/>
            </w:tcBorders>
            <w:shd w:val="clear" w:color="auto" w:fill="auto"/>
            <w:noWrap/>
            <w:vAlign w:val="center"/>
            <w:hideMark/>
          </w:tcPr>
          <w:p w14:paraId="5F7D21BB"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5E83E8C2" w14:textId="063217A0"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058554EA" w14:textId="4AC10AC6"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71740D7" w14:textId="6AC729D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21F5BEA" w14:textId="759DFE9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2EAC54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80E9158"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887" w:type="dxa"/>
            <w:tcBorders>
              <w:top w:val="nil"/>
              <w:left w:val="nil"/>
              <w:bottom w:val="single" w:sz="4" w:space="0" w:color="auto"/>
              <w:right w:val="single" w:sz="4" w:space="0" w:color="auto"/>
            </w:tcBorders>
            <w:shd w:val="clear" w:color="auto" w:fill="auto"/>
            <w:noWrap/>
            <w:vAlign w:val="center"/>
            <w:hideMark/>
          </w:tcPr>
          <w:p w14:paraId="71EAA749"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c>
          <w:tcPr>
            <w:tcW w:w="944" w:type="dxa"/>
            <w:tcBorders>
              <w:top w:val="nil"/>
              <w:left w:val="nil"/>
              <w:bottom w:val="single" w:sz="4" w:space="0" w:color="auto"/>
              <w:right w:val="single" w:sz="4" w:space="0" w:color="auto"/>
            </w:tcBorders>
            <w:shd w:val="clear" w:color="auto" w:fill="auto"/>
            <w:noWrap/>
            <w:vAlign w:val="center"/>
            <w:hideMark/>
          </w:tcPr>
          <w:p w14:paraId="522093A1" w14:textId="493DCCA3"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6CC67EC"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855" w:type="dxa"/>
            <w:tcBorders>
              <w:top w:val="nil"/>
              <w:left w:val="nil"/>
              <w:bottom w:val="single" w:sz="4" w:space="0" w:color="auto"/>
              <w:right w:val="single" w:sz="4" w:space="0" w:color="auto"/>
            </w:tcBorders>
            <w:shd w:val="clear" w:color="auto" w:fill="auto"/>
            <w:noWrap/>
            <w:vAlign w:val="center"/>
            <w:hideMark/>
          </w:tcPr>
          <w:p w14:paraId="2ABB99CF" w14:textId="62E06FF1"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A086234"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r>
      <w:tr w:rsidR="00BF12EB" w14:paraId="36608AD5"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42298C0" w14:textId="57334B83"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5E4ABF89" w14:textId="65E4CE0F"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4A2D70A" w14:textId="15C1FDC1"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6208688"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By gross profit b/d</w:t>
            </w:r>
          </w:p>
        </w:tc>
        <w:tc>
          <w:tcPr>
            <w:tcW w:w="855" w:type="dxa"/>
            <w:tcBorders>
              <w:top w:val="nil"/>
              <w:left w:val="nil"/>
              <w:bottom w:val="single" w:sz="4" w:space="0" w:color="auto"/>
              <w:right w:val="single" w:sz="4" w:space="0" w:color="auto"/>
            </w:tcBorders>
            <w:shd w:val="clear" w:color="auto" w:fill="auto"/>
            <w:noWrap/>
            <w:vAlign w:val="center"/>
            <w:hideMark/>
          </w:tcPr>
          <w:p w14:paraId="48D5D876" w14:textId="4E308298"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EDE0487"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r>
      <w:tr w:rsidR="00BF12EB" w14:paraId="5CB0B5F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0BAD46A" w14:textId="570292B9"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Administrative expenses</w:t>
            </w:r>
          </w:p>
        </w:tc>
        <w:tc>
          <w:tcPr>
            <w:tcW w:w="887" w:type="dxa"/>
            <w:tcBorders>
              <w:top w:val="nil"/>
              <w:left w:val="nil"/>
              <w:bottom w:val="single" w:sz="4" w:space="0" w:color="auto"/>
              <w:right w:val="single" w:sz="4" w:space="0" w:color="auto"/>
            </w:tcBorders>
            <w:shd w:val="clear" w:color="auto" w:fill="auto"/>
            <w:noWrap/>
            <w:vAlign w:val="center"/>
            <w:hideMark/>
          </w:tcPr>
          <w:p w14:paraId="0A73A17B"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11069D4A" w14:textId="360EE4E0"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5CCDCCD" w14:textId="746F2F2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5F3F71CC" w14:textId="6871CE53"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FFD8A56" w14:textId="71054574"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6CB04C9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240E14E"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interest paid</w:t>
            </w:r>
          </w:p>
        </w:tc>
        <w:tc>
          <w:tcPr>
            <w:tcW w:w="887" w:type="dxa"/>
            <w:tcBorders>
              <w:top w:val="nil"/>
              <w:left w:val="nil"/>
              <w:bottom w:val="single" w:sz="4" w:space="0" w:color="auto"/>
              <w:right w:val="single" w:sz="4" w:space="0" w:color="auto"/>
            </w:tcBorders>
            <w:shd w:val="clear" w:color="auto" w:fill="auto"/>
            <w:noWrap/>
            <w:vAlign w:val="center"/>
            <w:hideMark/>
          </w:tcPr>
          <w:p w14:paraId="0E101F64"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w:t>
            </w:r>
          </w:p>
        </w:tc>
        <w:tc>
          <w:tcPr>
            <w:tcW w:w="944" w:type="dxa"/>
            <w:tcBorders>
              <w:top w:val="nil"/>
              <w:left w:val="nil"/>
              <w:bottom w:val="single" w:sz="4" w:space="0" w:color="auto"/>
              <w:right w:val="single" w:sz="4" w:space="0" w:color="auto"/>
            </w:tcBorders>
            <w:shd w:val="clear" w:color="auto" w:fill="auto"/>
            <w:noWrap/>
            <w:vAlign w:val="center"/>
            <w:hideMark/>
          </w:tcPr>
          <w:p w14:paraId="1B90FFB2" w14:textId="72466448"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4AE1B45" w14:textId="118202CA"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658E41B" w14:textId="43B1B0C3"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5B33C8EF" w14:textId="12D6F738"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4559F790"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2773FE8"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director's remuneration</w:t>
            </w:r>
          </w:p>
        </w:tc>
        <w:tc>
          <w:tcPr>
            <w:tcW w:w="887" w:type="dxa"/>
            <w:tcBorders>
              <w:top w:val="nil"/>
              <w:left w:val="nil"/>
              <w:bottom w:val="single" w:sz="4" w:space="0" w:color="auto"/>
              <w:right w:val="single" w:sz="4" w:space="0" w:color="auto"/>
            </w:tcBorders>
            <w:shd w:val="clear" w:color="auto" w:fill="auto"/>
            <w:noWrap/>
            <w:vAlign w:val="center"/>
            <w:hideMark/>
          </w:tcPr>
          <w:p w14:paraId="73DB7547"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5,000</w:t>
            </w:r>
          </w:p>
        </w:tc>
        <w:tc>
          <w:tcPr>
            <w:tcW w:w="944" w:type="dxa"/>
            <w:tcBorders>
              <w:top w:val="nil"/>
              <w:left w:val="nil"/>
              <w:bottom w:val="single" w:sz="4" w:space="0" w:color="auto"/>
              <w:right w:val="single" w:sz="4" w:space="0" w:color="auto"/>
            </w:tcBorders>
            <w:shd w:val="clear" w:color="auto" w:fill="auto"/>
            <w:noWrap/>
            <w:vAlign w:val="center"/>
            <w:hideMark/>
          </w:tcPr>
          <w:p w14:paraId="452F285E" w14:textId="5BD6D2AB"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D2C767D" w14:textId="5B5CD438"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DCA792B" w14:textId="134649FA"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B9745B5" w14:textId="0A90C94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7E0A61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77B1BBE"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distribution costs</w:t>
            </w:r>
          </w:p>
        </w:tc>
        <w:tc>
          <w:tcPr>
            <w:tcW w:w="887" w:type="dxa"/>
            <w:tcBorders>
              <w:top w:val="nil"/>
              <w:left w:val="nil"/>
              <w:bottom w:val="single" w:sz="4" w:space="0" w:color="auto"/>
              <w:right w:val="single" w:sz="4" w:space="0" w:color="auto"/>
            </w:tcBorders>
            <w:shd w:val="clear" w:color="auto" w:fill="auto"/>
            <w:noWrap/>
            <w:vAlign w:val="center"/>
            <w:hideMark/>
          </w:tcPr>
          <w:p w14:paraId="38E405FD"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28,000</w:t>
            </w:r>
          </w:p>
        </w:tc>
        <w:tc>
          <w:tcPr>
            <w:tcW w:w="944" w:type="dxa"/>
            <w:tcBorders>
              <w:top w:val="nil"/>
              <w:left w:val="nil"/>
              <w:bottom w:val="single" w:sz="4" w:space="0" w:color="auto"/>
              <w:right w:val="single" w:sz="4" w:space="0" w:color="auto"/>
            </w:tcBorders>
            <w:shd w:val="clear" w:color="auto" w:fill="auto"/>
            <w:noWrap/>
            <w:vAlign w:val="center"/>
            <w:hideMark/>
          </w:tcPr>
          <w:p w14:paraId="1EC69D12" w14:textId="6F873B67"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4846D11" w14:textId="31FED39B"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2759017D" w14:textId="1808BE72"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C9AE9DC" w14:textId="227EECCA"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4685AF98"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47AD5E"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To pay an </w:t>
            </w:r>
            <w:r w:rsidRPr="00DB0C5D">
              <w:rPr>
                <w:rFonts w:ascii="Times New Roman" w:eastAsia="Times New Roman" w:hAnsi="Times New Roman" w:cs="Times New Roman"/>
                <w:color w:val="000000"/>
                <w:sz w:val="24"/>
                <w:szCs w:val="24"/>
              </w:rPr>
              <w:t>ordinary dividend</w:t>
            </w:r>
          </w:p>
        </w:tc>
        <w:tc>
          <w:tcPr>
            <w:tcW w:w="887" w:type="dxa"/>
            <w:tcBorders>
              <w:top w:val="nil"/>
              <w:left w:val="nil"/>
              <w:bottom w:val="single" w:sz="4" w:space="0" w:color="auto"/>
              <w:right w:val="single" w:sz="4" w:space="0" w:color="auto"/>
            </w:tcBorders>
            <w:shd w:val="clear" w:color="auto" w:fill="auto"/>
            <w:noWrap/>
            <w:vAlign w:val="center"/>
            <w:hideMark/>
          </w:tcPr>
          <w:p w14:paraId="2BD2E037"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20,000</w:t>
            </w:r>
          </w:p>
        </w:tc>
        <w:tc>
          <w:tcPr>
            <w:tcW w:w="944" w:type="dxa"/>
            <w:tcBorders>
              <w:top w:val="nil"/>
              <w:left w:val="nil"/>
              <w:bottom w:val="single" w:sz="4" w:space="0" w:color="auto"/>
              <w:right w:val="single" w:sz="4" w:space="0" w:color="auto"/>
            </w:tcBorders>
            <w:shd w:val="clear" w:color="auto" w:fill="auto"/>
            <w:noWrap/>
            <w:vAlign w:val="center"/>
            <w:hideMark/>
          </w:tcPr>
          <w:p w14:paraId="53F07B91" w14:textId="7A4EBEE5"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BC13E7F" w14:textId="39FE5C44"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F87594A" w14:textId="6E2666F4"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6794CD8" w14:textId="52489F11"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11EDFC9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1AE2BBE"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pay of preference dividend</w:t>
            </w:r>
          </w:p>
        </w:tc>
        <w:tc>
          <w:tcPr>
            <w:tcW w:w="887" w:type="dxa"/>
            <w:tcBorders>
              <w:top w:val="nil"/>
              <w:left w:val="nil"/>
              <w:bottom w:val="single" w:sz="4" w:space="0" w:color="auto"/>
              <w:right w:val="single" w:sz="4" w:space="0" w:color="auto"/>
            </w:tcBorders>
            <w:shd w:val="clear" w:color="auto" w:fill="auto"/>
            <w:noWrap/>
            <w:vAlign w:val="center"/>
            <w:hideMark/>
          </w:tcPr>
          <w:p w14:paraId="61D0E379"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25B395CA" w14:textId="470B35E7"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5863162" w14:textId="141FB9E2"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382175FC" w14:textId="202ADA36"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6B82846" w14:textId="27020B8E"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1236150D"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1FF1952"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corporation tax</w:t>
            </w:r>
          </w:p>
        </w:tc>
        <w:tc>
          <w:tcPr>
            <w:tcW w:w="887" w:type="dxa"/>
            <w:tcBorders>
              <w:top w:val="nil"/>
              <w:left w:val="nil"/>
              <w:bottom w:val="single" w:sz="4" w:space="0" w:color="auto"/>
              <w:right w:val="single" w:sz="4" w:space="0" w:color="auto"/>
            </w:tcBorders>
            <w:shd w:val="clear" w:color="auto" w:fill="auto"/>
            <w:noWrap/>
            <w:vAlign w:val="center"/>
            <w:hideMark/>
          </w:tcPr>
          <w:p w14:paraId="627B460A"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944" w:type="dxa"/>
            <w:tcBorders>
              <w:top w:val="nil"/>
              <w:left w:val="nil"/>
              <w:bottom w:val="single" w:sz="4" w:space="0" w:color="auto"/>
              <w:right w:val="single" w:sz="4" w:space="0" w:color="auto"/>
            </w:tcBorders>
            <w:shd w:val="clear" w:color="auto" w:fill="auto"/>
            <w:noWrap/>
            <w:vAlign w:val="center"/>
            <w:hideMark/>
          </w:tcPr>
          <w:p w14:paraId="2E3AD329" w14:textId="14821A6F"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1C3AA75" w14:textId="5E3CD19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A6F06D2" w14:textId="5E426434"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0658898" w14:textId="340AF582"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124BCB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FD2416E" w14:textId="04B1D862"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outstanding commission</w:t>
            </w:r>
          </w:p>
        </w:tc>
        <w:tc>
          <w:tcPr>
            <w:tcW w:w="887" w:type="dxa"/>
            <w:tcBorders>
              <w:top w:val="nil"/>
              <w:left w:val="nil"/>
              <w:bottom w:val="single" w:sz="4" w:space="0" w:color="auto"/>
              <w:right w:val="single" w:sz="4" w:space="0" w:color="auto"/>
            </w:tcBorders>
            <w:shd w:val="clear" w:color="auto" w:fill="auto"/>
            <w:noWrap/>
            <w:vAlign w:val="center"/>
            <w:hideMark/>
          </w:tcPr>
          <w:p w14:paraId="0024EB29"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w:t>
            </w:r>
          </w:p>
        </w:tc>
        <w:tc>
          <w:tcPr>
            <w:tcW w:w="944" w:type="dxa"/>
            <w:tcBorders>
              <w:top w:val="nil"/>
              <w:left w:val="nil"/>
              <w:bottom w:val="single" w:sz="4" w:space="0" w:color="auto"/>
              <w:right w:val="single" w:sz="4" w:space="0" w:color="auto"/>
            </w:tcBorders>
            <w:shd w:val="clear" w:color="auto" w:fill="auto"/>
            <w:noWrap/>
            <w:vAlign w:val="center"/>
            <w:hideMark/>
          </w:tcPr>
          <w:p w14:paraId="235E4156" w14:textId="2379552B"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1FD57FB" w14:textId="00C51D67"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1F253B4F" w14:textId="2505B689"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2611ABD" w14:textId="67386F80"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4D0E43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0BAB961"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net profit</w:t>
            </w:r>
          </w:p>
        </w:tc>
        <w:tc>
          <w:tcPr>
            <w:tcW w:w="887" w:type="dxa"/>
            <w:tcBorders>
              <w:top w:val="nil"/>
              <w:left w:val="nil"/>
              <w:bottom w:val="single" w:sz="4" w:space="0" w:color="auto"/>
              <w:right w:val="single" w:sz="4" w:space="0" w:color="auto"/>
            </w:tcBorders>
            <w:shd w:val="clear" w:color="auto" w:fill="auto"/>
            <w:noWrap/>
            <w:vAlign w:val="center"/>
            <w:hideMark/>
          </w:tcPr>
          <w:p w14:paraId="16665C10"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3,350</w:t>
            </w:r>
          </w:p>
        </w:tc>
        <w:tc>
          <w:tcPr>
            <w:tcW w:w="944" w:type="dxa"/>
            <w:tcBorders>
              <w:top w:val="nil"/>
              <w:left w:val="nil"/>
              <w:bottom w:val="single" w:sz="4" w:space="0" w:color="auto"/>
              <w:right w:val="single" w:sz="4" w:space="0" w:color="auto"/>
            </w:tcBorders>
            <w:shd w:val="clear" w:color="auto" w:fill="auto"/>
            <w:noWrap/>
            <w:vAlign w:val="center"/>
            <w:hideMark/>
          </w:tcPr>
          <w:p w14:paraId="6FE69087" w14:textId="7B1A5CA6"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B4371A7" w14:textId="3D61380D"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56C1DC2" w14:textId="55B02C5A"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FBE92AF" w14:textId="62A26C88"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r>
      <w:tr w:rsidR="00BF12EB" w14:paraId="5461456C"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73C9BC3" w14:textId="0C2A9692"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2B305D69"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797C4940" w14:textId="58DF0780"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01320B9" w14:textId="7F2F96A2"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8DB3870" w14:textId="5FB2BC96" w:rsidR="000975EE" w:rsidRPr="00DB0C5D" w:rsidRDefault="000975EE" w:rsidP="00DB0C5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3D111BB8" w14:textId="77777777" w:rsidR="000975EE"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r>
    </w:tbl>
    <w:p w14:paraId="3CA9C9D6" w14:textId="35EA1E9F" w:rsidR="000975EE" w:rsidRPr="00DB0C5D" w:rsidRDefault="00B7731A" w:rsidP="00DB0C5D">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Table 1: Income statement</w:t>
      </w:r>
      <w:r w:rsidR="00EA2160" w:rsidRPr="00DB0C5D">
        <w:rPr>
          <w:rFonts w:ascii="Times New Roman" w:hAnsi="Times New Roman" w:cs="Times New Roman"/>
          <w:b/>
          <w:bCs/>
          <w:sz w:val="24"/>
          <w:szCs w:val="24"/>
        </w:rPr>
        <w:t xml:space="preserve"> of 2021</w:t>
      </w:r>
    </w:p>
    <w:p w14:paraId="0D7ED9FF" w14:textId="33D031F6" w:rsidR="000975EE" w:rsidRPr="00DB0C5D" w:rsidRDefault="00B7731A" w:rsidP="00DB0C5D">
      <w:pPr>
        <w:spacing w:line="360" w:lineRule="auto"/>
        <w:jc w:val="center"/>
        <w:rPr>
          <w:rFonts w:ascii="Times New Roman" w:hAnsi="Times New Roman" w:cs="Times New Roman"/>
          <w:sz w:val="24"/>
          <w:szCs w:val="24"/>
        </w:rPr>
      </w:pPr>
      <w:r w:rsidRPr="00DB0C5D">
        <w:rPr>
          <w:rFonts w:ascii="Times New Roman" w:hAnsi="Times New Roman" w:cs="Times New Roman"/>
          <w:sz w:val="24"/>
          <w:szCs w:val="24"/>
        </w:rPr>
        <w:t>(Source: Self-report, 2022)</w:t>
      </w:r>
    </w:p>
    <w:p w14:paraId="55196BA1" w14:textId="2BD27D97" w:rsidR="00526A0E" w:rsidRPr="00DB0C5D" w:rsidRDefault="00B7731A" w:rsidP="00DB0C5D">
      <w:pPr>
        <w:pStyle w:val="Titlu2"/>
        <w:spacing w:line="360" w:lineRule="auto"/>
      </w:pPr>
      <w:bookmarkStart w:id="6" w:name="_Toc111636342"/>
      <w:r w:rsidRPr="00DB0C5D">
        <w:t>Workings done in the income statement</w:t>
      </w:r>
      <w:bookmarkEnd w:id="6"/>
    </w:p>
    <w:p w14:paraId="32E3BFF9" w14:textId="764C6446" w:rsidR="00526A0E" w:rsidRPr="00DB0C5D" w:rsidRDefault="00B7731A" w:rsidP="00DB0C5D">
      <w:pPr>
        <w:pStyle w:val="Listparagraf"/>
        <w:numPr>
          <w:ilvl w:val="0"/>
          <w:numId w:val="1"/>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Gross Profit: </w:t>
      </w:r>
      <w:r w:rsidRPr="00DB0C5D">
        <w:rPr>
          <w:rFonts w:ascii="Times New Roman" w:hAnsi="Times New Roman" w:cs="Times New Roman"/>
          <w:sz w:val="24"/>
          <w:szCs w:val="24"/>
        </w:rPr>
        <w:t>Gross profit is</w:t>
      </w:r>
      <w:r w:rsidR="007C2549" w:rsidRPr="00DB0C5D">
        <w:rPr>
          <w:rFonts w:ascii="Times New Roman" w:hAnsi="Times New Roman" w:cs="Times New Roman"/>
          <w:sz w:val="24"/>
          <w:szCs w:val="24"/>
        </w:rPr>
        <w:t xml:space="preserve"> computed from</w:t>
      </w:r>
      <w:r w:rsidRPr="00DB0C5D">
        <w:rPr>
          <w:rFonts w:ascii="Times New Roman" w:hAnsi="Times New Roman" w:cs="Times New Roman"/>
          <w:sz w:val="24"/>
          <w:szCs w:val="24"/>
        </w:rPr>
        <w:t xml:space="preserve"> the difference between total sales and total purchases</w:t>
      </w:r>
      <w:r w:rsidR="009746C3">
        <w:rPr>
          <w:rFonts w:ascii="Times New Roman" w:hAnsi="Times New Roman" w:cs="Times New Roman"/>
          <w:sz w:val="24"/>
          <w:szCs w:val="24"/>
        </w:rPr>
        <w:t xml:space="preserve"> (</w:t>
      </w:r>
      <w:r w:rsidR="009746C3" w:rsidRPr="009746C3">
        <w:rPr>
          <w:rFonts w:ascii="Times New Roman" w:hAnsi="Times New Roman" w:cs="Times New Roman"/>
          <w:color w:val="000000" w:themeColor="text1"/>
          <w:sz w:val="24"/>
          <w:szCs w:val="24"/>
        </w:rPr>
        <w:t>FreshBooks</w:t>
      </w:r>
      <w:r w:rsidR="009746C3">
        <w:rPr>
          <w:rFonts w:ascii="Times New Roman" w:hAnsi="Times New Roman" w:cs="Times New Roman"/>
          <w:color w:val="000000" w:themeColor="text1"/>
          <w:sz w:val="24"/>
          <w:szCs w:val="24"/>
        </w:rPr>
        <w:t>,</w:t>
      </w:r>
      <w:r w:rsidR="009746C3" w:rsidRPr="009746C3">
        <w:rPr>
          <w:rFonts w:ascii="Times New Roman" w:hAnsi="Times New Roman" w:cs="Times New Roman"/>
          <w:color w:val="000000" w:themeColor="text1"/>
          <w:sz w:val="24"/>
          <w:szCs w:val="24"/>
        </w:rPr>
        <w:t xml:space="preserve"> 2022</w:t>
      </w:r>
      <w:r w:rsidR="009746C3">
        <w:rPr>
          <w:rFonts w:ascii="Times New Roman" w:hAnsi="Times New Roman" w:cs="Times New Roman"/>
          <w:color w:val="000000" w:themeColor="text1"/>
          <w:sz w:val="24"/>
          <w:szCs w:val="24"/>
        </w:rPr>
        <w:t>)</w:t>
      </w:r>
      <w:r w:rsidRPr="00DB0C5D">
        <w:rPr>
          <w:rFonts w:ascii="Times New Roman" w:hAnsi="Times New Roman" w:cs="Times New Roman"/>
          <w:sz w:val="24"/>
          <w:szCs w:val="24"/>
        </w:rPr>
        <w:t xml:space="preserve">. Here, the value of the difference is = </w:t>
      </w:r>
      <w:r w:rsidRPr="00DB0C5D">
        <w:rPr>
          <w:rFonts w:ascii="Times New Roman" w:eastAsia="Times New Roman" w:hAnsi="Times New Roman" w:cs="Times New Roman"/>
          <w:color w:val="000000"/>
          <w:sz w:val="24"/>
          <w:szCs w:val="24"/>
        </w:rPr>
        <w:t xml:space="preserve">£800,000- £578650= £221,350. </w:t>
      </w:r>
    </w:p>
    <w:p w14:paraId="589D765C" w14:textId="2E2C8715" w:rsidR="00526A0E" w:rsidRPr="00DB0C5D" w:rsidRDefault="00B7731A" w:rsidP="00DB0C5D">
      <w:pPr>
        <w:pStyle w:val="Listparagraf"/>
        <w:numPr>
          <w:ilvl w:val="0"/>
          <w:numId w:val="1"/>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lastRenderedPageBreak/>
        <w:t xml:space="preserve">Net profit: </w:t>
      </w:r>
      <w:r w:rsidRPr="00DB0C5D">
        <w:rPr>
          <w:rFonts w:ascii="Times New Roman" w:hAnsi="Times New Roman" w:cs="Times New Roman"/>
          <w:sz w:val="24"/>
          <w:szCs w:val="24"/>
        </w:rPr>
        <w:t xml:space="preserve">Net Profit is </w:t>
      </w:r>
      <w:r w:rsidR="007C2549" w:rsidRPr="00DB0C5D">
        <w:rPr>
          <w:rFonts w:ascii="Times New Roman" w:hAnsi="Times New Roman" w:cs="Times New Roman"/>
          <w:sz w:val="24"/>
          <w:szCs w:val="24"/>
        </w:rPr>
        <w:t xml:space="preserve">evaluated from </w:t>
      </w:r>
      <w:r w:rsidRPr="00DB0C5D">
        <w:rPr>
          <w:rFonts w:ascii="Times New Roman" w:hAnsi="Times New Roman" w:cs="Times New Roman"/>
          <w:sz w:val="24"/>
          <w:szCs w:val="24"/>
        </w:rPr>
        <w:t xml:space="preserve">the difference between gross profit b/d and total expenses and costs that is </w:t>
      </w:r>
      <w:r w:rsidRPr="00DB0C5D">
        <w:rPr>
          <w:rFonts w:ascii="Times New Roman" w:eastAsia="Times New Roman" w:hAnsi="Times New Roman" w:cs="Times New Roman"/>
          <w:color w:val="000000"/>
          <w:sz w:val="24"/>
          <w:szCs w:val="24"/>
        </w:rPr>
        <w:t>£221,350- (30,000+ 2000+ 5000+ 28,000+ 20,000+ 30,000+ 100,000+ 3000) (£) = £3,350</w:t>
      </w:r>
      <w:r w:rsidR="007C2549" w:rsidRPr="00DB0C5D">
        <w:rPr>
          <w:rFonts w:ascii="Times New Roman" w:eastAsia="Times New Roman" w:hAnsi="Times New Roman" w:cs="Times New Roman"/>
          <w:color w:val="000000"/>
          <w:sz w:val="24"/>
          <w:szCs w:val="24"/>
        </w:rPr>
        <w:t>.</w:t>
      </w:r>
    </w:p>
    <w:p w14:paraId="25A86B5E" w14:textId="731787D7" w:rsidR="00DE014D" w:rsidRPr="00DB0C5D" w:rsidRDefault="00B7731A" w:rsidP="00DB0C5D">
      <w:pPr>
        <w:pStyle w:val="Titlu2"/>
        <w:spacing w:line="360" w:lineRule="auto"/>
        <w:rPr>
          <w:rFonts w:cs="Times New Roman"/>
          <w:szCs w:val="24"/>
        </w:rPr>
      </w:pPr>
      <w:bookmarkStart w:id="7" w:name="_Toc109819969"/>
      <w:bookmarkStart w:id="8" w:name="_Toc111631940"/>
      <w:bookmarkStart w:id="9" w:name="_Toc111636343"/>
      <w:r w:rsidRPr="00DB0C5D">
        <w:rPr>
          <w:rFonts w:cs="Times New Roman"/>
          <w:szCs w:val="24"/>
        </w:rPr>
        <w:t>Financial position statement of Wales Plc.</w:t>
      </w:r>
      <w:bookmarkEnd w:id="7"/>
      <w:bookmarkEnd w:id="8"/>
      <w:bookmarkEnd w:id="9"/>
      <w:r w:rsidRPr="00DB0C5D">
        <w:rPr>
          <w:rFonts w:cs="Times New Roman"/>
          <w:szCs w:val="24"/>
        </w:rPr>
        <w:t xml:space="preserve"> </w:t>
      </w:r>
    </w:p>
    <w:tbl>
      <w:tblPr>
        <w:tblW w:w="8364" w:type="dxa"/>
        <w:jc w:val="center"/>
        <w:tblLook w:val="04A0" w:firstRow="1" w:lastRow="0" w:firstColumn="1" w:lastColumn="0" w:noHBand="0" w:noVBand="1"/>
      </w:tblPr>
      <w:tblGrid>
        <w:gridCol w:w="2623"/>
        <w:gridCol w:w="997"/>
        <w:gridCol w:w="1218"/>
        <w:gridCol w:w="2015"/>
        <w:gridCol w:w="336"/>
        <w:gridCol w:w="1218"/>
      </w:tblGrid>
      <w:tr w:rsidR="00BF12EB" w14:paraId="1496BBBD" w14:textId="77777777" w:rsidTr="00E622C8">
        <w:trPr>
          <w:trHeight w:val="427"/>
          <w:jc w:val="center"/>
        </w:trPr>
        <w:tc>
          <w:tcPr>
            <w:tcW w:w="8364" w:type="dxa"/>
            <w:gridSpan w:val="6"/>
            <w:tcBorders>
              <w:top w:val="single" w:sz="8" w:space="0" w:color="auto"/>
              <w:left w:val="single" w:sz="8" w:space="0" w:color="auto"/>
              <w:bottom w:val="single" w:sz="4" w:space="0" w:color="auto"/>
              <w:right w:val="single" w:sz="8" w:space="0" w:color="000000"/>
            </w:tcBorders>
            <w:shd w:val="clear" w:color="auto" w:fill="auto"/>
            <w:noWrap/>
            <w:vAlign w:val="center"/>
            <w:hideMark/>
          </w:tcPr>
          <w:p w14:paraId="0A19A334"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 the books of Wales plc</w:t>
            </w:r>
          </w:p>
        </w:tc>
      </w:tr>
      <w:tr w:rsidR="00BF12EB" w14:paraId="08928263"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5ACFDD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For the </w:t>
            </w:r>
            <w:r w:rsidRPr="00DB0C5D">
              <w:rPr>
                <w:rFonts w:ascii="Times New Roman" w:eastAsia="Times New Roman" w:hAnsi="Times New Roman" w:cs="Times New Roman"/>
                <w:color w:val="000000"/>
                <w:sz w:val="24"/>
                <w:szCs w:val="24"/>
              </w:rPr>
              <w:t>year ended 31/12/2021</w:t>
            </w:r>
          </w:p>
        </w:tc>
      </w:tr>
      <w:tr w:rsidR="00BF12EB" w14:paraId="7084748B"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7A0D7D1" w14:textId="77777777" w:rsidR="00DE014D"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Statement of financial position</w:t>
            </w:r>
          </w:p>
        </w:tc>
      </w:tr>
      <w:tr w:rsidR="00BF12EB" w14:paraId="1199F2B8"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477F00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Liabilities</w:t>
            </w:r>
          </w:p>
        </w:tc>
        <w:tc>
          <w:tcPr>
            <w:tcW w:w="997" w:type="dxa"/>
            <w:tcBorders>
              <w:top w:val="nil"/>
              <w:left w:val="nil"/>
              <w:bottom w:val="single" w:sz="4" w:space="0" w:color="auto"/>
              <w:right w:val="single" w:sz="4" w:space="0" w:color="auto"/>
            </w:tcBorders>
            <w:shd w:val="clear" w:color="auto" w:fill="auto"/>
            <w:noWrap/>
            <w:vAlign w:val="center"/>
            <w:hideMark/>
          </w:tcPr>
          <w:p w14:paraId="283F4BC7"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4" w:space="0" w:color="auto"/>
            </w:tcBorders>
            <w:shd w:val="clear" w:color="auto" w:fill="auto"/>
            <w:noWrap/>
            <w:vAlign w:val="center"/>
            <w:hideMark/>
          </w:tcPr>
          <w:p w14:paraId="1F4ADCF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2015" w:type="dxa"/>
            <w:tcBorders>
              <w:top w:val="nil"/>
              <w:left w:val="nil"/>
              <w:bottom w:val="single" w:sz="4" w:space="0" w:color="auto"/>
              <w:right w:val="single" w:sz="4" w:space="0" w:color="auto"/>
            </w:tcBorders>
            <w:shd w:val="clear" w:color="auto" w:fill="auto"/>
            <w:noWrap/>
            <w:vAlign w:val="center"/>
            <w:hideMark/>
          </w:tcPr>
          <w:p w14:paraId="160C017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Asset</w:t>
            </w:r>
          </w:p>
        </w:tc>
        <w:tc>
          <w:tcPr>
            <w:tcW w:w="291" w:type="dxa"/>
            <w:tcBorders>
              <w:top w:val="nil"/>
              <w:left w:val="nil"/>
              <w:bottom w:val="single" w:sz="4" w:space="0" w:color="auto"/>
              <w:right w:val="single" w:sz="4" w:space="0" w:color="auto"/>
            </w:tcBorders>
            <w:shd w:val="clear" w:color="auto" w:fill="auto"/>
            <w:noWrap/>
            <w:vAlign w:val="center"/>
            <w:hideMark/>
          </w:tcPr>
          <w:p w14:paraId="65A1173B"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8" w:space="0" w:color="auto"/>
            </w:tcBorders>
            <w:shd w:val="clear" w:color="auto" w:fill="auto"/>
            <w:noWrap/>
            <w:vAlign w:val="center"/>
            <w:hideMark/>
          </w:tcPr>
          <w:p w14:paraId="70052CF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r>
      <w:tr w:rsidR="00BF12EB" w14:paraId="47DC26B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5A01365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Share capital</w:t>
            </w:r>
          </w:p>
        </w:tc>
        <w:tc>
          <w:tcPr>
            <w:tcW w:w="997" w:type="dxa"/>
            <w:tcBorders>
              <w:top w:val="nil"/>
              <w:left w:val="nil"/>
              <w:bottom w:val="single" w:sz="4" w:space="0" w:color="auto"/>
              <w:right w:val="single" w:sz="4" w:space="0" w:color="auto"/>
            </w:tcBorders>
            <w:shd w:val="clear" w:color="auto" w:fill="auto"/>
            <w:noWrap/>
            <w:vAlign w:val="center"/>
            <w:hideMark/>
          </w:tcPr>
          <w:p w14:paraId="7B8D811D"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7E9F1E8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9624D8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0B43ED1D"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7EC1B3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2C49FBC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3C5A38D"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Ordinary share</w:t>
            </w:r>
          </w:p>
        </w:tc>
        <w:tc>
          <w:tcPr>
            <w:tcW w:w="997" w:type="dxa"/>
            <w:tcBorders>
              <w:top w:val="nil"/>
              <w:left w:val="nil"/>
              <w:bottom w:val="single" w:sz="4" w:space="0" w:color="auto"/>
              <w:right w:val="single" w:sz="4" w:space="0" w:color="auto"/>
            </w:tcBorders>
            <w:shd w:val="clear" w:color="auto" w:fill="auto"/>
            <w:noWrap/>
            <w:vAlign w:val="center"/>
            <w:hideMark/>
          </w:tcPr>
          <w:p w14:paraId="3020421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500,000</w:t>
            </w:r>
          </w:p>
        </w:tc>
        <w:tc>
          <w:tcPr>
            <w:tcW w:w="1218" w:type="dxa"/>
            <w:tcBorders>
              <w:top w:val="nil"/>
              <w:left w:val="nil"/>
              <w:bottom w:val="single" w:sz="4" w:space="0" w:color="auto"/>
              <w:right w:val="single" w:sz="4" w:space="0" w:color="auto"/>
            </w:tcBorders>
            <w:shd w:val="clear" w:color="auto" w:fill="auto"/>
            <w:noWrap/>
            <w:vAlign w:val="center"/>
            <w:hideMark/>
          </w:tcPr>
          <w:p w14:paraId="609485C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CDE300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Fixed Asset</w:t>
            </w:r>
          </w:p>
        </w:tc>
        <w:tc>
          <w:tcPr>
            <w:tcW w:w="291" w:type="dxa"/>
            <w:tcBorders>
              <w:top w:val="nil"/>
              <w:left w:val="nil"/>
              <w:bottom w:val="single" w:sz="4" w:space="0" w:color="auto"/>
              <w:right w:val="single" w:sz="4" w:space="0" w:color="auto"/>
            </w:tcBorders>
            <w:shd w:val="clear" w:color="auto" w:fill="auto"/>
            <w:noWrap/>
            <w:vAlign w:val="center"/>
            <w:hideMark/>
          </w:tcPr>
          <w:p w14:paraId="32E5C14E"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3335A6B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674E7CF0"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D4D8CDD"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Pref share</w:t>
            </w:r>
          </w:p>
        </w:tc>
        <w:tc>
          <w:tcPr>
            <w:tcW w:w="997" w:type="dxa"/>
            <w:tcBorders>
              <w:top w:val="nil"/>
              <w:left w:val="nil"/>
              <w:bottom w:val="single" w:sz="4" w:space="0" w:color="auto"/>
              <w:right w:val="single" w:sz="4" w:space="0" w:color="auto"/>
            </w:tcBorders>
            <w:shd w:val="clear" w:color="auto" w:fill="auto"/>
            <w:noWrap/>
            <w:vAlign w:val="center"/>
            <w:hideMark/>
          </w:tcPr>
          <w:p w14:paraId="1321C644"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200,000</w:t>
            </w:r>
          </w:p>
        </w:tc>
        <w:tc>
          <w:tcPr>
            <w:tcW w:w="1218" w:type="dxa"/>
            <w:tcBorders>
              <w:top w:val="nil"/>
              <w:left w:val="nil"/>
              <w:bottom w:val="single" w:sz="4" w:space="0" w:color="auto"/>
              <w:right w:val="single" w:sz="4" w:space="0" w:color="auto"/>
            </w:tcBorders>
            <w:shd w:val="clear" w:color="auto" w:fill="auto"/>
            <w:noWrap/>
            <w:vAlign w:val="center"/>
            <w:hideMark/>
          </w:tcPr>
          <w:p w14:paraId="11BFD93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FD343B"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Plant</w:t>
            </w:r>
          </w:p>
        </w:tc>
        <w:tc>
          <w:tcPr>
            <w:tcW w:w="291" w:type="dxa"/>
            <w:tcBorders>
              <w:top w:val="nil"/>
              <w:left w:val="nil"/>
              <w:bottom w:val="single" w:sz="4" w:space="0" w:color="auto"/>
              <w:right w:val="single" w:sz="4" w:space="0" w:color="auto"/>
            </w:tcBorders>
            <w:shd w:val="clear" w:color="auto" w:fill="auto"/>
            <w:noWrap/>
            <w:vAlign w:val="center"/>
            <w:hideMark/>
          </w:tcPr>
          <w:p w14:paraId="17C96AB7"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50FB99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650,000</w:t>
            </w:r>
          </w:p>
        </w:tc>
      </w:tr>
      <w:tr w:rsidR="00BF12EB" w14:paraId="610219D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491BE2CC" w14:textId="77777777" w:rsidR="00DE014D"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Total</w:t>
            </w:r>
          </w:p>
        </w:tc>
        <w:tc>
          <w:tcPr>
            <w:tcW w:w="997" w:type="dxa"/>
            <w:tcBorders>
              <w:top w:val="nil"/>
              <w:left w:val="nil"/>
              <w:bottom w:val="single" w:sz="4" w:space="0" w:color="auto"/>
              <w:right w:val="single" w:sz="4" w:space="0" w:color="auto"/>
            </w:tcBorders>
            <w:shd w:val="clear" w:color="auto" w:fill="auto"/>
            <w:noWrap/>
            <w:vAlign w:val="center"/>
            <w:hideMark/>
          </w:tcPr>
          <w:p w14:paraId="4DD87D42" w14:textId="77777777" w:rsidR="00DE014D"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700,000</w:t>
            </w:r>
          </w:p>
        </w:tc>
        <w:tc>
          <w:tcPr>
            <w:tcW w:w="1218" w:type="dxa"/>
            <w:tcBorders>
              <w:top w:val="nil"/>
              <w:left w:val="nil"/>
              <w:bottom w:val="single" w:sz="4" w:space="0" w:color="auto"/>
              <w:right w:val="single" w:sz="4" w:space="0" w:color="auto"/>
            </w:tcBorders>
            <w:shd w:val="clear" w:color="auto" w:fill="auto"/>
            <w:noWrap/>
            <w:vAlign w:val="center"/>
            <w:hideMark/>
          </w:tcPr>
          <w:p w14:paraId="054A1BF4"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1F245B"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asset</w:t>
            </w:r>
          </w:p>
        </w:tc>
        <w:tc>
          <w:tcPr>
            <w:tcW w:w="291" w:type="dxa"/>
            <w:tcBorders>
              <w:top w:val="nil"/>
              <w:left w:val="nil"/>
              <w:bottom w:val="single" w:sz="4" w:space="0" w:color="auto"/>
              <w:right w:val="single" w:sz="4" w:space="0" w:color="auto"/>
            </w:tcBorders>
            <w:shd w:val="clear" w:color="auto" w:fill="auto"/>
            <w:noWrap/>
            <w:vAlign w:val="center"/>
            <w:hideMark/>
          </w:tcPr>
          <w:p w14:paraId="50C259D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AFCD84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4EC5E3C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8A57B1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Add: Net profit</w:t>
            </w:r>
          </w:p>
        </w:tc>
        <w:tc>
          <w:tcPr>
            <w:tcW w:w="997" w:type="dxa"/>
            <w:tcBorders>
              <w:top w:val="nil"/>
              <w:left w:val="nil"/>
              <w:bottom w:val="single" w:sz="4" w:space="0" w:color="auto"/>
              <w:right w:val="single" w:sz="4" w:space="0" w:color="auto"/>
            </w:tcBorders>
            <w:shd w:val="clear" w:color="auto" w:fill="auto"/>
            <w:noWrap/>
            <w:vAlign w:val="center"/>
            <w:hideMark/>
          </w:tcPr>
          <w:p w14:paraId="6F6ECC4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3,350</w:t>
            </w:r>
          </w:p>
        </w:tc>
        <w:tc>
          <w:tcPr>
            <w:tcW w:w="1218" w:type="dxa"/>
            <w:tcBorders>
              <w:top w:val="nil"/>
              <w:left w:val="nil"/>
              <w:bottom w:val="single" w:sz="4" w:space="0" w:color="auto"/>
              <w:right w:val="single" w:sz="4" w:space="0" w:color="auto"/>
            </w:tcBorders>
            <w:shd w:val="clear" w:color="auto" w:fill="auto"/>
            <w:noWrap/>
            <w:vAlign w:val="center"/>
            <w:hideMark/>
          </w:tcPr>
          <w:p w14:paraId="089EE9B4"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53785D41"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Trade receivable</w:t>
            </w:r>
          </w:p>
        </w:tc>
        <w:tc>
          <w:tcPr>
            <w:tcW w:w="291" w:type="dxa"/>
            <w:tcBorders>
              <w:top w:val="nil"/>
              <w:left w:val="nil"/>
              <w:bottom w:val="single" w:sz="4" w:space="0" w:color="auto"/>
              <w:right w:val="single" w:sz="4" w:space="0" w:color="auto"/>
            </w:tcBorders>
            <w:shd w:val="clear" w:color="auto" w:fill="auto"/>
            <w:noWrap/>
            <w:vAlign w:val="center"/>
            <w:hideMark/>
          </w:tcPr>
          <w:p w14:paraId="4B9E6FA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182E999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170,125</w:t>
            </w:r>
          </w:p>
        </w:tc>
      </w:tr>
      <w:tr w:rsidR="00BF12EB" w14:paraId="664BC207"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18BF570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Add: retained earning</w:t>
            </w:r>
          </w:p>
        </w:tc>
        <w:tc>
          <w:tcPr>
            <w:tcW w:w="997" w:type="dxa"/>
            <w:tcBorders>
              <w:top w:val="nil"/>
              <w:left w:val="nil"/>
              <w:bottom w:val="single" w:sz="4" w:space="0" w:color="auto"/>
              <w:right w:val="single" w:sz="4" w:space="0" w:color="auto"/>
            </w:tcBorders>
            <w:shd w:val="clear" w:color="auto" w:fill="auto"/>
            <w:noWrap/>
            <w:vAlign w:val="center"/>
            <w:hideMark/>
          </w:tcPr>
          <w:p w14:paraId="7F7A814E"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132,000</w:t>
            </w:r>
          </w:p>
        </w:tc>
        <w:tc>
          <w:tcPr>
            <w:tcW w:w="1218" w:type="dxa"/>
            <w:tcBorders>
              <w:top w:val="nil"/>
              <w:left w:val="nil"/>
              <w:bottom w:val="single" w:sz="4" w:space="0" w:color="auto"/>
              <w:right w:val="single" w:sz="4" w:space="0" w:color="auto"/>
            </w:tcBorders>
            <w:shd w:val="clear" w:color="auto" w:fill="auto"/>
            <w:noWrap/>
            <w:vAlign w:val="center"/>
            <w:hideMark/>
          </w:tcPr>
          <w:p w14:paraId="19BF7E6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62611300"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Cash and bank</w:t>
            </w:r>
          </w:p>
        </w:tc>
        <w:tc>
          <w:tcPr>
            <w:tcW w:w="291" w:type="dxa"/>
            <w:tcBorders>
              <w:top w:val="nil"/>
              <w:left w:val="nil"/>
              <w:bottom w:val="single" w:sz="4" w:space="0" w:color="auto"/>
              <w:right w:val="single" w:sz="4" w:space="0" w:color="auto"/>
            </w:tcBorders>
            <w:shd w:val="clear" w:color="auto" w:fill="auto"/>
            <w:noWrap/>
            <w:vAlign w:val="center"/>
            <w:hideMark/>
          </w:tcPr>
          <w:p w14:paraId="4122E22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724BF03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76,250</w:t>
            </w:r>
          </w:p>
        </w:tc>
      </w:tr>
      <w:tr w:rsidR="00BF12EB" w14:paraId="369B65BA"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35F622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997" w:type="dxa"/>
            <w:tcBorders>
              <w:top w:val="nil"/>
              <w:left w:val="nil"/>
              <w:bottom w:val="single" w:sz="4" w:space="0" w:color="auto"/>
              <w:right w:val="single" w:sz="4" w:space="0" w:color="auto"/>
            </w:tcBorders>
            <w:shd w:val="clear" w:color="auto" w:fill="auto"/>
            <w:noWrap/>
            <w:vAlign w:val="center"/>
            <w:hideMark/>
          </w:tcPr>
          <w:p w14:paraId="7D465E2B"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F97813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835,350</w:t>
            </w:r>
          </w:p>
        </w:tc>
        <w:tc>
          <w:tcPr>
            <w:tcW w:w="2015" w:type="dxa"/>
            <w:tcBorders>
              <w:top w:val="nil"/>
              <w:left w:val="nil"/>
              <w:bottom w:val="single" w:sz="4" w:space="0" w:color="auto"/>
              <w:right w:val="single" w:sz="4" w:space="0" w:color="auto"/>
            </w:tcBorders>
            <w:shd w:val="clear" w:color="auto" w:fill="auto"/>
            <w:noWrap/>
            <w:vAlign w:val="center"/>
            <w:hideMark/>
          </w:tcPr>
          <w:p w14:paraId="42443275"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Stock</w:t>
            </w:r>
          </w:p>
        </w:tc>
        <w:tc>
          <w:tcPr>
            <w:tcW w:w="291" w:type="dxa"/>
            <w:tcBorders>
              <w:top w:val="nil"/>
              <w:left w:val="nil"/>
              <w:bottom w:val="single" w:sz="4" w:space="0" w:color="auto"/>
              <w:right w:val="single" w:sz="4" w:space="0" w:color="auto"/>
            </w:tcBorders>
            <w:shd w:val="clear" w:color="auto" w:fill="auto"/>
            <w:noWrap/>
            <w:vAlign w:val="center"/>
            <w:hideMark/>
          </w:tcPr>
          <w:p w14:paraId="4D507D6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3E8D761"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330,600</w:t>
            </w:r>
          </w:p>
        </w:tc>
      </w:tr>
      <w:tr w:rsidR="00BF12EB" w14:paraId="3837575D"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29A60F9" w14:textId="5F2D1A9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Debentures</w:t>
            </w:r>
          </w:p>
        </w:tc>
        <w:tc>
          <w:tcPr>
            <w:tcW w:w="997" w:type="dxa"/>
            <w:tcBorders>
              <w:top w:val="nil"/>
              <w:left w:val="nil"/>
              <w:bottom w:val="single" w:sz="4" w:space="0" w:color="auto"/>
              <w:right w:val="single" w:sz="4" w:space="0" w:color="auto"/>
            </w:tcBorders>
            <w:shd w:val="clear" w:color="auto" w:fill="auto"/>
            <w:noWrap/>
            <w:vAlign w:val="center"/>
            <w:hideMark/>
          </w:tcPr>
          <w:p w14:paraId="7786E01C"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C50801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074EF51C"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B1DE53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4EFA26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0A11C35E"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E1F58DC"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997" w:type="dxa"/>
            <w:tcBorders>
              <w:top w:val="nil"/>
              <w:left w:val="nil"/>
              <w:bottom w:val="single" w:sz="4" w:space="0" w:color="auto"/>
              <w:right w:val="single" w:sz="4" w:space="0" w:color="auto"/>
            </w:tcBorders>
            <w:shd w:val="clear" w:color="auto" w:fill="auto"/>
            <w:noWrap/>
            <w:vAlign w:val="center"/>
            <w:hideMark/>
          </w:tcPr>
          <w:p w14:paraId="53A0D41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5BF5BDA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7D7A02E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CDC064"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C5A94F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092870E9"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680956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Outstanding expenses</w:t>
            </w:r>
          </w:p>
        </w:tc>
        <w:tc>
          <w:tcPr>
            <w:tcW w:w="997" w:type="dxa"/>
            <w:tcBorders>
              <w:top w:val="nil"/>
              <w:left w:val="nil"/>
              <w:bottom w:val="single" w:sz="4" w:space="0" w:color="auto"/>
              <w:right w:val="single" w:sz="4" w:space="0" w:color="auto"/>
            </w:tcBorders>
            <w:shd w:val="clear" w:color="auto" w:fill="auto"/>
            <w:noWrap/>
            <w:vAlign w:val="center"/>
            <w:hideMark/>
          </w:tcPr>
          <w:p w14:paraId="6DEFBF31"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2186BEE7"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w:t>
            </w:r>
          </w:p>
        </w:tc>
        <w:tc>
          <w:tcPr>
            <w:tcW w:w="2015" w:type="dxa"/>
            <w:tcBorders>
              <w:top w:val="nil"/>
              <w:left w:val="nil"/>
              <w:bottom w:val="single" w:sz="4" w:space="0" w:color="auto"/>
              <w:right w:val="single" w:sz="4" w:space="0" w:color="auto"/>
            </w:tcBorders>
            <w:shd w:val="clear" w:color="auto" w:fill="auto"/>
            <w:noWrap/>
            <w:vAlign w:val="center"/>
            <w:hideMark/>
          </w:tcPr>
          <w:p w14:paraId="4956606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11BC7FD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7815F0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6A4D69B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F803F6F"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Corporation tax</w:t>
            </w:r>
          </w:p>
        </w:tc>
        <w:tc>
          <w:tcPr>
            <w:tcW w:w="997" w:type="dxa"/>
            <w:tcBorders>
              <w:top w:val="nil"/>
              <w:left w:val="nil"/>
              <w:bottom w:val="single" w:sz="4" w:space="0" w:color="auto"/>
              <w:right w:val="single" w:sz="4" w:space="0" w:color="auto"/>
            </w:tcBorders>
            <w:shd w:val="clear" w:color="auto" w:fill="auto"/>
            <w:noWrap/>
            <w:vAlign w:val="center"/>
            <w:hideMark/>
          </w:tcPr>
          <w:p w14:paraId="260E6649"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1176B3CC"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11DC5235"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4A7E77"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60E2727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7BCC29E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6DE47D6"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Trade </w:t>
            </w:r>
            <w:r w:rsidRPr="00DB0C5D">
              <w:rPr>
                <w:rFonts w:ascii="Times New Roman" w:eastAsia="Times New Roman" w:hAnsi="Times New Roman" w:cs="Times New Roman"/>
                <w:color w:val="000000"/>
                <w:sz w:val="24"/>
                <w:szCs w:val="24"/>
              </w:rPr>
              <w:t>payable</w:t>
            </w:r>
          </w:p>
        </w:tc>
        <w:tc>
          <w:tcPr>
            <w:tcW w:w="997" w:type="dxa"/>
            <w:tcBorders>
              <w:top w:val="nil"/>
              <w:left w:val="nil"/>
              <w:bottom w:val="single" w:sz="4" w:space="0" w:color="auto"/>
              <w:right w:val="single" w:sz="4" w:space="0" w:color="auto"/>
            </w:tcBorders>
            <w:shd w:val="clear" w:color="auto" w:fill="auto"/>
            <w:noWrap/>
            <w:vAlign w:val="center"/>
            <w:hideMark/>
          </w:tcPr>
          <w:p w14:paraId="08769DDC"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4992AE7A"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188625</w:t>
            </w:r>
          </w:p>
        </w:tc>
        <w:tc>
          <w:tcPr>
            <w:tcW w:w="2015" w:type="dxa"/>
            <w:tcBorders>
              <w:top w:val="nil"/>
              <w:left w:val="nil"/>
              <w:bottom w:val="single" w:sz="4" w:space="0" w:color="auto"/>
              <w:right w:val="single" w:sz="4" w:space="0" w:color="auto"/>
            </w:tcBorders>
            <w:shd w:val="clear" w:color="auto" w:fill="auto"/>
            <w:noWrap/>
            <w:vAlign w:val="center"/>
            <w:hideMark/>
          </w:tcPr>
          <w:p w14:paraId="1B3C68F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792D198"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567FB193"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rsidR="00BF12EB" w14:paraId="2EA06B2C" w14:textId="77777777" w:rsidTr="00E622C8">
        <w:trPr>
          <w:trHeight w:val="443"/>
          <w:jc w:val="center"/>
        </w:trPr>
        <w:tc>
          <w:tcPr>
            <w:tcW w:w="2623" w:type="dxa"/>
            <w:tcBorders>
              <w:top w:val="nil"/>
              <w:left w:val="single" w:sz="8" w:space="0" w:color="auto"/>
              <w:bottom w:val="single" w:sz="8" w:space="0" w:color="auto"/>
              <w:right w:val="single" w:sz="4" w:space="0" w:color="auto"/>
            </w:tcBorders>
            <w:shd w:val="clear" w:color="auto" w:fill="auto"/>
            <w:noWrap/>
            <w:vAlign w:val="center"/>
            <w:hideMark/>
          </w:tcPr>
          <w:p w14:paraId="627019B2"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Total </w:t>
            </w:r>
          </w:p>
        </w:tc>
        <w:tc>
          <w:tcPr>
            <w:tcW w:w="997" w:type="dxa"/>
            <w:tcBorders>
              <w:top w:val="nil"/>
              <w:left w:val="nil"/>
              <w:bottom w:val="single" w:sz="8" w:space="0" w:color="auto"/>
              <w:right w:val="single" w:sz="4" w:space="0" w:color="auto"/>
            </w:tcBorders>
            <w:shd w:val="clear" w:color="auto" w:fill="auto"/>
            <w:noWrap/>
            <w:vAlign w:val="center"/>
            <w:hideMark/>
          </w:tcPr>
          <w:p w14:paraId="0196A3E6"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4" w:space="0" w:color="auto"/>
            </w:tcBorders>
            <w:shd w:val="clear" w:color="auto" w:fill="auto"/>
            <w:noWrap/>
            <w:vAlign w:val="center"/>
            <w:hideMark/>
          </w:tcPr>
          <w:p w14:paraId="0B1A670E"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1,226,975</w:t>
            </w:r>
          </w:p>
        </w:tc>
        <w:tc>
          <w:tcPr>
            <w:tcW w:w="2015" w:type="dxa"/>
            <w:tcBorders>
              <w:top w:val="nil"/>
              <w:left w:val="nil"/>
              <w:bottom w:val="single" w:sz="8" w:space="0" w:color="auto"/>
              <w:right w:val="single" w:sz="4" w:space="0" w:color="auto"/>
            </w:tcBorders>
            <w:shd w:val="clear" w:color="auto" w:fill="auto"/>
            <w:noWrap/>
            <w:vAlign w:val="center"/>
            <w:hideMark/>
          </w:tcPr>
          <w:p w14:paraId="0EF035EB"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291" w:type="dxa"/>
            <w:tcBorders>
              <w:top w:val="nil"/>
              <w:left w:val="nil"/>
              <w:bottom w:val="single" w:sz="8" w:space="0" w:color="auto"/>
              <w:right w:val="single" w:sz="4" w:space="0" w:color="auto"/>
            </w:tcBorders>
            <w:shd w:val="clear" w:color="auto" w:fill="auto"/>
            <w:noWrap/>
            <w:vAlign w:val="center"/>
            <w:hideMark/>
          </w:tcPr>
          <w:p w14:paraId="30512F55"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8" w:space="0" w:color="auto"/>
            </w:tcBorders>
            <w:shd w:val="clear" w:color="auto" w:fill="auto"/>
            <w:noWrap/>
            <w:vAlign w:val="center"/>
            <w:hideMark/>
          </w:tcPr>
          <w:p w14:paraId="35919F7E" w14:textId="77777777" w:rsidR="00DE014D"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1,226,975</w:t>
            </w:r>
          </w:p>
        </w:tc>
      </w:tr>
    </w:tbl>
    <w:p w14:paraId="68C32722" w14:textId="61FAE208" w:rsidR="00DE014D" w:rsidRPr="00DB0C5D" w:rsidRDefault="00B7731A" w:rsidP="00DB0C5D">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Table 2: Financial position statement</w:t>
      </w:r>
      <w:r w:rsidR="00EA2160" w:rsidRPr="00DB0C5D">
        <w:rPr>
          <w:rFonts w:ascii="Times New Roman" w:hAnsi="Times New Roman" w:cs="Times New Roman"/>
          <w:b/>
          <w:bCs/>
          <w:sz w:val="24"/>
          <w:szCs w:val="24"/>
        </w:rPr>
        <w:t xml:space="preserve"> of 2021</w:t>
      </w:r>
    </w:p>
    <w:p w14:paraId="0AB336B2" w14:textId="699C471D" w:rsidR="00E622C8" w:rsidRPr="00DB0C5D" w:rsidRDefault="00B7731A" w:rsidP="00DB0C5D">
      <w:pPr>
        <w:spacing w:line="360" w:lineRule="auto"/>
        <w:jc w:val="center"/>
        <w:rPr>
          <w:rFonts w:ascii="Times New Roman" w:hAnsi="Times New Roman" w:cs="Times New Roman"/>
          <w:sz w:val="24"/>
          <w:szCs w:val="24"/>
        </w:rPr>
      </w:pPr>
      <w:r w:rsidRPr="00DB0C5D">
        <w:rPr>
          <w:rFonts w:ascii="Times New Roman" w:hAnsi="Times New Roman" w:cs="Times New Roman"/>
          <w:sz w:val="24"/>
          <w:szCs w:val="24"/>
        </w:rPr>
        <w:t>(Source: Self-report, 2022)</w:t>
      </w:r>
    </w:p>
    <w:p w14:paraId="2B611008" w14:textId="2A874146" w:rsidR="00E622C8" w:rsidRPr="00DB0C5D" w:rsidRDefault="00B7731A" w:rsidP="00DB0C5D">
      <w:pPr>
        <w:pStyle w:val="Titlu2"/>
        <w:spacing w:line="360" w:lineRule="auto"/>
      </w:pPr>
      <w:bookmarkStart w:id="10" w:name="_Toc109819970"/>
      <w:bookmarkStart w:id="11" w:name="_Toc111631941"/>
      <w:bookmarkStart w:id="12" w:name="_Toc111636344"/>
      <w:r w:rsidRPr="00DB0C5D">
        <w:t>Workings done in the financial position statement</w:t>
      </w:r>
      <w:bookmarkEnd w:id="10"/>
      <w:bookmarkEnd w:id="11"/>
      <w:bookmarkEnd w:id="12"/>
      <w:r w:rsidRPr="00DB0C5D">
        <w:t xml:space="preserve"> </w:t>
      </w:r>
    </w:p>
    <w:p w14:paraId="21DFDED7" w14:textId="044FC2D7" w:rsidR="007C2549" w:rsidRPr="00DB0C5D" w:rsidRDefault="00B7731A" w:rsidP="00DB0C5D">
      <w:pPr>
        <w:pStyle w:val="Listparagraf"/>
        <w:numPr>
          <w:ilvl w:val="0"/>
          <w:numId w:val="6"/>
        </w:numPr>
        <w:spacing w:line="360" w:lineRule="auto"/>
        <w:rPr>
          <w:rFonts w:ascii="Times New Roman" w:hAnsi="Times New Roman" w:cs="Times New Roman"/>
          <w:sz w:val="24"/>
          <w:szCs w:val="24"/>
        </w:rPr>
      </w:pPr>
      <w:r w:rsidRPr="00DB0C5D">
        <w:rPr>
          <w:rFonts w:ascii="Times New Roman" w:hAnsi="Times New Roman" w:cs="Times New Roman"/>
          <w:sz w:val="24"/>
          <w:szCs w:val="24"/>
        </w:rPr>
        <w:t xml:space="preserve">The assets side shows values of respective available </w:t>
      </w:r>
      <w:r w:rsidRPr="00DB0C5D">
        <w:rPr>
          <w:rFonts w:ascii="Times New Roman" w:hAnsi="Times New Roman" w:cs="Times New Roman"/>
          <w:sz w:val="24"/>
          <w:szCs w:val="24"/>
        </w:rPr>
        <w:t>resources. Here, current assets, plant, trade receivables, and stocks are added together to evaluate the total assets.</w:t>
      </w:r>
    </w:p>
    <w:p w14:paraId="02F265BC" w14:textId="0092BAB3" w:rsidR="007C2549" w:rsidRPr="00DB0C5D" w:rsidRDefault="00B7731A" w:rsidP="00DB0C5D">
      <w:pPr>
        <w:pStyle w:val="Listparagraf"/>
        <w:numPr>
          <w:ilvl w:val="0"/>
          <w:numId w:val="6"/>
        </w:num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 xml:space="preserve">Liabilities are the aspects and expenses that will get debited </w:t>
      </w:r>
      <w:r w:rsidR="00AE6055" w:rsidRPr="00DB0C5D">
        <w:rPr>
          <w:rFonts w:ascii="Times New Roman" w:hAnsi="Times New Roman" w:cs="Times New Roman"/>
          <w:sz w:val="24"/>
          <w:szCs w:val="24"/>
        </w:rPr>
        <w:t xml:space="preserve">when a company operates in a financial year. Here, corporation tax, trade payables, debentures, ordinary shares, etc. are summed up to evaluate the total liabilities of the company.  </w:t>
      </w:r>
    </w:p>
    <w:p w14:paraId="46C995D9" w14:textId="26CE9C3D" w:rsidR="000F293E" w:rsidRPr="00DB0C5D" w:rsidRDefault="00B7731A" w:rsidP="00DB0C5D">
      <w:pPr>
        <w:pStyle w:val="Titlu1"/>
        <w:spacing w:line="360" w:lineRule="auto"/>
        <w:rPr>
          <w:rFonts w:cs="Times New Roman"/>
          <w:szCs w:val="24"/>
        </w:rPr>
      </w:pPr>
      <w:bookmarkStart w:id="13" w:name="_Toc111636345"/>
      <w:bookmarkStart w:id="14" w:name="_Toc111631943"/>
      <w:r w:rsidRPr="00DB0C5D">
        <w:rPr>
          <w:rFonts w:cs="Times New Roman"/>
          <w:szCs w:val="24"/>
        </w:rPr>
        <w:lastRenderedPageBreak/>
        <w:t>The purpose behind the balance between the two sides of a balance sheet</w:t>
      </w:r>
      <w:bookmarkEnd w:id="13"/>
      <w:r w:rsidRPr="00DB0C5D">
        <w:rPr>
          <w:rFonts w:cs="Times New Roman"/>
          <w:szCs w:val="24"/>
        </w:rPr>
        <w:t xml:space="preserve"> </w:t>
      </w:r>
    </w:p>
    <w:p w14:paraId="5F4C855C" w14:textId="6247BF9C" w:rsidR="000F293E" w:rsidRPr="00DB0C5D" w:rsidRDefault="00B7731A" w:rsidP="00DB0C5D">
      <w:p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The assets, liabilities, and equity of the shareholders</w:t>
      </w:r>
      <w:r w:rsidR="000F45F2" w:rsidRPr="00DB0C5D">
        <w:rPr>
          <w:rFonts w:ascii="Times New Roman" w:hAnsi="Times New Roman" w:cs="Times New Roman"/>
          <w:sz w:val="24"/>
          <w:szCs w:val="24"/>
        </w:rPr>
        <w:t xml:space="preserve"> are summarized in a financial statement which is called the balance sheet. The company knows about its financial position by looking at the balance sheet. A company with higher assets and lower liabilities will be in a better position to deal with sudden short-term debts and other issues.</w:t>
      </w:r>
      <w:r w:rsidR="00DA595A" w:rsidRPr="00DB0C5D">
        <w:rPr>
          <w:rFonts w:ascii="Times New Roman" w:hAnsi="Times New Roman" w:cs="Times New Roman"/>
          <w:sz w:val="24"/>
          <w:szCs w:val="24"/>
        </w:rPr>
        <w:t xml:space="preserve"> The sources of financing used in the business are shown in the balance sheet alongside the financial transactions. All this information </w:t>
      </w:r>
      <w:r w:rsidR="00526A0E" w:rsidRPr="00DB0C5D">
        <w:rPr>
          <w:rFonts w:ascii="Times New Roman" w:hAnsi="Times New Roman" w:cs="Times New Roman"/>
          <w:sz w:val="24"/>
          <w:szCs w:val="24"/>
        </w:rPr>
        <w:t>is</w:t>
      </w:r>
      <w:r w:rsidR="00DA595A" w:rsidRPr="00DB0C5D">
        <w:rPr>
          <w:rFonts w:ascii="Times New Roman" w:hAnsi="Times New Roman" w:cs="Times New Roman"/>
          <w:sz w:val="24"/>
          <w:szCs w:val="24"/>
        </w:rPr>
        <w:t xml:space="preserve"> </w:t>
      </w:r>
      <w:r w:rsidR="00526A0E" w:rsidRPr="00DB0C5D">
        <w:rPr>
          <w:rFonts w:ascii="Times New Roman" w:hAnsi="Times New Roman" w:cs="Times New Roman"/>
          <w:sz w:val="24"/>
          <w:szCs w:val="24"/>
        </w:rPr>
        <w:t>correctly recorded by the accountants hired by the company. So, the balance between the liability and assets sides implies that the dataset and its values are correct. The balance sheet follows the formula Total assets=Total liabilities+ Shareholders' equity. An imbalance would resemble that this accounting formula is wrong which can never be possible</w:t>
      </w:r>
      <w:r w:rsidR="009746C3">
        <w:rPr>
          <w:rFonts w:ascii="Times New Roman" w:hAnsi="Times New Roman" w:cs="Times New Roman"/>
          <w:sz w:val="24"/>
          <w:szCs w:val="24"/>
        </w:rPr>
        <w:t xml:space="preserve"> (Gocardless, 2022)</w:t>
      </w:r>
      <w:r w:rsidR="00526A0E" w:rsidRPr="00DB0C5D">
        <w:rPr>
          <w:rFonts w:ascii="Times New Roman" w:hAnsi="Times New Roman" w:cs="Times New Roman"/>
          <w:sz w:val="24"/>
          <w:szCs w:val="24"/>
        </w:rPr>
        <w:t xml:space="preserve">. </w:t>
      </w:r>
    </w:p>
    <w:p w14:paraId="39D29C26" w14:textId="69FA6A36" w:rsidR="000975EE" w:rsidRPr="00DB0C5D" w:rsidRDefault="00B7731A" w:rsidP="00DB0C5D">
      <w:pPr>
        <w:pStyle w:val="Titlu1"/>
        <w:spacing w:line="360" w:lineRule="auto"/>
        <w:rPr>
          <w:rFonts w:cs="Times New Roman"/>
          <w:szCs w:val="24"/>
        </w:rPr>
      </w:pPr>
      <w:bookmarkStart w:id="15" w:name="_Toc111636346"/>
      <w:r w:rsidRPr="00DB0C5D">
        <w:rPr>
          <w:rFonts w:cs="Times New Roman"/>
          <w:szCs w:val="24"/>
        </w:rPr>
        <w:t>The answer to part 2</w:t>
      </w:r>
      <w:bookmarkEnd w:id="14"/>
      <w:bookmarkEnd w:id="15"/>
    </w:p>
    <w:p w14:paraId="01567449" w14:textId="3C37820C" w:rsidR="005A6BE9" w:rsidRPr="00DB0C5D" w:rsidRDefault="00B7731A" w:rsidP="00DB0C5D">
      <w:pPr>
        <w:pStyle w:val="Titlu2"/>
        <w:spacing w:line="360" w:lineRule="auto"/>
        <w:rPr>
          <w:rFonts w:cs="Times New Roman"/>
          <w:szCs w:val="24"/>
        </w:rPr>
      </w:pPr>
      <w:bookmarkStart w:id="16" w:name="_Toc109819973"/>
      <w:bookmarkStart w:id="17" w:name="_Toc111631944"/>
      <w:bookmarkStart w:id="18" w:name="_Toc111636347"/>
      <w:r w:rsidRPr="00DB0C5D">
        <w:rPr>
          <w:rFonts w:cs="Times New Roman"/>
          <w:szCs w:val="24"/>
        </w:rPr>
        <w:t>Computation of relevant accounting ratios of Sweets Plc for 2020 and 2021</w:t>
      </w:r>
      <w:bookmarkEnd w:id="16"/>
      <w:bookmarkEnd w:id="17"/>
      <w:bookmarkEnd w:id="18"/>
    </w:p>
    <w:p w14:paraId="2759CE2D" w14:textId="7AE096BF" w:rsidR="00FA07E4" w:rsidRPr="00DB0C5D" w:rsidRDefault="00B7731A" w:rsidP="00DB0C5D">
      <w:pPr>
        <w:pStyle w:val="Listparagraf"/>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Return of Capital Employed (ROCE)</w:t>
      </w:r>
    </w:p>
    <w:tbl>
      <w:tblPr>
        <w:tblW w:w="7427" w:type="dxa"/>
        <w:jc w:val="center"/>
        <w:tblLook w:val="04A0" w:firstRow="1" w:lastRow="0" w:firstColumn="1" w:lastColumn="0" w:noHBand="0" w:noVBand="1"/>
      </w:tblPr>
      <w:tblGrid>
        <w:gridCol w:w="5184"/>
        <w:gridCol w:w="1121"/>
        <w:gridCol w:w="1122"/>
      </w:tblGrid>
      <w:tr w:rsidR="00BF12EB" w14:paraId="72979243" w14:textId="77777777" w:rsidTr="00FA07E4">
        <w:trPr>
          <w:trHeight w:val="545"/>
          <w:jc w:val="center"/>
        </w:trPr>
        <w:tc>
          <w:tcPr>
            <w:tcW w:w="7427"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796E336" w14:textId="11751AE4" w:rsidR="00FA07E4"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w:t>
            </w:r>
            <w:r w:rsidR="00CA1537" w:rsidRPr="00DB0C5D">
              <w:rPr>
                <w:rFonts w:ascii="Times New Roman" w:eastAsia="Times New Roman" w:hAnsi="Times New Roman" w:cs="Times New Roman"/>
                <w:b/>
                <w:bCs/>
                <w:color w:val="000000"/>
                <w:sz w:val="24"/>
                <w:szCs w:val="24"/>
              </w:rPr>
              <w:t>omputation</w:t>
            </w:r>
            <w:r w:rsidRPr="00DB0C5D">
              <w:rPr>
                <w:rFonts w:ascii="Times New Roman" w:eastAsia="Times New Roman" w:hAnsi="Times New Roman" w:cs="Times New Roman"/>
                <w:b/>
                <w:bCs/>
                <w:color w:val="000000"/>
                <w:sz w:val="24"/>
                <w:szCs w:val="24"/>
              </w:rPr>
              <w:t xml:space="preserve"> of Return on capital employed</w:t>
            </w:r>
          </w:p>
        </w:tc>
      </w:tr>
      <w:tr w:rsidR="00BF12EB" w14:paraId="3E3FD33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D31A16"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21" w:type="dxa"/>
            <w:tcBorders>
              <w:top w:val="nil"/>
              <w:left w:val="nil"/>
              <w:bottom w:val="single" w:sz="4" w:space="0" w:color="auto"/>
              <w:right w:val="single" w:sz="4" w:space="0" w:color="auto"/>
            </w:tcBorders>
            <w:shd w:val="clear" w:color="auto" w:fill="auto"/>
            <w:noWrap/>
            <w:vAlign w:val="center"/>
            <w:hideMark/>
          </w:tcPr>
          <w:p w14:paraId="2C9CA0AD"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0FCCC8CB"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1BB47E4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19692B0" w14:textId="197C45F0"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Earnings before </w:t>
            </w:r>
            <w:r w:rsidRPr="00DB0C5D">
              <w:rPr>
                <w:rFonts w:ascii="Times New Roman" w:eastAsia="Times New Roman" w:hAnsi="Times New Roman" w:cs="Times New Roman"/>
                <w:color w:val="000000"/>
                <w:sz w:val="24"/>
                <w:szCs w:val="24"/>
              </w:rPr>
              <w:t>interest and tax (EBIT)</w:t>
            </w:r>
          </w:p>
        </w:tc>
        <w:tc>
          <w:tcPr>
            <w:tcW w:w="1121" w:type="dxa"/>
            <w:tcBorders>
              <w:top w:val="nil"/>
              <w:left w:val="nil"/>
              <w:bottom w:val="single" w:sz="4" w:space="0" w:color="auto"/>
              <w:right w:val="single" w:sz="4" w:space="0" w:color="auto"/>
            </w:tcBorders>
            <w:shd w:val="clear" w:color="auto" w:fill="auto"/>
            <w:noWrap/>
            <w:vAlign w:val="center"/>
            <w:hideMark/>
          </w:tcPr>
          <w:p w14:paraId="78863C21"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805</w:t>
            </w:r>
          </w:p>
        </w:tc>
        <w:tc>
          <w:tcPr>
            <w:tcW w:w="1121" w:type="dxa"/>
            <w:tcBorders>
              <w:top w:val="nil"/>
              <w:left w:val="nil"/>
              <w:bottom w:val="single" w:sz="4" w:space="0" w:color="auto"/>
              <w:right w:val="single" w:sz="4" w:space="0" w:color="auto"/>
            </w:tcBorders>
            <w:shd w:val="clear" w:color="auto" w:fill="auto"/>
            <w:noWrap/>
            <w:vAlign w:val="center"/>
            <w:hideMark/>
          </w:tcPr>
          <w:p w14:paraId="50BDC828"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699</w:t>
            </w:r>
          </w:p>
        </w:tc>
      </w:tr>
      <w:tr w:rsidR="00BF12EB" w14:paraId="4822A6DF"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65D11CD"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Asset</w:t>
            </w:r>
          </w:p>
        </w:tc>
        <w:tc>
          <w:tcPr>
            <w:tcW w:w="1121" w:type="dxa"/>
            <w:tcBorders>
              <w:top w:val="nil"/>
              <w:left w:val="nil"/>
              <w:bottom w:val="single" w:sz="4" w:space="0" w:color="auto"/>
              <w:right w:val="single" w:sz="4" w:space="0" w:color="auto"/>
            </w:tcBorders>
            <w:shd w:val="clear" w:color="auto" w:fill="auto"/>
            <w:noWrap/>
            <w:vAlign w:val="center"/>
            <w:hideMark/>
          </w:tcPr>
          <w:p w14:paraId="6B80E586"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121" w:type="dxa"/>
            <w:tcBorders>
              <w:top w:val="nil"/>
              <w:left w:val="nil"/>
              <w:bottom w:val="single" w:sz="4" w:space="0" w:color="auto"/>
              <w:right w:val="single" w:sz="4" w:space="0" w:color="auto"/>
            </w:tcBorders>
            <w:shd w:val="clear" w:color="auto" w:fill="auto"/>
            <w:noWrap/>
            <w:vAlign w:val="center"/>
            <w:hideMark/>
          </w:tcPr>
          <w:p w14:paraId="4AF22FDA"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rsidR="00BF12EB" w14:paraId="6DC77FFA"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4688955"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1121" w:type="dxa"/>
            <w:tcBorders>
              <w:top w:val="nil"/>
              <w:left w:val="nil"/>
              <w:bottom w:val="single" w:sz="4" w:space="0" w:color="auto"/>
              <w:right w:val="single" w:sz="4" w:space="0" w:color="auto"/>
            </w:tcBorders>
            <w:shd w:val="clear" w:color="auto" w:fill="auto"/>
            <w:noWrap/>
            <w:vAlign w:val="center"/>
            <w:hideMark/>
          </w:tcPr>
          <w:p w14:paraId="6969774A"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2,511</w:t>
            </w:r>
          </w:p>
        </w:tc>
        <w:tc>
          <w:tcPr>
            <w:tcW w:w="1121" w:type="dxa"/>
            <w:tcBorders>
              <w:top w:val="nil"/>
              <w:left w:val="nil"/>
              <w:bottom w:val="single" w:sz="4" w:space="0" w:color="auto"/>
              <w:right w:val="single" w:sz="4" w:space="0" w:color="auto"/>
            </w:tcBorders>
            <w:shd w:val="clear" w:color="auto" w:fill="auto"/>
            <w:noWrap/>
            <w:vAlign w:val="center"/>
            <w:hideMark/>
          </w:tcPr>
          <w:p w14:paraId="0E124401"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3,046</w:t>
            </w:r>
          </w:p>
        </w:tc>
      </w:tr>
      <w:tr w:rsidR="00BF12EB" w14:paraId="7CBB62D9"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19857AB5"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30C11FFC"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7,225</w:t>
            </w:r>
          </w:p>
        </w:tc>
        <w:tc>
          <w:tcPr>
            <w:tcW w:w="1121" w:type="dxa"/>
            <w:tcBorders>
              <w:top w:val="nil"/>
              <w:left w:val="nil"/>
              <w:bottom w:val="single" w:sz="4" w:space="0" w:color="auto"/>
              <w:right w:val="single" w:sz="4" w:space="0" w:color="auto"/>
            </w:tcBorders>
            <w:shd w:val="clear" w:color="auto" w:fill="auto"/>
            <w:noWrap/>
            <w:vAlign w:val="center"/>
            <w:hideMark/>
          </w:tcPr>
          <w:p w14:paraId="7BF4E328"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7,041</w:t>
            </w:r>
          </w:p>
        </w:tc>
      </w:tr>
      <w:tr w:rsidR="00BF12EB" w14:paraId="027CCA4B"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CC1FA2"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ROCE= EBIT/ 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20E66CFC"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11.1419</w:t>
            </w:r>
          </w:p>
        </w:tc>
        <w:tc>
          <w:tcPr>
            <w:tcW w:w="1121" w:type="dxa"/>
            <w:tcBorders>
              <w:top w:val="nil"/>
              <w:left w:val="nil"/>
              <w:bottom w:val="single" w:sz="4" w:space="0" w:color="auto"/>
              <w:right w:val="single" w:sz="4" w:space="0" w:color="auto"/>
            </w:tcBorders>
            <w:shd w:val="clear" w:color="auto" w:fill="auto"/>
            <w:noWrap/>
            <w:vAlign w:val="center"/>
            <w:hideMark/>
          </w:tcPr>
          <w:p w14:paraId="42EFBEF0" w14:textId="77777777" w:rsidR="00FA07E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9.92757</w:t>
            </w:r>
          </w:p>
        </w:tc>
      </w:tr>
    </w:tbl>
    <w:p w14:paraId="150420E4" w14:textId="77777777" w:rsidR="00FA07E4" w:rsidRPr="00DB0C5D" w:rsidRDefault="00FA07E4" w:rsidP="00DB0C5D">
      <w:pPr>
        <w:pStyle w:val="Listparagraf"/>
        <w:spacing w:line="360" w:lineRule="auto"/>
        <w:jc w:val="both"/>
        <w:rPr>
          <w:rFonts w:ascii="Times New Roman" w:hAnsi="Times New Roman" w:cs="Times New Roman"/>
          <w:sz w:val="24"/>
          <w:szCs w:val="24"/>
        </w:rPr>
      </w:pPr>
    </w:p>
    <w:p w14:paraId="684FBB4A" w14:textId="1C303A0C" w:rsidR="009C4C53" w:rsidRPr="00DB0C5D" w:rsidRDefault="00B7731A" w:rsidP="00DB0C5D">
      <w:pPr>
        <w:pStyle w:val="Listparagraf"/>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Return on Equity (ROE)</w:t>
      </w:r>
    </w:p>
    <w:tbl>
      <w:tblPr>
        <w:tblW w:w="76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81"/>
        <w:gridCol w:w="1274"/>
        <w:gridCol w:w="774"/>
      </w:tblGrid>
      <w:tr w:rsidR="00BF12EB" w14:paraId="429AADA9" w14:textId="77777777" w:rsidTr="007C4CE2">
        <w:trPr>
          <w:trHeight w:val="657"/>
          <w:jc w:val="center"/>
        </w:trPr>
        <w:tc>
          <w:tcPr>
            <w:tcW w:w="7629" w:type="dxa"/>
            <w:gridSpan w:val="3"/>
            <w:shd w:val="clear" w:color="auto" w:fill="auto"/>
            <w:noWrap/>
            <w:vAlign w:val="center"/>
            <w:hideMark/>
          </w:tcPr>
          <w:p w14:paraId="475FD5D2" w14:textId="7932B010" w:rsidR="00CA1537"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Return on equity (ROE)</w:t>
            </w:r>
          </w:p>
        </w:tc>
      </w:tr>
      <w:tr w:rsidR="00BF12EB" w14:paraId="677569B3" w14:textId="77777777" w:rsidTr="007C4CE2">
        <w:trPr>
          <w:trHeight w:val="657"/>
          <w:jc w:val="center"/>
        </w:trPr>
        <w:tc>
          <w:tcPr>
            <w:tcW w:w="5581" w:type="dxa"/>
            <w:shd w:val="clear" w:color="auto" w:fill="auto"/>
            <w:noWrap/>
            <w:vAlign w:val="center"/>
            <w:hideMark/>
          </w:tcPr>
          <w:p w14:paraId="4304F41A"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74" w:type="dxa"/>
            <w:shd w:val="clear" w:color="auto" w:fill="auto"/>
            <w:noWrap/>
            <w:vAlign w:val="center"/>
            <w:hideMark/>
          </w:tcPr>
          <w:p w14:paraId="30155CC4"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773" w:type="dxa"/>
            <w:shd w:val="clear" w:color="auto" w:fill="auto"/>
            <w:noWrap/>
            <w:vAlign w:val="center"/>
            <w:hideMark/>
          </w:tcPr>
          <w:p w14:paraId="3E94A471"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2B74BCF0" w14:textId="77777777" w:rsidTr="007C4CE2">
        <w:trPr>
          <w:trHeight w:val="657"/>
          <w:jc w:val="center"/>
        </w:trPr>
        <w:tc>
          <w:tcPr>
            <w:tcW w:w="5581" w:type="dxa"/>
            <w:shd w:val="clear" w:color="auto" w:fill="auto"/>
            <w:noWrap/>
            <w:vAlign w:val="center"/>
            <w:hideMark/>
          </w:tcPr>
          <w:p w14:paraId="1E64F263"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income</w:t>
            </w:r>
          </w:p>
        </w:tc>
        <w:tc>
          <w:tcPr>
            <w:tcW w:w="1274" w:type="dxa"/>
            <w:shd w:val="clear" w:color="auto" w:fill="auto"/>
            <w:noWrap/>
            <w:vAlign w:val="center"/>
            <w:hideMark/>
          </w:tcPr>
          <w:p w14:paraId="21B38B32"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773" w:type="dxa"/>
            <w:shd w:val="clear" w:color="auto" w:fill="auto"/>
            <w:noWrap/>
            <w:vAlign w:val="center"/>
            <w:hideMark/>
          </w:tcPr>
          <w:p w14:paraId="7FEFBEB9"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rsidR="00BF12EB" w14:paraId="3924AFA6" w14:textId="77777777" w:rsidTr="007C4CE2">
        <w:trPr>
          <w:trHeight w:val="657"/>
          <w:jc w:val="center"/>
        </w:trPr>
        <w:tc>
          <w:tcPr>
            <w:tcW w:w="5581" w:type="dxa"/>
            <w:shd w:val="clear" w:color="auto" w:fill="auto"/>
            <w:noWrap/>
            <w:vAlign w:val="center"/>
            <w:hideMark/>
          </w:tcPr>
          <w:p w14:paraId="3881153C" w14:textId="1589E5DC"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lastRenderedPageBreak/>
              <w:t>Shareholders’ equity</w:t>
            </w:r>
          </w:p>
        </w:tc>
        <w:tc>
          <w:tcPr>
            <w:tcW w:w="1274" w:type="dxa"/>
            <w:shd w:val="clear" w:color="auto" w:fill="auto"/>
            <w:noWrap/>
            <w:vAlign w:val="center"/>
            <w:hideMark/>
          </w:tcPr>
          <w:p w14:paraId="4B1874AA"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73" w:type="dxa"/>
            <w:shd w:val="clear" w:color="auto" w:fill="auto"/>
            <w:noWrap/>
            <w:vAlign w:val="center"/>
            <w:hideMark/>
          </w:tcPr>
          <w:p w14:paraId="04407DBF"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r>
      <w:tr w:rsidR="00BF12EB" w14:paraId="789E77F9" w14:textId="77777777" w:rsidTr="007C4CE2">
        <w:trPr>
          <w:trHeight w:val="657"/>
          <w:jc w:val="center"/>
        </w:trPr>
        <w:tc>
          <w:tcPr>
            <w:tcW w:w="5581" w:type="dxa"/>
            <w:shd w:val="clear" w:color="auto" w:fill="auto"/>
            <w:noWrap/>
            <w:vAlign w:val="center"/>
            <w:hideMark/>
          </w:tcPr>
          <w:p w14:paraId="4F735409"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ROE= Net income/Shareholders Equity</w:t>
            </w:r>
          </w:p>
        </w:tc>
        <w:tc>
          <w:tcPr>
            <w:tcW w:w="1274" w:type="dxa"/>
            <w:shd w:val="clear" w:color="auto" w:fill="auto"/>
            <w:noWrap/>
            <w:vAlign w:val="center"/>
            <w:hideMark/>
          </w:tcPr>
          <w:p w14:paraId="166BCA38"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1.436667</w:t>
            </w:r>
          </w:p>
        </w:tc>
        <w:tc>
          <w:tcPr>
            <w:tcW w:w="773" w:type="dxa"/>
            <w:shd w:val="clear" w:color="auto" w:fill="auto"/>
            <w:noWrap/>
            <w:vAlign w:val="center"/>
            <w:hideMark/>
          </w:tcPr>
          <w:p w14:paraId="40397DDE"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w:t>
            </w:r>
          </w:p>
        </w:tc>
      </w:tr>
    </w:tbl>
    <w:p w14:paraId="56435FC8" w14:textId="0D1E7D4A" w:rsidR="00FC5756" w:rsidRPr="00DB0C5D" w:rsidRDefault="00FC5756" w:rsidP="00DB0C5D">
      <w:pPr>
        <w:spacing w:line="360" w:lineRule="auto"/>
        <w:jc w:val="both"/>
        <w:rPr>
          <w:rFonts w:ascii="Times New Roman" w:hAnsi="Times New Roman" w:cs="Times New Roman"/>
          <w:b/>
          <w:bCs/>
          <w:sz w:val="24"/>
          <w:szCs w:val="24"/>
        </w:rPr>
      </w:pPr>
    </w:p>
    <w:p w14:paraId="6402B3FE" w14:textId="76E5E0C9" w:rsidR="008006B8" w:rsidRPr="00DB0C5D" w:rsidRDefault="00B7731A" w:rsidP="00DB0C5D">
      <w:pPr>
        <w:pStyle w:val="Listparagraf"/>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 xml:space="preserve">Assets turnover: </w:t>
      </w:r>
    </w:p>
    <w:tbl>
      <w:tblPr>
        <w:tblW w:w="7879" w:type="dxa"/>
        <w:jc w:val="center"/>
        <w:tblLook w:val="04A0" w:firstRow="1" w:lastRow="0" w:firstColumn="1" w:lastColumn="0" w:noHBand="0" w:noVBand="1"/>
      </w:tblPr>
      <w:tblGrid>
        <w:gridCol w:w="5502"/>
        <w:gridCol w:w="1188"/>
        <w:gridCol w:w="1189"/>
      </w:tblGrid>
      <w:tr w:rsidR="00BF12EB" w14:paraId="6B30653F" w14:textId="77777777" w:rsidTr="00CA1537">
        <w:trPr>
          <w:trHeight w:val="592"/>
          <w:jc w:val="center"/>
        </w:trPr>
        <w:tc>
          <w:tcPr>
            <w:tcW w:w="7879"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A29A875" w14:textId="687772EC" w:rsidR="00CA1537"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Asset turnover</w:t>
            </w:r>
          </w:p>
        </w:tc>
      </w:tr>
      <w:tr w:rsidR="00BF12EB" w14:paraId="6E78273B"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AA90C6F"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88" w:type="dxa"/>
            <w:tcBorders>
              <w:top w:val="nil"/>
              <w:left w:val="nil"/>
              <w:bottom w:val="single" w:sz="4" w:space="0" w:color="auto"/>
              <w:right w:val="single" w:sz="4" w:space="0" w:color="auto"/>
            </w:tcBorders>
            <w:shd w:val="clear" w:color="auto" w:fill="auto"/>
            <w:noWrap/>
            <w:vAlign w:val="center"/>
            <w:hideMark/>
          </w:tcPr>
          <w:p w14:paraId="024EE38E"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88" w:type="dxa"/>
            <w:tcBorders>
              <w:top w:val="nil"/>
              <w:left w:val="nil"/>
              <w:bottom w:val="single" w:sz="4" w:space="0" w:color="auto"/>
              <w:right w:val="single" w:sz="4" w:space="0" w:color="auto"/>
            </w:tcBorders>
            <w:shd w:val="clear" w:color="auto" w:fill="auto"/>
            <w:noWrap/>
            <w:vAlign w:val="center"/>
            <w:hideMark/>
          </w:tcPr>
          <w:p w14:paraId="277C8146"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3216F3F7"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1285FA3F"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revenue</w:t>
            </w:r>
          </w:p>
        </w:tc>
        <w:tc>
          <w:tcPr>
            <w:tcW w:w="1188" w:type="dxa"/>
            <w:tcBorders>
              <w:top w:val="nil"/>
              <w:left w:val="nil"/>
              <w:bottom w:val="single" w:sz="4" w:space="0" w:color="auto"/>
              <w:right w:val="single" w:sz="4" w:space="0" w:color="auto"/>
            </w:tcBorders>
            <w:shd w:val="clear" w:color="auto" w:fill="auto"/>
            <w:noWrap/>
            <w:vAlign w:val="center"/>
            <w:hideMark/>
          </w:tcPr>
          <w:p w14:paraId="38DE0772"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188" w:type="dxa"/>
            <w:tcBorders>
              <w:top w:val="nil"/>
              <w:left w:val="nil"/>
              <w:bottom w:val="single" w:sz="4" w:space="0" w:color="auto"/>
              <w:right w:val="single" w:sz="4" w:space="0" w:color="auto"/>
            </w:tcBorders>
            <w:shd w:val="clear" w:color="auto" w:fill="auto"/>
            <w:noWrap/>
            <w:vAlign w:val="center"/>
            <w:hideMark/>
          </w:tcPr>
          <w:p w14:paraId="38D081F9"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rsidR="00BF12EB" w14:paraId="4A77CAB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59A21A6"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Asset</w:t>
            </w:r>
          </w:p>
        </w:tc>
        <w:tc>
          <w:tcPr>
            <w:tcW w:w="1188" w:type="dxa"/>
            <w:tcBorders>
              <w:top w:val="nil"/>
              <w:left w:val="nil"/>
              <w:bottom w:val="single" w:sz="4" w:space="0" w:color="auto"/>
              <w:right w:val="single" w:sz="4" w:space="0" w:color="auto"/>
            </w:tcBorders>
            <w:shd w:val="clear" w:color="auto" w:fill="auto"/>
            <w:noWrap/>
            <w:vAlign w:val="center"/>
            <w:hideMark/>
          </w:tcPr>
          <w:p w14:paraId="7509ABC0"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188" w:type="dxa"/>
            <w:tcBorders>
              <w:top w:val="nil"/>
              <w:left w:val="nil"/>
              <w:bottom w:val="single" w:sz="4" w:space="0" w:color="auto"/>
              <w:right w:val="single" w:sz="4" w:space="0" w:color="auto"/>
            </w:tcBorders>
            <w:shd w:val="clear" w:color="auto" w:fill="auto"/>
            <w:noWrap/>
            <w:vAlign w:val="center"/>
            <w:hideMark/>
          </w:tcPr>
          <w:p w14:paraId="0F0EEBC6"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rsidR="00BF12EB" w14:paraId="19BF721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70A7D83E"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721FAA99" w14:textId="77777777" w:rsidR="00CA1537"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9911.5</w:t>
            </w:r>
          </w:p>
        </w:tc>
        <w:tc>
          <w:tcPr>
            <w:tcW w:w="1188" w:type="dxa"/>
            <w:tcBorders>
              <w:top w:val="nil"/>
              <w:left w:val="nil"/>
              <w:bottom w:val="single" w:sz="4" w:space="0" w:color="auto"/>
              <w:right w:val="single" w:sz="4" w:space="0" w:color="auto"/>
            </w:tcBorders>
            <w:shd w:val="clear" w:color="auto" w:fill="auto"/>
            <w:noWrap/>
            <w:vAlign w:val="bottom"/>
            <w:hideMark/>
          </w:tcPr>
          <w:p w14:paraId="43E094F6" w14:textId="77777777" w:rsidR="00CA1537"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5043.5</w:t>
            </w:r>
          </w:p>
        </w:tc>
      </w:tr>
      <w:tr w:rsidR="00BF12EB" w14:paraId="00B394F4"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6087C1B4" w14:textId="77777777" w:rsidR="00CA1537"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Asset turnover= Revenue/average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531EF3D3" w14:textId="77777777" w:rsidR="00CA1537"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0.679816</w:t>
            </w:r>
          </w:p>
        </w:tc>
        <w:tc>
          <w:tcPr>
            <w:tcW w:w="1188" w:type="dxa"/>
            <w:tcBorders>
              <w:top w:val="nil"/>
              <w:left w:val="nil"/>
              <w:bottom w:val="single" w:sz="4" w:space="0" w:color="auto"/>
              <w:right w:val="single" w:sz="4" w:space="0" w:color="auto"/>
            </w:tcBorders>
            <w:shd w:val="clear" w:color="auto" w:fill="auto"/>
            <w:noWrap/>
            <w:vAlign w:val="bottom"/>
            <w:hideMark/>
          </w:tcPr>
          <w:p w14:paraId="657CD2E5" w14:textId="77777777" w:rsidR="00CA1537"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1.277089</w:t>
            </w:r>
          </w:p>
        </w:tc>
      </w:tr>
    </w:tbl>
    <w:p w14:paraId="4EC21547" w14:textId="3D2DEA27" w:rsidR="008006B8" w:rsidRPr="00DB0C5D" w:rsidRDefault="00B7731A" w:rsidP="00DB0C5D">
      <w:pPr>
        <w:pStyle w:val="Listparagraf"/>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 xml:space="preserve"> </w:t>
      </w:r>
    </w:p>
    <w:p w14:paraId="3C9C7C31" w14:textId="77777777" w:rsidR="00E34384"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Earnings Per Share (EPS)</w:t>
      </w:r>
    </w:p>
    <w:tbl>
      <w:tblPr>
        <w:tblW w:w="7740" w:type="dxa"/>
        <w:jc w:val="center"/>
        <w:tblLook w:val="04A0" w:firstRow="1" w:lastRow="0" w:firstColumn="1" w:lastColumn="0" w:noHBand="0" w:noVBand="1"/>
      </w:tblPr>
      <w:tblGrid>
        <w:gridCol w:w="5753"/>
        <w:gridCol w:w="1223"/>
        <w:gridCol w:w="764"/>
      </w:tblGrid>
      <w:tr w:rsidR="00BF12EB" w14:paraId="12335960" w14:textId="77777777" w:rsidTr="006D5AAD">
        <w:trPr>
          <w:trHeight w:val="569"/>
          <w:jc w:val="center"/>
        </w:trPr>
        <w:tc>
          <w:tcPr>
            <w:tcW w:w="7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A553732"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Calculation of Earnings per share</w:t>
            </w:r>
          </w:p>
        </w:tc>
      </w:tr>
      <w:tr w:rsidR="00BF12EB" w14:paraId="4EA7FBE1" w14:textId="77777777" w:rsidTr="006D5AAD">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6F8740B"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23" w:type="dxa"/>
            <w:tcBorders>
              <w:top w:val="nil"/>
              <w:left w:val="nil"/>
              <w:bottom w:val="single" w:sz="4" w:space="0" w:color="auto"/>
              <w:right w:val="single" w:sz="4" w:space="0" w:color="auto"/>
            </w:tcBorders>
            <w:shd w:val="clear" w:color="auto" w:fill="auto"/>
            <w:noWrap/>
            <w:vAlign w:val="center"/>
            <w:hideMark/>
          </w:tcPr>
          <w:p w14:paraId="14889E5E"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763" w:type="dxa"/>
            <w:tcBorders>
              <w:top w:val="nil"/>
              <w:left w:val="nil"/>
              <w:bottom w:val="single" w:sz="4" w:space="0" w:color="auto"/>
              <w:right w:val="single" w:sz="4" w:space="0" w:color="auto"/>
            </w:tcBorders>
            <w:shd w:val="clear" w:color="auto" w:fill="auto"/>
            <w:noWrap/>
            <w:vAlign w:val="center"/>
            <w:hideMark/>
          </w:tcPr>
          <w:p w14:paraId="583043DB"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3F8C1CF2" w14:textId="77777777" w:rsidTr="006D5AAD">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1D76BFFB"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income</w:t>
            </w:r>
          </w:p>
        </w:tc>
        <w:tc>
          <w:tcPr>
            <w:tcW w:w="1223" w:type="dxa"/>
            <w:tcBorders>
              <w:top w:val="nil"/>
              <w:left w:val="nil"/>
              <w:bottom w:val="single" w:sz="4" w:space="0" w:color="auto"/>
              <w:right w:val="single" w:sz="4" w:space="0" w:color="auto"/>
            </w:tcBorders>
            <w:shd w:val="clear" w:color="auto" w:fill="auto"/>
            <w:noWrap/>
            <w:vAlign w:val="bottom"/>
            <w:hideMark/>
          </w:tcPr>
          <w:p w14:paraId="6FAFC078"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763" w:type="dxa"/>
            <w:tcBorders>
              <w:top w:val="nil"/>
              <w:left w:val="nil"/>
              <w:bottom w:val="single" w:sz="4" w:space="0" w:color="auto"/>
              <w:right w:val="single" w:sz="4" w:space="0" w:color="auto"/>
            </w:tcBorders>
            <w:shd w:val="clear" w:color="auto" w:fill="auto"/>
            <w:noWrap/>
            <w:vAlign w:val="bottom"/>
            <w:hideMark/>
          </w:tcPr>
          <w:p w14:paraId="4477B5F4"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rsidR="00BF12EB" w14:paraId="1641F57B" w14:textId="77777777" w:rsidTr="006D5AAD">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7D3F3871"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7D6540A8"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306E65BE"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r>
      <w:tr w:rsidR="00BF12EB" w14:paraId="0548BA27" w14:textId="77777777" w:rsidTr="006D5AAD">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7B731FC9"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0A975364"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6A66D00F"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150</w:t>
            </w:r>
          </w:p>
        </w:tc>
      </w:tr>
      <w:tr w:rsidR="00BF12EB" w14:paraId="3E609423" w14:textId="77777777" w:rsidTr="006D5AAD">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21A1075"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EPS= Net </w:t>
            </w:r>
            <w:r w:rsidRPr="00DB0C5D">
              <w:rPr>
                <w:rFonts w:ascii="Times New Roman" w:eastAsia="Times New Roman" w:hAnsi="Times New Roman" w:cs="Times New Roman"/>
                <w:color w:val="000000"/>
                <w:sz w:val="24"/>
                <w:szCs w:val="24"/>
              </w:rPr>
              <w:t>income/ 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4CF62B60"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1.436667</w:t>
            </w:r>
          </w:p>
        </w:tc>
        <w:tc>
          <w:tcPr>
            <w:tcW w:w="763" w:type="dxa"/>
            <w:tcBorders>
              <w:top w:val="nil"/>
              <w:left w:val="nil"/>
              <w:bottom w:val="single" w:sz="4" w:space="0" w:color="auto"/>
              <w:right w:val="single" w:sz="4" w:space="0" w:color="auto"/>
            </w:tcBorders>
            <w:shd w:val="clear" w:color="auto" w:fill="auto"/>
            <w:noWrap/>
            <w:vAlign w:val="bottom"/>
            <w:hideMark/>
          </w:tcPr>
          <w:p w14:paraId="1AEAD7AC" w14:textId="77777777" w:rsidR="00E34384"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2.44</w:t>
            </w:r>
          </w:p>
        </w:tc>
      </w:tr>
    </w:tbl>
    <w:p w14:paraId="257CB79B" w14:textId="77777777" w:rsidR="00E34384" w:rsidRPr="00DB0C5D" w:rsidRDefault="00E34384" w:rsidP="00DB0C5D">
      <w:pPr>
        <w:pStyle w:val="Listparagraf"/>
        <w:spacing w:line="360" w:lineRule="auto"/>
        <w:jc w:val="both"/>
        <w:rPr>
          <w:rFonts w:ascii="Times New Roman" w:hAnsi="Times New Roman" w:cs="Times New Roman"/>
          <w:sz w:val="24"/>
          <w:szCs w:val="24"/>
        </w:rPr>
      </w:pPr>
    </w:p>
    <w:p w14:paraId="7A305BD0" w14:textId="3AA9D8B7" w:rsidR="008006B8"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Stock holding days: </w:t>
      </w:r>
    </w:p>
    <w:tbl>
      <w:tblPr>
        <w:tblW w:w="7596" w:type="dxa"/>
        <w:jc w:val="center"/>
        <w:tblLook w:val="04A0" w:firstRow="1" w:lastRow="0" w:firstColumn="1" w:lastColumn="0" w:noHBand="0" w:noVBand="1"/>
      </w:tblPr>
      <w:tblGrid>
        <w:gridCol w:w="5698"/>
        <w:gridCol w:w="996"/>
        <w:gridCol w:w="1356"/>
      </w:tblGrid>
      <w:tr w:rsidR="00BF12EB" w14:paraId="7B8BF87F" w14:textId="77777777" w:rsidTr="007C4CE2">
        <w:trPr>
          <w:trHeight w:val="877"/>
          <w:jc w:val="center"/>
        </w:trPr>
        <w:tc>
          <w:tcPr>
            <w:tcW w:w="759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EBB502" w14:textId="1E029189" w:rsidR="007C4CE2"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Stock holding days</w:t>
            </w:r>
          </w:p>
        </w:tc>
      </w:tr>
      <w:tr w:rsidR="00BF12EB" w14:paraId="7455D478"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43C91A1F"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lastRenderedPageBreak/>
              <w:t>Particulars</w:t>
            </w:r>
          </w:p>
        </w:tc>
        <w:tc>
          <w:tcPr>
            <w:tcW w:w="776" w:type="dxa"/>
            <w:tcBorders>
              <w:top w:val="nil"/>
              <w:left w:val="nil"/>
              <w:bottom w:val="single" w:sz="4" w:space="0" w:color="auto"/>
              <w:right w:val="single" w:sz="4" w:space="0" w:color="auto"/>
            </w:tcBorders>
            <w:shd w:val="clear" w:color="auto" w:fill="auto"/>
            <w:noWrap/>
            <w:vAlign w:val="center"/>
            <w:hideMark/>
          </w:tcPr>
          <w:p w14:paraId="14FBE604"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1EB3D742"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3ED59D13"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1BC4E31A"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Closing stock</w:t>
            </w:r>
          </w:p>
        </w:tc>
        <w:tc>
          <w:tcPr>
            <w:tcW w:w="776" w:type="dxa"/>
            <w:tcBorders>
              <w:top w:val="nil"/>
              <w:left w:val="nil"/>
              <w:bottom w:val="single" w:sz="4" w:space="0" w:color="auto"/>
              <w:right w:val="single" w:sz="4" w:space="0" w:color="auto"/>
            </w:tcBorders>
            <w:shd w:val="clear" w:color="auto" w:fill="auto"/>
            <w:noWrap/>
            <w:vAlign w:val="center"/>
            <w:hideMark/>
          </w:tcPr>
          <w:p w14:paraId="6B491850"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708</w:t>
            </w:r>
          </w:p>
        </w:tc>
        <w:tc>
          <w:tcPr>
            <w:tcW w:w="1121" w:type="dxa"/>
            <w:tcBorders>
              <w:top w:val="nil"/>
              <w:left w:val="nil"/>
              <w:bottom w:val="single" w:sz="4" w:space="0" w:color="auto"/>
              <w:right w:val="single" w:sz="4" w:space="0" w:color="auto"/>
            </w:tcBorders>
            <w:shd w:val="clear" w:color="auto" w:fill="auto"/>
            <w:noWrap/>
            <w:vAlign w:val="center"/>
            <w:hideMark/>
          </w:tcPr>
          <w:p w14:paraId="6E3693EB"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659</w:t>
            </w:r>
          </w:p>
        </w:tc>
      </w:tr>
      <w:tr w:rsidR="00BF12EB" w14:paraId="4223669C"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23F7C1BD"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Cost of goods sold</w:t>
            </w:r>
          </w:p>
        </w:tc>
        <w:tc>
          <w:tcPr>
            <w:tcW w:w="776" w:type="dxa"/>
            <w:tcBorders>
              <w:top w:val="nil"/>
              <w:left w:val="nil"/>
              <w:bottom w:val="single" w:sz="4" w:space="0" w:color="auto"/>
              <w:right w:val="single" w:sz="4" w:space="0" w:color="auto"/>
            </w:tcBorders>
            <w:shd w:val="clear" w:color="auto" w:fill="auto"/>
            <w:noWrap/>
            <w:vAlign w:val="center"/>
            <w:hideMark/>
          </w:tcPr>
          <w:p w14:paraId="72D02F59"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3235</w:t>
            </w:r>
          </w:p>
        </w:tc>
        <w:tc>
          <w:tcPr>
            <w:tcW w:w="1121" w:type="dxa"/>
            <w:tcBorders>
              <w:top w:val="nil"/>
              <w:left w:val="nil"/>
              <w:bottom w:val="single" w:sz="4" w:space="0" w:color="auto"/>
              <w:right w:val="single" w:sz="4" w:space="0" w:color="auto"/>
            </w:tcBorders>
            <w:shd w:val="clear" w:color="auto" w:fill="auto"/>
            <w:noWrap/>
            <w:vAlign w:val="center"/>
            <w:hideMark/>
          </w:tcPr>
          <w:p w14:paraId="37B5524F"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3096</w:t>
            </w:r>
          </w:p>
        </w:tc>
      </w:tr>
      <w:tr w:rsidR="00BF12EB" w14:paraId="08B9175D"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63243434"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Stock holding days= (Closing stock/cost of goods sold) x 365</w:t>
            </w:r>
          </w:p>
        </w:tc>
        <w:tc>
          <w:tcPr>
            <w:tcW w:w="776" w:type="dxa"/>
            <w:tcBorders>
              <w:top w:val="nil"/>
              <w:left w:val="nil"/>
              <w:bottom w:val="single" w:sz="4" w:space="0" w:color="auto"/>
              <w:right w:val="single" w:sz="4" w:space="0" w:color="auto"/>
            </w:tcBorders>
            <w:shd w:val="clear" w:color="auto" w:fill="auto"/>
            <w:noWrap/>
            <w:vAlign w:val="center"/>
            <w:hideMark/>
          </w:tcPr>
          <w:p w14:paraId="7EF39E4E"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79.8825</w:t>
            </w:r>
          </w:p>
        </w:tc>
        <w:tc>
          <w:tcPr>
            <w:tcW w:w="1121" w:type="dxa"/>
            <w:tcBorders>
              <w:top w:val="nil"/>
              <w:left w:val="nil"/>
              <w:bottom w:val="single" w:sz="4" w:space="0" w:color="auto"/>
              <w:right w:val="single" w:sz="4" w:space="0" w:color="auto"/>
            </w:tcBorders>
            <w:shd w:val="clear" w:color="auto" w:fill="auto"/>
            <w:noWrap/>
            <w:vAlign w:val="center"/>
            <w:hideMark/>
          </w:tcPr>
          <w:p w14:paraId="630D1A5C"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77.6921835</w:t>
            </w:r>
          </w:p>
        </w:tc>
      </w:tr>
    </w:tbl>
    <w:p w14:paraId="20EBB854" w14:textId="7E06D60C" w:rsidR="00A2565C" w:rsidRPr="00DB0C5D" w:rsidRDefault="00A2565C" w:rsidP="00DB0C5D">
      <w:pPr>
        <w:pStyle w:val="Listparagraf"/>
        <w:spacing w:line="360" w:lineRule="auto"/>
        <w:jc w:val="both"/>
        <w:rPr>
          <w:rFonts w:ascii="Times New Roman" w:hAnsi="Times New Roman" w:cs="Times New Roman"/>
          <w:b/>
          <w:bCs/>
          <w:sz w:val="24"/>
          <w:szCs w:val="24"/>
        </w:rPr>
      </w:pPr>
    </w:p>
    <w:p w14:paraId="57DEFC67" w14:textId="0DC0F90F" w:rsidR="00A2565C"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Collection period of debtors</w:t>
      </w:r>
    </w:p>
    <w:tbl>
      <w:tblPr>
        <w:tblW w:w="9153" w:type="dxa"/>
        <w:jc w:val="center"/>
        <w:tblLook w:val="04A0" w:firstRow="1" w:lastRow="0" w:firstColumn="1" w:lastColumn="0" w:noHBand="0" w:noVBand="1"/>
      </w:tblPr>
      <w:tblGrid>
        <w:gridCol w:w="6681"/>
        <w:gridCol w:w="996"/>
        <w:gridCol w:w="1476"/>
      </w:tblGrid>
      <w:tr w:rsidR="00BF12EB" w14:paraId="359E91E9" w14:textId="77777777" w:rsidTr="00E34384">
        <w:trPr>
          <w:trHeight w:val="907"/>
          <w:jc w:val="center"/>
        </w:trPr>
        <w:tc>
          <w:tcPr>
            <w:tcW w:w="9153"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BF8DF63" w14:textId="274ABC03" w:rsidR="007C4CE2"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debtors’ collection period</w:t>
            </w:r>
          </w:p>
        </w:tc>
      </w:tr>
      <w:tr w:rsidR="00BF12EB" w14:paraId="73C3D7F6" w14:textId="77777777" w:rsidTr="00E34384">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1F507349"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996" w:type="dxa"/>
            <w:tcBorders>
              <w:top w:val="nil"/>
              <w:left w:val="nil"/>
              <w:bottom w:val="single" w:sz="4" w:space="0" w:color="auto"/>
              <w:right w:val="single" w:sz="4" w:space="0" w:color="auto"/>
            </w:tcBorders>
            <w:shd w:val="clear" w:color="auto" w:fill="auto"/>
            <w:noWrap/>
            <w:vAlign w:val="center"/>
            <w:hideMark/>
          </w:tcPr>
          <w:p w14:paraId="6C63709D"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476" w:type="dxa"/>
            <w:tcBorders>
              <w:top w:val="nil"/>
              <w:left w:val="nil"/>
              <w:bottom w:val="single" w:sz="4" w:space="0" w:color="auto"/>
              <w:right w:val="single" w:sz="4" w:space="0" w:color="auto"/>
            </w:tcBorders>
            <w:shd w:val="clear" w:color="auto" w:fill="auto"/>
            <w:noWrap/>
            <w:vAlign w:val="center"/>
            <w:hideMark/>
          </w:tcPr>
          <w:p w14:paraId="3DE4209C"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68A7CE19" w14:textId="77777777" w:rsidTr="00E34384">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3B40E9A9"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The amount owed by Debtors</w:t>
            </w:r>
          </w:p>
        </w:tc>
        <w:tc>
          <w:tcPr>
            <w:tcW w:w="996" w:type="dxa"/>
            <w:tcBorders>
              <w:top w:val="nil"/>
              <w:left w:val="nil"/>
              <w:bottom w:val="single" w:sz="4" w:space="0" w:color="auto"/>
              <w:right w:val="single" w:sz="4" w:space="0" w:color="auto"/>
            </w:tcBorders>
            <w:shd w:val="clear" w:color="auto" w:fill="auto"/>
            <w:noWrap/>
            <w:vAlign w:val="center"/>
            <w:hideMark/>
          </w:tcPr>
          <w:p w14:paraId="4450C472"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1,249</w:t>
            </w:r>
          </w:p>
        </w:tc>
        <w:tc>
          <w:tcPr>
            <w:tcW w:w="1476" w:type="dxa"/>
            <w:tcBorders>
              <w:top w:val="nil"/>
              <w:left w:val="nil"/>
              <w:bottom w:val="single" w:sz="4" w:space="0" w:color="auto"/>
              <w:right w:val="single" w:sz="4" w:space="0" w:color="auto"/>
            </w:tcBorders>
            <w:shd w:val="clear" w:color="auto" w:fill="auto"/>
            <w:noWrap/>
            <w:vAlign w:val="center"/>
            <w:hideMark/>
          </w:tcPr>
          <w:p w14:paraId="698D3143"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1,287</w:t>
            </w:r>
          </w:p>
        </w:tc>
      </w:tr>
      <w:tr w:rsidR="00BF12EB" w14:paraId="14CA33B0" w14:textId="77777777" w:rsidTr="00E34384">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089A9177"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credit sales</w:t>
            </w:r>
          </w:p>
        </w:tc>
        <w:tc>
          <w:tcPr>
            <w:tcW w:w="996" w:type="dxa"/>
            <w:tcBorders>
              <w:top w:val="nil"/>
              <w:left w:val="nil"/>
              <w:bottom w:val="single" w:sz="4" w:space="0" w:color="auto"/>
              <w:right w:val="single" w:sz="4" w:space="0" w:color="auto"/>
            </w:tcBorders>
            <w:shd w:val="clear" w:color="auto" w:fill="auto"/>
            <w:noWrap/>
            <w:vAlign w:val="center"/>
            <w:hideMark/>
          </w:tcPr>
          <w:p w14:paraId="2CCB49CA"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476" w:type="dxa"/>
            <w:tcBorders>
              <w:top w:val="nil"/>
              <w:left w:val="nil"/>
              <w:bottom w:val="single" w:sz="4" w:space="0" w:color="auto"/>
              <w:right w:val="single" w:sz="4" w:space="0" w:color="auto"/>
            </w:tcBorders>
            <w:shd w:val="clear" w:color="auto" w:fill="auto"/>
            <w:noWrap/>
            <w:vAlign w:val="center"/>
            <w:hideMark/>
          </w:tcPr>
          <w:p w14:paraId="0DDA8FC5"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rsidR="00BF12EB" w14:paraId="24108078" w14:textId="77777777" w:rsidTr="00E34384">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2C2DA67A" w14:textId="23E81FBF"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Debtors’ collection period= (Amount owed by debtor/annual credit </w:t>
            </w:r>
            <w:r w:rsidRPr="00DB0C5D">
              <w:rPr>
                <w:rFonts w:ascii="Times New Roman" w:eastAsia="Times New Roman" w:hAnsi="Times New Roman" w:cs="Times New Roman"/>
                <w:color w:val="000000"/>
                <w:sz w:val="24"/>
                <w:szCs w:val="24"/>
              </w:rPr>
              <w:t>sales) *365</w:t>
            </w:r>
          </w:p>
        </w:tc>
        <w:tc>
          <w:tcPr>
            <w:tcW w:w="996" w:type="dxa"/>
            <w:tcBorders>
              <w:top w:val="nil"/>
              <w:left w:val="nil"/>
              <w:bottom w:val="single" w:sz="4" w:space="0" w:color="auto"/>
              <w:right w:val="single" w:sz="4" w:space="0" w:color="auto"/>
            </w:tcBorders>
            <w:shd w:val="clear" w:color="auto" w:fill="auto"/>
            <w:noWrap/>
            <w:vAlign w:val="center"/>
            <w:hideMark/>
          </w:tcPr>
          <w:p w14:paraId="6E58715B"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67.6588</w:t>
            </w:r>
          </w:p>
        </w:tc>
        <w:tc>
          <w:tcPr>
            <w:tcW w:w="1476" w:type="dxa"/>
            <w:tcBorders>
              <w:top w:val="nil"/>
              <w:left w:val="nil"/>
              <w:bottom w:val="single" w:sz="4" w:space="0" w:color="auto"/>
              <w:right w:val="single" w:sz="4" w:space="0" w:color="auto"/>
            </w:tcBorders>
            <w:shd w:val="clear" w:color="auto" w:fill="auto"/>
            <w:noWrap/>
            <w:vAlign w:val="center"/>
            <w:hideMark/>
          </w:tcPr>
          <w:p w14:paraId="5201A47F"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72.93199814</w:t>
            </w:r>
          </w:p>
        </w:tc>
      </w:tr>
    </w:tbl>
    <w:p w14:paraId="4AA67BF6" w14:textId="77777777" w:rsidR="00E34384" w:rsidRPr="00DB0C5D" w:rsidRDefault="00E34384" w:rsidP="00DB0C5D">
      <w:pPr>
        <w:pStyle w:val="Listparagraf"/>
        <w:spacing w:line="360" w:lineRule="auto"/>
        <w:jc w:val="both"/>
        <w:rPr>
          <w:rFonts w:ascii="Times New Roman" w:hAnsi="Times New Roman" w:cs="Times New Roman"/>
          <w:b/>
          <w:bCs/>
          <w:sz w:val="24"/>
          <w:szCs w:val="24"/>
        </w:rPr>
      </w:pPr>
    </w:p>
    <w:p w14:paraId="17F625EE" w14:textId="2DC07071" w:rsidR="00E34384"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Net profit margin: </w:t>
      </w:r>
    </w:p>
    <w:tbl>
      <w:tblPr>
        <w:tblW w:w="7735" w:type="dxa"/>
        <w:jc w:val="center"/>
        <w:tblLook w:val="04A0" w:firstRow="1" w:lastRow="0" w:firstColumn="1" w:lastColumn="0" w:noHBand="0" w:noVBand="1"/>
      </w:tblPr>
      <w:tblGrid>
        <w:gridCol w:w="5307"/>
        <w:gridCol w:w="1213"/>
        <w:gridCol w:w="1215"/>
      </w:tblGrid>
      <w:tr w:rsidR="00BF12EB" w14:paraId="4ECB575C" w14:textId="77777777" w:rsidTr="006D5AAD">
        <w:trPr>
          <w:trHeight w:val="723"/>
          <w:jc w:val="center"/>
        </w:trPr>
        <w:tc>
          <w:tcPr>
            <w:tcW w:w="7735"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919D348" w14:textId="77777777" w:rsidR="00E34384"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Net profit margin</w:t>
            </w:r>
          </w:p>
        </w:tc>
      </w:tr>
      <w:tr w:rsidR="00BF12EB" w14:paraId="4C83F1C4" w14:textId="77777777" w:rsidTr="006D5AAD">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69E334F8"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13" w:type="dxa"/>
            <w:tcBorders>
              <w:top w:val="nil"/>
              <w:left w:val="nil"/>
              <w:bottom w:val="single" w:sz="4" w:space="0" w:color="auto"/>
              <w:right w:val="single" w:sz="4" w:space="0" w:color="auto"/>
            </w:tcBorders>
            <w:shd w:val="clear" w:color="auto" w:fill="auto"/>
            <w:noWrap/>
            <w:vAlign w:val="center"/>
            <w:hideMark/>
          </w:tcPr>
          <w:p w14:paraId="4C73F20C"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213" w:type="dxa"/>
            <w:tcBorders>
              <w:top w:val="nil"/>
              <w:left w:val="nil"/>
              <w:bottom w:val="single" w:sz="4" w:space="0" w:color="auto"/>
              <w:right w:val="single" w:sz="4" w:space="0" w:color="auto"/>
            </w:tcBorders>
            <w:shd w:val="clear" w:color="auto" w:fill="auto"/>
            <w:noWrap/>
            <w:vAlign w:val="center"/>
            <w:hideMark/>
          </w:tcPr>
          <w:p w14:paraId="17199C0A"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2AB8F32E" w14:textId="77777777" w:rsidTr="006D5AAD">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7CDEC6A3"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profit</w:t>
            </w:r>
          </w:p>
        </w:tc>
        <w:tc>
          <w:tcPr>
            <w:tcW w:w="1213" w:type="dxa"/>
            <w:tcBorders>
              <w:top w:val="nil"/>
              <w:left w:val="nil"/>
              <w:bottom w:val="single" w:sz="4" w:space="0" w:color="auto"/>
              <w:right w:val="single" w:sz="4" w:space="0" w:color="auto"/>
            </w:tcBorders>
            <w:shd w:val="clear" w:color="auto" w:fill="auto"/>
            <w:noWrap/>
            <w:vAlign w:val="center"/>
            <w:hideMark/>
          </w:tcPr>
          <w:p w14:paraId="097764A3"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1213" w:type="dxa"/>
            <w:tcBorders>
              <w:top w:val="nil"/>
              <w:left w:val="nil"/>
              <w:bottom w:val="single" w:sz="4" w:space="0" w:color="auto"/>
              <w:right w:val="single" w:sz="4" w:space="0" w:color="auto"/>
            </w:tcBorders>
            <w:shd w:val="clear" w:color="auto" w:fill="auto"/>
            <w:noWrap/>
            <w:vAlign w:val="center"/>
            <w:hideMark/>
          </w:tcPr>
          <w:p w14:paraId="445C79C9"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rsidR="00BF12EB" w14:paraId="091DBE82" w14:textId="77777777" w:rsidTr="006D5AAD">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1455F96A"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lastRenderedPageBreak/>
              <w:t>Total revenue</w:t>
            </w:r>
          </w:p>
        </w:tc>
        <w:tc>
          <w:tcPr>
            <w:tcW w:w="1213" w:type="dxa"/>
            <w:tcBorders>
              <w:top w:val="nil"/>
              <w:left w:val="nil"/>
              <w:bottom w:val="single" w:sz="4" w:space="0" w:color="auto"/>
              <w:right w:val="single" w:sz="4" w:space="0" w:color="auto"/>
            </w:tcBorders>
            <w:shd w:val="clear" w:color="auto" w:fill="auto"/>
            <w:noWrap/>
            <w:vAlign w:val="center"/>
            <w:hideMark/>
          </w:tcPr>
          <w:p w14:paraId="414E18D8"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213" w:type="dxa"/>
            <w:tcBorders>
              <w:top w:val="nil"/>
              <w:left w:val="nil"/>
              <w:bottom w:val="single" w:sz="4" w:space="0" w:color="auto"/>
              <w:right w:val="single" w:sz="4" w:space="0" w:color="auto"/>
            </w:tcBorders>
            <w:shd w:val="clear" w:color="auto" w:fill="auto"/>
            <w:noWrap/>
            <w:vAlign w:val="center"/>
            <w:hideMark/>
          </w:tcPr>
          <w:p w14:paraId="6C1BFF4B"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rsidR="00BF12EB" w14:paraId="72E257D5" w14:textId="77777777" w:rsidTr="006D5AAD">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5522482F"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profit margin= (net profit /revenue) *100</w:t>
            </w:r>
          </w:p>
        </w:tc>
        <w:tc>
          <w:tcPr>
            <w:tcW w:w="1213" w:type="dxa"/>
            <w:tcBorders>
              <w:top w:val="nil"/>
              <w:left w:val="nil"/>
              <w:bottom w:val="single" w:sz="4" w:space="0" w:color="auto"/>
              <w:right w:val="single" w:sz="4" w:space="0" w:color="auto"/>
            </w:tcBorders>
            <w:shd w:val="clear" w:color="auto" w:fill="auto"/>
            <w:noWrap/>
            <w:vAlign w:val="center"/>
            <w:hideMark/>
          </w:tcPr>
          <w:p w14:paraId="1F380D71"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6.396557</w:t>
            </w:r>
          </w:p>
        </w:tc>
        <w:tc>
          <w:tcPr>
            <w:tcW w:w="1213" w:type="dxa"/>
            <w:tcBorders>
              <w:top w:val="nil"/>
              <w:left w:val="nil"/>
              <w:bottom w:val="single" w:sz="4" w:space="0" w:color="auto"/>
              <w:right w:val="single" w:sz="4" w:space="0" w:color="auto"/>
            </w:tcBorders>
            <w:shd w:val="clear" w:color="auto" w:fill="auto"/>
            <w:noWrap/>
            <w:vAlign w:val="center"/>
            <w:hideMark/>
          </w:tcPr>
          <w:p w14:paraId="44685DC6" w14:textId="77777777" w:rsidR="00E34384"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5.682347</w:t>
            </w:r>
          </w:p>
        </w:tc>
      </w:tr>
    </w:tbl>
    <w:p w14:paraId="3F1F5FE8" w14:textId="7E8BE051" w:rsidR="00A2565C" w:rsidRPr="00DB0C5D" w:rsidRDefault="00B7731A" w:rsidP="00DB0C5D">
      <w:pPr>
        <w:pStyle w:val="Listparagraf"/>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 </w:t>
      </w:r>
    </w:p>
    <w:p w14:paraId="213BCBD6" w14:textId="3BCE1FD1" w:rsidR="00A2565C"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Current ratio</w:t>
      </w:r>
    </w:p>
    <w:tbl>
      <w:tblPr>
        <w:tblW w:w="9240" w:type="dxa"/>
        <w:jc w:val="center"/>
        <w:tblLook w:val="04A0" w:firstRow="1" w:lastRow="0" w:firstColumn="1" w:lastColumn="0" w:noHBand="0" w:noVBand="1"/>
      </w:tblPr>
      <w:tblGrid>
        <w:gridCol w:w="6282"/>
        <w:gridCol w:w="1141"/>
        <w:gridCol w:w="1817"/>
      </w:tblGrid>
      <w:tr w:rsidR="00BF12EB" w14:paraId="2837D706" w14:textId="77777777" w:rsidTr="007C4CE2">
        <w:trPr>
          <w:trHeight w:val="1007"/>
          <w:jc w:val="center"/>
        </w:trPr>
        <w:tc>
          <w:tcPr>
            <w:tcW w:w="9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BE7914" w14:textId="5A1F46E6" w:rsidR="007C4CE2"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current ratio</w:t>
            </w:r>
          </w:p>
        </w:tc>
      </w:tr>
      <w:tr w:rsidR="00BF12EB" w14:paraId="57749827"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0140C418"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41" w:type="dxa"/>
            <w:tcBorders>
              <w:top w:val="nil"/>
              <w:left w:val="nil"/>
              <w:bottom w:val="single" w:sz="4" w:space="0" w:color="auto"/>
              <w:right w:val="single" w:sz="4" w:space="0" w:color="auto"/>
            </w:tcBorders>
            <w:shd w:val="clear" w:color="auto" w:fill="auto"/>
            <w:noWrap/>
            <w:vAlign w:val="center"/>
            <w:hideMark/>
          </w:tcPr>
          <w:p w14:paraId="2CAF8810"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817" w:type="dxa"/>
            <w:tcBorders>
              <w:top w:val="nil"/>
              <w:left w:val="nil"/>
              <w:bottom w:val="single" w:sz="4" w:space="0" w:color="auto"/>
              <w:right w:val="single" w:sz="4" w:space="0" w:color="auto"/>
            </w:tcBorders>
            <w:shd w:val="clear" w:color="auto" w:fill="auto"/>
            <w:noWrap/>
            <w:vAlign w:val="center"/>
            <w:hideMark/>
          </w:tcPr>
          <w:p w14:paraId="6503A242"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4666F863"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2EFDEDFB"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asset</w:t>
            </w:r>
          </w:p>
        </w:tc>
        <w:tc>
          <w:tcPr>
            <w:tcW w:w="1141" w:type="dxa"/>
            <w:tcBorders>
              <w:top w:val="nil"/>
              <w:left w:val="nil"/>
              <w:bottom w:val="single" w:sz="4" w:space="0" w:color="auto"/>
              <w:right w:val="single" w:sz="4" w:space="0" w:color="auto"/>
            </w:tcBorders>
            <w:shd w:val="clear" w:color="auto" w:fill="auto"/>
            <w:noWrap/>
            <w:vAlign w:val="center"/>
            <w:hideMark/>
          </w:tcPr>
          <w:p w14:paraId="5E9F798B"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817" w:type="dxa"/>
            <w:tcBorders>
              <w:top w:val="nil"/>
              <w:left w:val="nil"/>
              <w:bottom w:val="single" w:sz="4" w:space="0" w:color="auto"/>
              <w:right w:val="single" w:sz="4" w:space="0" w:color="auto"/>
            </w:tcBorders>
            <w:shd w:val="clear" w:color="auto" w:fill="auto"/>
            <w:noWrap/>
            <w:vAlign w:val="center"/>
            <w:hideMark/>
          </w:tcPr>
          <w:p w14:paraId="2706AEA7"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rsidR="00BF12EB" w14:paraId="6D3CAA5D"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7753BEE2"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62CEEAE5"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2,511</w:t>
            </w:r>
          </w:p>
        </w:tc>
        <w:tc>
          <w:tcPr>
            <w:tcW w:w="1817" w:type="dxa"/>
            <w:tcBorders>
              <w:top w:val="nil"/>
              <w:left w:val="nil"/>
              <w:bottom w:val="single" w:sz="4" w:space="0" w:color="auto"/>
              <w:right w:val="single" w:sz="4" w:space="0" w:color="auto"/>
            </w:tcBorders>
            <w:shd w:val="clear" w:color="auto" w:fill="auto"/>
            <w:noWrap/>
            <w:vAlign w:val="center"/>
            <w:hideMark/>
          </w:tcPr>
          <w:p w14:paraId="37164AB4"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3,046</w:t>
            </w:r>
          </w:p>
        </w:tc>
      </w:tr>
      <w:tr w:rsidR="00BF12EB" w14:paraId="35DB6E41"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4B609CDB"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ratio= current asset/ 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546E6D20"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3.87734</w:t>
            </w:r>
          </w:p>
        </w:tc>
        <w:tc>
          <w:tcPr>
            <w:tcW w:w="1817" w:type="dxa"/>
            <w:tcBorders>
              <w:top w:val="nil"/>
              <w:left w:val="nil"/>
              <w:bottom w:val="single" w:sz="4" w:space="0" w:color="auto"/>
              <w:right w:val="single" w:sz="4" w:space="0" w:color="auto"/>
            </w:tcBorders>
            <w:shd w:val="clear" w:color="auto" w:fill="auto"/>
            <w:noWrap/>
            <w:vAlign w:val="center"/>
            <w:hideMark/>
          </w:tcPr>
          <w:p w14:paraId="2B5D5039" w14:textId="77777777" w:rsidR="007C4CE2"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3.311556139</w:t>
            </w:r>
          </w:p>
        </w:tc>
      </w:tr>
    </w:tbl>
    <w:p w14:paraId="29754600" w14:textId="77777777" w:rsidR="007C4CE2" w:rsidRPr="00DB0C5D" w:rsidRDefault="007C4CE2" w:rsidP="00DB0C5D">
      <w:pPr>
        <w:pStyle w:val="Listparagraf"/>
        <w:spacing w:line="360" w:lineRule="auto"/>
        <w:jc w:val="both"/>
        <w:rPr>
          <w:rFonts w:ascii="Times New Roman" w:hAnsi="Times New Roman" w:cs="Times New Roman"/>
          <w:sz w:val="24"/>
          <w:szCs w:val="24"/>
        </w:rPr>
      </w:pPr>
    </w:p>
    <w:p w14:paraId="569EDC98" w14:textId="3606B873" w:rsidR="00A2565C"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Gearing ratio </w:t>
      </w:r>
    </w:p>
    <w:tbl>
      <w:tblPr>
        <w:tblW w:w="9084" w:type="dxa"/>
        <w:jc w:val="center"/>
        <w:tblLook w:val="04A0" w:firstRow="1" w:lastRow="0" w:firstColumn="1" w:lastColumn="0" w:noHBand="0" w:noVBand="1"/>
      </w:tblPr>
      <w:tblGrid>
        <w:gridCol w:w="6650"/>
        <w:gridCol w:w="996"/>
        <w:gridCol w:w="1439"/>
      </w:tblGrid>
      <w:tr w:rsidR="00BF12EB" w14:paraId="7E6661FB" w14:textId="77777777" w:rsidTr="00D47791">
        <w:trPr>
          <w:trHeight w:val="1109"/>
          <w:jc w:val="center"/>
        </w:trPr>
        <w:tc>
          <w:tcPr>
            <w:tcW w:w="908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7E8F0B0" w14:textId="3610339E" w:rsidR="00D47791"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gearing ratio</w:t>
            </w:r>
          </w:p>
        </w:tc>
      </w:tr>
      <w:tr w:rsidR="00BF12EB" w14:paraId="7615109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38C9D66A"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994" w:type="dxa"/>
            <w:tcBorders>
              <w:top w:val="nil"/>
              <w:left w:val="nil"/>
              <w:bottom w:val="single" w:sz="4" w:space="0" w:color="auto"/>
              <w:right w:val="single" w:sz="4" w:space="0" w:color="auto"/>
            </w:tcBorders>
            <w:shd w:val="clear" w:color="auto" w:fill="auto"/>
            <w:noWrap/>
            <w:vAlign w:val="center"/>
            <w:hideMark/>
          </w:tcPr>
          <w:p w14:paraId="323380A4"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439" w:type="dxa"/>
            <w:tcBorders>
              <w:top w:val="nil"/>
              <w:left w:val="nil"/>
              <w:bottom w:val="single" w:sz="4" w:space="0" w:color="auto"/>
              <w:right w:val="single" w:sz="4" w:space="0" w:color="auto"/>
            </w:tcBorders>
            <w:shd w:val="clear" w:color="auto" w:fill="auto"/>
            <w:noWrap/>
            <w:vAlign w:val="center"/>
            <w:hideMark/>
          </w:tcPr>
          <w:p w14:paraId="7CDAEF23"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36E1120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1297873"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Loans and borrowings</w:t>
            </w:r>
          </w:p>
        </w:tc>
        <w:tc>
          <w:tcPr>
            <w:tcW w:w="994" w:type="dxa"/>
            <w:tcBorders>
              <w:top w:val="nil"/>
              <w:left w:val="nil"/>
              <w:bottom w:val="single" w:sz="4" w:space="0" w:color="auto"/>
              <w:right w:val="single" w:sz="4" w:space="0" w:color="auto"/>
            </w:tcBorders>
            <w:shd w:val="clear" w:color="auto" w:fill="auto"/>
            <w:noWrap/>
            <w:vAlign w:val="bottom"/>
            <w:hideMark/>
          </w:tcPr>
          <w:p w14:paraId="4EFE8B4C"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4137</w:t>
            </w:r>
          </w:p>
        </w:tc>
        <w:tc>
          <w:tcPr>
            <w:tcW w:w="1439" w:type="dxa"/>
            <w:tcBorders>
              <w:top w:val="nil"/>
              <w:left w:val="nil"/>
              <w:bottom w:val="single" w:sz="4" w:space="0" w:color="auto"/>
              <w:right w:val="single" w:sz="4" w:space="0" w:color="auto"/>
            </w:tcBorders>
            <w:shd w:val="clear" w:color="auto" w:fill="auto"/>
            <w:noWrap/>
            <w:vAlign w:val="bottom"/>
            <w:hideMark/>
          </w:tcPr>
          <w:p w14:paraId="1632D34E"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4129</w:t>
            </w:r>
          </w:p>
        </w:tc>
      </w:tr>
      <w:tr w:rsidR="00BF12EB" w14:paraId="37BB75CE"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737C92D1"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lastRenderedPageBreak/>
              <w:t>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0D194FB2"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3,088</w:t>
            </w:r>
          </w:p>
        </w:tc>
        <w:tc>
          <w:tcPr>
            <w:tcW w:w="1439" w:type="dxa"/>
            <w:tcBorders>
              <w:top w:val="nil"/>
              <w:left w:val="nil"/>
              <w:bottom w:val="single" w:sz="4" w:space="0" w:color="auto"/>
              <w:right w:val="single" w:sz="4" w:space="0" w:color="auto"/>
            </w:tcBorders>
            <w:shd w:val="clear" w:color="auto" w:fill="auto"/>
            <w:noWrap/>
            <w:vAlign w:val="bottom"/>
            <w:hideMark/>
          </w:tcPr>
          <w:p w14:paraId="1F130535"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2,912</w:t>
            </w:r>
          </w:p>
        </w:tc>
      </w:tr>
      <w:tr w:rsidR="00BF12EB" w14:paraId="303E80BC"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DA3387A"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Gearing ratio= loans and borrowings/shareholder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69BA7596"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1.42067</w:t>
            </w:r>
          </w:p>
        </w:tc>
        <w:tc>
          <w:tcPr>
            <w:tcW w:w="1439" w:type="dxa"/>
            <w:tcBorders>
              <w:top w:val="nil"/>
              <w:left w:val="nil"/>
              <w:bottom w:val="single" w:sz="4" w:space="0" w:color="auto"/>
              <w:right w:val="single" w:sz="4" w:space="0" w:color="auto"/>
            </w:tcBorders>
            <w:shd w:val="clear" w:color="auto" w:fill="auto"/>
            <w:noWrap/>
            <w:vAlign w:val="bottom"/>
            <w:hideMark/>
          </w:tcPr>
          <w:p w14:paraId="313DF075" w14:textId="77777777" w:rsidR="00D47791" w:rsidRPr="00DB0C5D" w:rsidRDefault="00B7731A" w:rsidP="00DB0C5D">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1.41792582</w:t>
            </w:r>
          </w:p>
        </w:tc>
      </w:tr>
    </w:tbl>
    <w:p w14:paraId="3ADEDD48" w14:textId="05BF5EE6" w:rsidR="00A2565C" w:rsidRPr="00DB0C5D" w:rsidRDefault="00A2565C" w:rsidP="00DB0C5D">
      <w:pPr>
        <w:pStyle w:val="Listparagraf"/>
        <w:spacing w:line="360" w:lineRule="auto"/>
        <w:jc w:val="both"/>
        <w:rPr>
          <w:rFonts w:ascii="Times New Roman" w:hAnsi="Times New Roman" w:cs="Times New Roman"/>
          <w:b/>
          <w:bCs/>
          <w:sz w:val="24"/>
          <w:szCs w:val="24"/>
        </w:rPr>
      </w:pPr>
    </w:p>
    <w:p w14:paraId="57C9F715" w14:textId="77777777" w:rsidR="00D47791" w:rsidRPr="00DB0C5D" w:rsidRDefault="00B7731A" w:rsidP="00DB0C5D">
      <w:pPr>
        <w:pStyle w:val="Listparagraf"/>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Interest cover</w:t>
      </w:r>
    </w:p>
    <w:tbl>
      <w:tblPr>
        <w:tblW w:w="8724" w:type="dxa"/>
        <w:jc w:val="center"/>
        <w:tblLook w:val="04A0" w:firstRow="1" w:lastRow="0" w:firstColumn="1" w:lastColumn="0" w:noHBand="0" w:noVBand="1"/>
      </w:tblPr>
      <w:tblGrid>
        <w:gridCol w:w="5640"/>
        <w:gridCol w:w="1292"/>
        <w:gridCol w:w="1792"/>
      </w:tblGrid>
      <w:tr w:rsidR="00BF12EB" w14:paraId="047492B3" w14:textId="77777777" w:rsidTr="00D47791">
        <w:trPr>
          <w:trHeight w:val="821"/>
          <w:jc w:val="center"/>
        </w:trPr>
        <w:tc>
          <w:tcPr>
            <w:tcW w:w="872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5AF62F8" w14:textId="53C212C9" w:rsidR="00D47791" w:rsidRPr="00DB0C5D" w:rsidRDefault="00B7731A" w:rsidP="00DB0C5D">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interest cover</w:t>
            </w:r>
          </w:p>
        </w:tc>
      </w:tr>
      <w:tr w:rsidR="00BF12EB" w14:paraId="6A363678"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072C7EE6"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92" w:type="dxa"/>
            <w:tcBorders>
              <w:top w:val="nil"/>
              <w:left w:val="nil"/>
              <w:bottom w:val="single" w:sz="4" w:space="0" w:color="auto"/>
              <w:right w:val="single" w:sz="4" w:space="0" w:color="auto"/>
            </w:tcBorders>
            <w:shd w:val="clear" w:color="auto" w:fill="auto"/>
            <w:noWrap/>
            <w:vAlign w:val="center"/>
            <w:hideMark/>
          </w:tcPr>
          <w:p w14:paraId="510CF4ED"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790" w:type="dxa"/>
            <w:tcBorders>
              <w:top w:val="nil"/>
              <w:left w:val="nil"/>
              <w:bottom w:val="single" w:sz="4" w:space="0" w:color="auto"/>
              <w:right w:val="single" w:sz="4" w:space="0" w:color="auto"/>
            </w:tcBorders>
            <w:shd w:val="clear" w:color="auto" w:fill="auto"/>
            <w:noWrap/>
            <w:vAlign w:val="center"/>
            <w:hideMark/>
          </w:tcPr>
          <w:p w14:paraId="791D0ADA"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rsidR="00BF12EB" w14:paraId="36986A43"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3CD47B60" w14:textId="16FC1E0B"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Earnings before interest and taxes </w:t>
            </w:r>
          </w:p>
        </w:tc>
        <w:tc>
          <w:tcPr>
            <w:tcW w:w="1292" w:type="dxa"/>
            <w:tcBorders>
              <w:top w:val="nil"/>
              <w:left w:val="nil"/>
              <w:bottom w:val="single" w:sz="4" w:space="0" w:color="auto"/>
              <w:right w:val="single" w:sz="4" w:space="0" w:color="auto"/>
            </w:tcBorders>
            <w:shd w:val="clear" w:color="auto" w:fill="auto"/>
            <w:noWrap/>
            <w:vAlign w:val="center"/>
            <w:hideMark/>
          </w:tcPr>
          <w:p w14:paraId="3E8DED4A"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805</w:t>
            </w:r>
          </w:p>
        </w:tc>
        <w:tc>
          <w:tcPr>
            <w:tcW w:w="1790" w:type="dxa"/>
            <w:tcBorders>
              <w:top w:val="nil"/>
              <w:left w:val="nil"/>
              <w:bottom w:val="single" w:sz="4" w:space="0" w:color="auto"/>
              <w:right w:val="single" w:sz="4" w:space="0" w:color="auto"/>
            </w:tcBorders>
            <w:shd w:val="clear" w:color="auto" w:fill="auto"/>
            <w:noWrap/>
            <w:vAlign w:val="center"/>
            <w:hideMark/>
          </w:tcPr>
          <w:p w14:paraId="65D4FA6F"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699</w:t>
            </w:r>
          </w:p>
        </w:tc>
      </w:tr>
      <w:tr w:rsidR="00BF12EB" w14:paraId="79FA805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0316270"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519A0AD9"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226</w:t>
            </w:r>
          </w:p>
        </w:tc>
        <w:tc>
          <w:tcPr>
            <w:tcW w:w="1790" w:type="dxa"/>
            <w:tcBorders>
              <w:top w:val="nil"/>
              <w:left w:val="nil"/>
              <w:bottom w:val="single" w:sz="4" w:space="0" w:color="auto"/>
              <w:right w:val="single" w:sz="4" w:space="0" w:color="auto"/>
            </w:tcBorders>
            <w:shd w:val="clear" w:color="auto" w:fill="auto"/>
            <w:noWrap/>
            <w:vAlign w:val="center"/>
            <w:hideMark/>
          </w:tcPr>
          <w:p w14:paraId="1D9F0E76"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181</w:t>
            </w:r>
          </w:p>
        </w:tc>
      </w:tr>
      <w:tr w:rsidR="00BF12EB" w14:paraId="26BC64E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A1B2BCE"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Interest cover= EBIT/Interest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1F6C4459"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3.561947</w:t>
            </w:r>
          </w:p>
        </w:tc>
        <w:tc>
          <w:tcPr>
            <w:tcW w:w="1790" w:type="dxa"/>
            <w:tcBorders>
              <w:top w:val="nil"/>
              <w:left w:val="nil"/>
              <w:bottom w:val="single" w:sz="4" w:space="0" w:color="auto"/>
              <w:right w:val="single" w:sz="4" w:space="0" w:color="auto"/>
            </w:tcBorders>
            <w:shd w:val="clear" w:color="auto" w:fill="auto"/>
            <w:noWrap/>
            <w:vAlign w:val="center"/>
            <w:hideMark/>
          </w:tcPr>
          <w:p w14:paraId="1786BAE3" w14:textId="77777777" w:rsidR="00D47791" w:rsidRPr="00DB0C5D" w:rsidRDefault="00B7731A" w:rsidP="00DB0C5D">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3.861878453</w:t>
            </w:r>
          </w:p>
        </w:tc>
      </w:tr>
    </w:tbl>
    <w:p w14:paraId="044E9B02" w14:textId="269907B8" w:rsidR="00A2565C" w:rsidRPr="00DB0C5D" w:rsidRDefault="00B7731A" w:rsidP="00DB0C5D">
      <w:pPr>
        <w:pStyle w:val="Listparagraf"/>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 </w:t>
      </w:r>
    </w:p>
    <w:p w14:paraId="7F7AF394" w14:textId="77777777" w:rsidR="00E34384" w:rsidRPr="00DB0C5D" w:rsidRDefault="00B7731A" w:rsidP="00DB0C5D">
      <w:pPr>
        <w:pStyle w:val="Titlu2"/>
        <w:spacing w:line="360" w:lineRule="auto"/>
        <w:rPr>
          <w:rFonts w:cs="Times New Roman"/>
          <w:szCs w:val="24"/>
        </w:rPr>
      </w:pPr>
      <w:bookmarkStart w:id="19" w:name="_Toc111636348"/>
      <w:r w:rsidRPr="00DB0C5D">
        <w:rPr>
          <w:rFonts w:cs="Times New Roman"/>
          <w:szCs w:val="24"/>
        </w:rPr>
        <w:t>Assessment of the financial performance of Sweet's plc.</w:t>
      </w:r>
      <w:bookmarkEnd w:id="19"/>
    </w:p>
    <w:p w14:paraId="565ADC6E" w14:textId="3FD011F9" w:rsidR="00E34384" w:rsidRPr="00DB0C5D" w:rsidRDefault="00B7731A" w:rsidP="00DB0C5D">
      <w:p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 xml:space="preserve">Sweets Plc. is said to have performed well financially in </w:t>
      </w:r>
      <w:r w:rsidRPr="00DB0C5D">
        <w:rPr>
          <w:rFonts w:ascii="Times New Roman" w:hAnsi="Times New Roman" w:cs="Times New Roman"/>
          <w:sz w:val="24"/>
          <w:szCs w:val="24"/>
        </w:rPr>
        <w:t>2021 when compared to 2020. The net profit of Sweets Plc. has risen significantly in 2021 despite all the odds. The company has also managed to increase its sales in 2021 than the last year. Net profit margin is high as well in 2021. Also, the current rati</w:t>
      </w:r>
      <w:r w:rsidRPr="00DB0C5D">
        <w:rPr>
          <w:rFonts w:ascii="Times New Roman" w:hAnsi="Times New Roman" w:cs="Times New Roman"/>
          <w:sz w:val="24"/>
          <w:szCs w:val="24"/>
        </w:rPr>
        <w:t>o has a larger value in 2021 which means that the company is more financially able to repay the short-term liabilities</w:t>
      </w:r>
      <w:r w:rsidR="009E677D" w:rsidRPr="00DB0C5D">
        <w:rPr>
          <w:rFonts w:ascii="Times New Roman" w:hAnsi="Times New Roman" w:cs="Times New Roman"/>
          <w:sz w:val="24"/>
          <w:szCs w:val="24"/>
        </w:rPr>
        <w:t xml:space="preserve"> using the current assets of the company. But there are some bad performances as well. The current assets of the company have got lowered by around 3% which can be risky for the company to manage short-term debts in near future. The increased stock holding days can increase the cost of inventory of the company. Interest expenses have been increased too which will be added up to the operating expenses of the company. The company needs to take care of these issues as soon as possible. </w:t>
      </w:r>
      <w:r w:rsidRPr="00DB0C5D">
        <w:rPr>
          <w:rFonts w:ascii="Times New Roman" w:hAnsi="Times New Roman" w:cs="Times New Roman"/>
          <w:sz w:val="24"/>
          <w:szCs w:val="24"/>
        </w:rPr>
        <w:t xml:space="preserve">   </w:t>
      </w:r>
    </w:p>
    <w:p w14:paraId="58D2DCE3" w14:textId="77777777" w:rsidR="00E34384" w:rsidRPr="00DB0C5D" w:rsidRDefault="00E34384" w:rsidP="00DB0C5D">
      <w:pPr>
        <w:spacing w:line="360" w:lineRule="auto"/>
        <w:rPr>
          <w:rFonts w:ascii="Times New Roman" w:hAnsi="Times New Roman" w:cs="Times New Roman"/>
          <w:sz w:val="24"/>
          <w:szCs w:val="24"/>
        </w:rPr>
      </w:pPr>
    </w:p>
    <w:p w14:paraId="3C9F0589" w14:textId="758EA17B" w:rsidR="00894AC2" w:rsidRPr="00DB0C5D" w:rsidRDefault="00B7731A" w:rsidP="009746C3">
      <w:pPr>
        <w:pStyle w:val="Titlu1"/>
        <w:spacing w:line="360" w:lineRule="auto"/>
        <w:jc w:val="both"/>
      </w:pPr>
      <w:r w:rsidRPr="00DB0C5D">
        <w:br w:type="page"/>
      </w:r>
      <w:bookmarkStart w:id="20" w:name="_Toc111631946"/>
      <w:bookmarkStart w:id="21" w:name="_Toc111636349"/>
      <w:r w:rsidRPr="00DB0C5D">
        <w:lastRenderedPageBreak/>
        <w:t>Reference list</w:t>
      </w:r>
      <w:bookmarkEnd w:id="20"/>
      <w:bookmarkEnd w:id="21"/>
      <w:r w:rsidRPr="00DB0C5D">
        <w:t xml:space="preserve"> </w:t>
      </w:r>
    </w:p>
    <w:p w14:paraId="02891053" w14:textId="77777777" w:rsidR="009746C3" w:rsidRPr="009746C3" w:rsidRDefault="00B7731A" w:rsidP="009746C3">
      <w:pPr>
        <w:pStyle w:val="NormalWeb"/>
        <w:spacing w:before="0" w:beforeAutospacing="0" w:after="180" w:afterAutospacing="0" w:line="360" w:lineRule="auto"/>
        <w:jc w:val="both"/>
        <w:rPr>
          <w:color w:val="000000" w:themeColor="text1"/>
        </w:rPr>
      </w:pPr>
      <w:r w:rsidRPr="009746C3">
        <w:rPr>
          <w:color w:val="000000" w:themeColor="text1"/>
        </w:rPr>
        <w:t>FreshBooks. 2022. How to Find Gross Profit | Definition and Calculation. [online] Available at: &lt;https://www.freshbooks.com/hub/accounting/f</w:t>
      </w:r>
      <w:r w:rsidRPr="009746C3">
        <w:rPr>
          <w:color w:val="000000" w:themeColor="text1"/>
        </w:rPr>
        <w:t>ind-gross-profit&gt; [Accessed 17 August 2022].</w:t>
      </w:r>
    </w:p>
    <w:p w14:paraId="5F43F919" w14:textId="77777777" w:rsidR="009746C3" w:rsidRPr="009746C3" w:rsidRDefault="00B7731A" w:rsidP="009746C3">
      <w:pPr>
        <w:pStyle w:val="NormalWeb"/>
        <w:spacing w:before="0" w:beforeAutospacing="0" w:after="180" w:afterAutospacing="0" w:line="360" w:lineRule="auto"/>
        <w:jc w:val="both"/>
        <w:rPr>
          <w:color w:val="000000" w:themeColor="text1"/>
        </w:rPr>
      </w:pPr>
      <w:r w:rsidRPr="009746C3">
        <w:rPr>
          <w:color w:val="000000" w:themeColor="text1"/>
        </w:rPr>
        <w:t>Gocardless.com. 2022. Why Does a Balance Sheet Need to Balance? [online] Available at: &lt;https://gocardless.com/en-au/guides/posts/why-does-a-balance-sheet-need-to-balance/&gt; [Accessed 17 August 2022].</w:t>
      </w:r>
    </w:p>
    <w:p w14:paraId="58D2401A" w14:textId="77777777" w:rsidR="00894AC2" w:rsidRPr="00DB0C5D" w:rsidRDefault="00894AC2" w:rsidP="00DB0C5D">
      <w:pPr>
        <w:spacing w:line="360" w:lineRule="auto"/>
        <w:jc w:val="both"/>
        <w:rPr>
          <w:rFonts w:ascii="Times New Roman" w:hAnsi="Times New Roman" w:cs="Times New Roman"/>
          <w:sz w:val="24"/>
          <w:szCs w:val="24"/>
        </w:rPr>
      </w:pPr>
    </w:p>
    <w:p w14:paraId="5662EDD8" w14:textId="77777777" w:rsidR="00BE3525" w:rsidRPr="00DB0C5D" w:rsidRDefault="00BE3525" w:rsidP="00DB0C5D">
      <w:pPr>
        <w:spacing w:line="360" w:lineRule="auto"/>
        <w:rPr>
          <w:rFonts w:ascii="Times New Roman" w:hAnsi="Times New Roman" w:cs="Times New Roman"/>
          <w:sz w:val="24"/>
          <w:szCs w:val="24"/>
        </w:rPr>
      </w:pPr>
    </w:p>
    <w:sectPr w:rsidR="00BE3525" w:rsidRPr="00DB0C5D" w:rsidSect="00D363D0">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AC98C" w14:textId="77777777" w:rsidR="00000000" w:rsidRDefault="00B7731A">
      <w:pPr>
        <w:spacing w:after="0" w:line="240" w:lineRule="auto"/>
      </w:pPr>
      <w:r>
        <w:separator/>
      </w:r>
    </w:p>
  </w:endnote>
  <w:endnote w:type="continuationSeparator" w:id="0">
    <w:p w14:paraId="16D82476" w14:textId="77777777" w:rsidR="00000000" w:rsidRDefault="00B77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94868"/>
      <w:docPartObj>
        <w:docPartGallery w:val="Page Numbers (Bottom of Page)"/>
        <w:docPartUnique/>
      </w:docPartObj>
    </w:sdtPr>
    <w:sdtEndPr>
      <w:rPr>
        <w:noProof/>
      </w:rPr>
    </w:sdtEndPr>
    <w:sdtContent>
      <w:p w14:paraId="6C0EE5C5" w14:textId="57A3E013" w:rsidR="00BE3525" w:rsidRDefault="00B7731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485EE92" w14:textId="77777777" w:rsidR="00BE3525" w:rsidRDefault="00BE35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2400F" w14:textId="77777777" w:rsidR="00000000" w:rsidRDefault="00B7731A">
      <w:pPr>
        <w:spacing w:after="0" w:line="240" w:lineRule="auto"/>
      </w:pPr>
      <w:r>
        <w:separator/>
      </w:r>
    </w:p>
  </w:footnote>
  <w:footnote w:type="continuationSeparator" w:id="0">
    <w:p w14:paraId="5AEE0BB0" w14:textId="77777777" w:rsidR="00000000" w:rsidRDefault="00B77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9A7"/>
    <w:multiLevelType w:val="hybridMultilevel"/>
    <w:tmpl w:val="6ACEE192"/>
    <w:lvl w:ilvl="0" w:tplc="7D3615A8">
      <w:start w:val="1"/>
      <w:numFmt w:val="decimal"/>
      <w:lvlText w:val="%1."/>
      <w:lvlJc w:val="left"/>
      <w:pPr>
        <w:ind w:left="720" w:hanging="360"/>
      </w:pPr>
      <w:rPr>
        <w:rFonts w:hint="default"/>
        <w:b/>
        <w:bCs/>
      </w:rPr>
    </w:lvl>
    <w:lvl w:ilvl="1" w:tplc="4FA2690E" w:tentative="1">
      <w:start w:val="1"/>
      <w:numFmt w:val="lowerLetter"/>
      <w:lvlText w:val="%2."/>
      <w:lvlJc w:val="left"/>
      <w:pPr>
        <w:ind w:left="1440" w:hanging="360"/>
      </w:pPr>
    </w:lvl>
    <w:lvl w:ilvl="2" w:tplc="9F1C890E" w:tentative="1">
      <w:start w:val="1"/>
      <w:numFmt w:val="lowerRoman"/>
      <w:lvlText w:val="%3."/>
      <w:lvlJc w:val="right"/>
      <w:pPr>
        <w:ind w:left="2160" w:hanging="180"/>
      </w:pPr>
    </w:lvl>
    <w:lvl w:ilvl="3" w:tplc="581222D8" w:tentative="1">
      <w:start w:val="1"/>
      <w:numFmt w:val="decimal"/>
      <w:lvlText w:val="%4."/>
      <w:lvlJc w:val="left"/>
      <w:pPr>
        <w:ind w:left="2880" w:hanging="360"/>
      </w:pPr>
    </w:lvl>
    <w:lvl w:ilvl="4" w:tplc="244A964E" w:tentative="1">
      <w:start w:val="1"/>
      <w:numFmt w:val="lowerLetter"/>
      <w:lvlText w:val="%5."/>
      <w:lvlJc w:val="left"/>
      <w:pPr>
        <w:ind w:left="3600" w:hanging="360"/>
      </w:pPr>
    </w:lvl>
    <w:lvl w:ilvl="5" w:tplc="AED0EFA0" w:tentative="1">
      <w:start w:val="1"/>
      <w:numFmt w:val="lowerRoman"/>
      <w:lvlText w:val="%6."/>
      <w:lvlJc w:val="right"/>
      <w:pPr>
        <w:ind w:left="4320" w:hanging="180"/>
      </w:pPr>
    </w:lvl>
    <w:lvl w:ilvl="6" w:tplc="6F4AF27E" w:tentative="1">
      <w:start w:val="1"/>
      <w:numFmt w:val="decimal"/>
      <w:lvlText w:val="%7."/>
      <w:lvlJc w:val="left"/>
      <w:pPr>
        <w:ind w:left="5040" w:hanging="360"/>
      </w:pPr>
    </w:lvl>
    <w:lvl w:ilvl="7" w:tplc="8B2ED63A" w:tentative="1">
      <w:start w:val="1"/>
      <w:numFmt w:val="lowerLetter"/>
      <w:lvlText w:val="%8."/>
      <w:lvlJc w:val="left"/>
      <w:pPr>
        <w:ind w:left="5760" w:hanging="360"/>
      </w:pPr>
    </w:lvl>
    <w:lvl w:ilvl="8" w:tplc="F2C651EC" w:tentative="1">
      <w:start w:val="1"/>
      <w:numFmt w:val="lowerRoman"/>
      <w:lvlText w:val="%9."/>
      <w:lvlJc w:val="right"/>
      <w:pPr>
        <w:ind w:left="6480" w:hanging="180"/>
      </w:pPr>
    </w:lvl>
  </w:abstractNum>
  <w:abstractNum w:abstractNumId="1" w15:restartNumberingAfterBreak="0">
    <w:nsid w:val="057B64B8"/>
    <w:multiLevelType w:val="hybridMultilevel"/>
    <w:tmpl w:val="92FE9D3A"/>
    <w:lvl w:ilvl="0" w:tplc="3E4C5EFE">
      <w:start w:val="1"/>
      <w:numFmt w:val="decimal"/>
      <w:lvlText w:val="%1."/>
      <w:lvlJc w:val="left"/>
      <w:pPr>
        <w:ind w:left="720" w:hanging="360"/>
      </w:pPr>
      <w:rPr>
        <w:rFonts w:ascii="Times New Roman" w:hAnsi="Times New Roman" w:cs="Times New Roman" w:hint="default"/>
        <w:b/>
        <w:bCs/>
        <w:sz w:val="24"/>
        <w:szCs w:val="24"/>
      </w:rPr>
    </w:lvl>
    <w:lvl w:ilvl="1" w:tplc="C6EE3918" w:tentative="1">
      <w:start w:val="1"/>
      <w:numFmt w:val="lowerLetter"/>
      <w:lvlText w:val="%2."/>
      <w:lvlJc w:val="left"/>
      <w:pPr>
        <w:ind w:left="1440" w:hanging="360"/>
      </w:pPr>
    </w:lvl>
    <w:lvl w:ilvl="2" w:tplc="B9E03DA8" w:tentative="1">
      <w:start w:val="1"/>
      <w:numFmt w:val="lowerRoman"/>
      <w:lvlText w:val="%3."/>
      <w:lvlJc w:val="right"/>
      <w:pPr>
        <w:ind w:left="2160" w:hanging="180"/>
      </w:pPr>
    </w:lvl>
    <w:lvl w:ilvl="3" w:tplc="EADEE670" w:tentative="1">
      <w:start w:val="1"/>
      <w:numFmt w:val="decimal"/>
      <w:lvlText w:val="%4."/>
      <w:lvlJc w:val="left"/>
      <w:pPr>
        <w:ind w:left="2880" w:hanging="360"/>
      </w:pPr>
    </w:lvl>
    <w:lvl w:ilvl="4" w:tplc="181C60B0" w:tentative="1">
      <w:start w:val="1"/>
      <w:numFmt w:val="lowerLetter"/>
      <w:lvlText w:val="%5."/>
      <w:lvlJc w:val="left"/>
      <w:pPr>
        <w:ind w:left="3600" w:hanging="360"/>
      </w:pPr>
    </w:lvl>
    <w:lvl w:ilvl="5" w:tplc="C1F4361C" w:tentative="1">
      <w:start w:val="1"/>
      <w:numFmt w:val="lowerRoman"/>
      <w:lvlText w:val="%6."/>
      <w:lvlJc w:val="right"/>
      <w:pPr>
        <w:ind w:left="4320" w:hanging="180"/>
      </w:pPr>
    </w:lvl>
    <w:lvl w:ilvl="6" w:tplc="4A6EC6C4" w:tentative="1">
      <w:start w:val="1"/>
      <w:numFmt w:val="decimal"/>
      <w:lvlText w:val="%7."/>
      <w:lvlJc w:val="left"/>
      <w:pPr>
        <w:ind w:left="5040" w:hanging="360"/>
      </w:pPr>
    </w:lvl>
    <w:lvl w:ilvl="7" w:tplc="E446E542" w:tentative="1">
      <w:start w:val="1"/>
      <w:numFmt w:val="lowerLetter"/>
      <w:lvlText w:val="%8."/>
      <w:lvlJc w:val="left"/>
      <w:pPr>
        <w:ind w:left="5760" w:hanging="360"/>
      </w:pPr>
    </w:lvl>
    <w:lvl w:ilvl="8" w:tplc="C3F06E0A" w:tentative="1">
      <w:start w:val="1"/>
      <w:numFmt w:val="lowerRoman"/>
      <w:lvlText w:val="%9."/>
      <w:lvlJc w:val="right"/>
      <w:pPr>
        <w:ind w:left="6480" w:hanging="180"/>
      </w:pPr>
    </w:lvl>
  </w:abstractNum>
  <w:abstractNum w:abstractNumId="2" w15:restartNumberingAfterBreak="0">
    <w:nsid w:val="366B59D5"/>
    <w:multiLevelType w:val="hybridMultilevel"/>
    <w:tmpl w:val="3E5480F4"/>
    <w:lvl w:ilvl="0" w:tplc="8D849B76">
      <w:start w:val="1"/>
      <w:numFmt w:val="decimal"/>
      <w:lvlText w:val="%1."/>
      <w:lvlJc w:val="left"/>
      <w:pPr>
        <w:ind w:left="720" w:hanging="360"/>
      </w:pPr>
      <w:rPr>
        <w:rFonts w:hint="default"/>
        <w:b w:val="0"/>
        <w:bCs w:val="0"/>
      </w:rPr>
    </w:lvl>
    <w:lvl w:ilvl="1" w:tplc="643E2D9E" w:tentative="1">
      <w:start w:val="1"/>
      <w:numFmt w:val="lowerLetter"/>
      <w:lvlText w:val="%2."/>
      <w:lvlJc w:val="left"/>
      <w:pPr>
        <w:ind w:left="1440" w:hanging="360"/>
      </w:pPr>
    </w:lvl>
    <w:lvl w:ilvl="2" w:tplc="844A9252" w:tentative="1">
      <w:start w:val="1"/>
      <w:numFmt w:val="lowerRoman"/>
      <w:lvlText w:val="%3."/>
      <w:lvlJc w:val="right"/>
      <w:pPr>
        <w:ind w:left="2160" w:hanging="180"/>
      </w:pPr>
    </w:lvl>
    <w:lvl w:ilvl="3" w:tplc="B8DAFA0C" w:tentative="1">
      <w:start w:val="1"/>
      <w:numFmt w:val="decimal"/>
      <w:lvlText w:val="%4."/>
      <w:lvlJc w:val="left"/>
      <w:pPr>
        <w:ind w:left="2880" w:hanging="360"/>
      </w:pPr>
    </w:lvl>
    <w:lvl w:ilvl="4" w:tplc="69EE31C6" w:tentative="1">
      <w:start w:val="1"/>
      <w:numFmt w:val="lowerLetter"/>
      <w:lvlText w:val="%5."/>
      <w:lvlJc w:val="left"/>
      <w:pPr>
        <w:ind w:left="3600" w:hanging="360"/>
      </w:pPr>
    </w:lvl>
    <w:lvl w:ilvl="5" w:tplc="CBE24A98" w:tentative="1">
      <w:start w:val="1"/>
      <w:numFmt w:val="lowerRoman"/>
      <w:lvlText w:val="%6."/>
      <w:lvlJc w:val="right"/>
      <w:pPr>
        <w:ind w:left="4320" w:hanging="180"/>
      </w:pPr>
    </w:lvl>
    <w:lvl w:ilvl="6" w:tplc="01F21DDC" w:tentative="1">
      <w:start w:val="1"/>
      <w:numFmt w:val="decimal"/>
      <w:lvlText w:val="%7."/>
      <w:lvlJc w:val="left"/>
      <w:pPr>
        <w:ind w:left="5040" w:hanging="360"/>
      </w:pPr>
    </w:lvl>
    <w:lvl w:ilvl="7" w:tplc="F314EA8C" w:tentative="1">
      <w:start w:val="1"/>
      <w:numFmt w:val="lowerLetter"/>
      <w:lvlText w:val="%8."/>
      <w:lvlJc w:val="left"/>
      <w:pPr>
        <w:ind w:left="5760" w:hanging="360"/>
      </w:pPr>
    </w:lvl>
    <w:lvl w:ilvl="8" w:tplc="AC081DCC" w:tentative="1">
      <w:start w:val="1"/>
      <w:numFmt w:val="lowerRoman"/>
      <w:lvlText w:val="%9."/>
      <w:lvlJc w:val="right"/>
      <w:pPr>
        <w:ind w:left="6480" w:hanging="180"/>
      </w:pPr>
    </w:lvl>
  </w:abstractNum>
  <w:abstractNum w:abstractNumId="3" w15:restartNumberingAfterBreak="0">
    <w:nsid w:val="414D78FC"/>
    <w:multiLevelType w:val="hybridMultilevel"/>
    <w:tmpl w:val="0EC2ADAE"/>
    <w:lvl w:ilvl="0" w:tplc="D4009480">
      <w:start w:val="1"/>
      <w:numFmt w:val="lowerLetter"/>
      <w:lvlText w:val="%1."/>
      <w:lvlJc w:val="left"/>
      <w:pPr>
        <w:ind w:left="720" w:hanging="360"/>
      </w:pPr>
      <w:rPr>
        <w:rFonts w:hint="default"/>
      </w:rPr>
    </w:lvl>
    <w:lvl w:ilvl="1" w:tplc="8E1AF1CE" w:tentative="1">
      <w:start w:val="1"/>
      <w:numFmt w:val="lowerLetter"/>
      <w:lvlText w:val="%2."/>
      <w:lvlJc w:val="left"/>
      <w:pPr>
        <w:ind w:left="1440" w:hanging="360"/>
      </w:pPr>
    </w:lvl>
    <w:lvl w:ilvl="2" w:tplc="2160A422" w:tentative="1">
      <w:start w:val="1"/>
      <w:numFmt w:val="lowerRoman"/>
      <w:lvlText w:val="%3."/>
      <w:lvlJc w:val="right"/>
      <w:pPr>
        <w:ind w:left="2160" w:hanging="180"/>
      </w:pPr>
    </w:lvl>
    <w:lvl w:ilvl="3" w:tplc="411ADD60" w:tentative="1">
      <w:start w:val="1"/>
      <w:numFmt w:val="decimal"/>
      <w:lvlText w:val="%4."/>
      <w:lvlJc w:val="left"/>
      <w:pPr>
        <w:ind w:left="2880" w:hanging="360"/>
      </w:pPr>
    </w:lvl>
    <w:lvl w:ilvl="4" w:tplc="5336BF68" w:tentative="1">
      <w:start w:val="1"/>
      <w:numFmt w:val="lowerLetter"/>
      <w:lvlText w:val="%5."/>
      <w:lvlJc w:val="left"/>
      <w:pPr>
        <w:ind w:left="3600" w:hanging="360"/>
      </w:pPr>
    </w:lvl>
    <w:lvl w:ilvl="5" w:tplc="8D5C831C" w:tentative="1">
      <w:start w:val="1"/>
      <w:numFmt w:val="lowerRoman"/>
      <w:lvlText w:val="%6."/>
      <w:lvlJc w:val="right"/>
      <w:pPr>
        <w:ind w:left="4320" w:hanging="180"/>
      </w:pPr>
    </w:lvl>
    <w:lvl w:ilvl="6" w:tplc="538EC292" w:tentative="1">
      <w:start w:val="1"/>
      <w:numFmt w:val="decimal"/>
      <w:lvlText w:val="%7."/>
      <w:lvlJc w:val="left"/>
      <w:pPr>
        <w:ind w:left="5040" w:hanging="360"/>
      </w:pPr>
    </w:lvl>
    <w:lvl w:ilvl="7" w:tplc="F330F956" w:tentative="1">
      <w:start w:val="1"/>
      <w:numFmt w:val="lowerLetter"/>
      <w:lvlText w:val="%8."/>
      <w:lvlJc w:val="left"/>
      <w:pPr>
        <w:ind w:left="5760" w:hanging="360"/>
      </w:pPr>
    </w:lvl>
    <w:lvl w:ilvl="8" w:tplc="1980CA6C" w:tentative="1">
      <w:start w:val="1"/>
      <w:numFmt w:val="lowerRoman"/>
      <w:lvlText w:val="%9."/>
      <w:lvlJc w:val="right"/>
      <w:pPr>
        <w:ind w:left="6480" w:hanging="180"/>
      </w:pPr>
    </w:lvl>
  </w:abstractNum>
  <w:abstractNum w:abstractNumId="4" w15:restartNumberingAfterBreak="0">
    <w:nsid w:val="622D15D6"/>
    <w:multiLevelType w:val="hybridMultilevel"/>
    <w:tmpl w:val="6ACEE192"/>
    <w:lvl w:ilvl="0" w:tplc="22183DC2">
      <w:start w:val="1"/>
      <w:numFmt w:val="decimal"/>
      <w:lvlText w:val="%1."/>
      <w:lvlJc w:val="left"/>
      <w:pPr>
        <w:ind w:left="720" w:hanging="360"/>
      </w:pPr>
      <w:rPr>
        <w:rFonts w:hint="default"/>
        <w:b/>
        <w:bCs/>
      </w:rPr>
    </w:lvl>
    <w:lvl w:ilvl="1" w:tplc="9620C2B6" w:tentative="1">
      <w:start w:val="1"/>
      <w:numFmt w:val="lowerLetter"/>
      <w:lvlText w:val="%2."/>
      <w:lvlJc w:val="left"/>
      <w:pPr>
        <w:ind w:left="1440" w:hanging="360"/>
      </w:pPr>
    </w:lvl>
    <w:lvl w:ilvl="2" w:tplc="580425D6" w:tentative="1">
      <w:start w:val="1"/>
      <w:numFmt w:val="lowerRoman"/>
      <w:lvlText w:val="%3."/>
      <w:lvlJc w:val="right"/>
      <w:pPr>
        <w:ind w:left="2160" w:hanging="180"/>
      </w:pPr>
    </w:lvl>
    <w:lvl w:ilvl="3" w:tplc="E772A9D0" w:tentative="1">
      <w:start w:val="1"/>
      <w:numFmt w:val="decimal"/>
      <w:lvlText w:val="%4."/>
      <w:lvlJc w:val="left"/>
      <w:pPr>
        <w:ind w:left="2880" w:hanging="360"/>
      </w:pPr>
    </w:lvl>
    <w:lvl w:ilvl="4" w:tplc="2CDA2FCE" w:tentative="1">
      <w:start w:val="1"/>
      <w:numFmt w:val="lowerLetter"/>
      <w:lvlText w:val="%5."/>
      <w:lvlJc w:val="left"/>
      <w:pPr>
        <w:ind w:left="3600" w:hanging="360"/>
      </w:pPr>
    </w:lvl>
    <w:lvl w:ilvl="5" w:tplc="3A3219EE" w:tentative="1">
      <w:start w:val="1"/>
      <w:numFmt w:val="lowerRoman"/>
      <w:lvlText w:val="%6."/>
      <w:lvlJc w:val="right"/>
      <w:pPr>
        <w:ind w:left="4320" w:hanging="180"/>
      </w:pPr>
    </w:lvl>
    <w:lvl w:ilvl="6" w:tplc="0EDC560C" w:tentative="1">
      <w:start w:val="1"/>
      <w:numFmt w:val="decimal"/>
      <w:lvlText w:val="%7."/>
      <w:lvlJc w:val="left"/>
      <w:pPr>
        <w:ind w:left="5040" w:hanging="360"/>
      </w:pPr>
    </w:lvl>
    <w:lvl w:ilvl="7" w:tplc="61CC3486" w:tentative="1">
      <w:start w:val="1"/>
      <w:numFmt w:val="lowerLetter"/>
      <w:lvlText w:val="%8."/>
      <w:lvlJc w:val="left"/>
      <w:pPr>
        <w:ind w:left="5760" w:hanging="360"/>
      </w:pPr>
    </w:lvl>
    <w:lvl w:ilvl="8" w:tplc="5356699A" w:tentative="1">
      <w:start w:val="1"/>
      <w:numFmt w:val="lowerRoman"/>
      <w:lvlText w:val="%9."/>
      <w:lvlJc w:val="right"/>
      <w:pPr>
        <w:ind w:left="6480" w:hanging="180"/>
      </w:pPr>
    </w:lvl>
  </w:abstractNum>
  <w:abstractNum w:abstractNumId="5" w15:restartNumberingAfterBreak="0">
    <w:nsid w:val="7BB21EDA"/>
    <w:multiLevelType w:val="hybridMultilevel"/>
    <w:tmpl w:val="6DFCECDC"/>
    <w:lvl w:ilvl="0" w:tplc="E494894C">
      <w:start w:val="1"/>
      <w:numFmt w:val="decimal"/>
      <w:lvlText w:val="%1."/>
      <w:lvlJc w:val="left"/>
      <w:pPr>
        <w:ind w:left="720" w:hanging="360"/>
      </w:pPr>
      <w:rPr>
        <w:rFonts w:hint="default"/>
      </w:rPr>
    </w:lvl>
    <w:lvl w:ilvl="1" w:tplc="A11C5DBC" w:tentative="1">
      <w:start w:val="1"/>
      <w:numFmt w:val="lowerLetter"/>
      <w:lvlText w:val="%2."/>
      <w:lvlJc w:val="left"/>
      <w:pPr>
        <w:ind w:left="1440" w:hanging="360"/>
      </w:pPr>
    </w:lvl>
    <w:lvl w:ilvl="2" w:tplc="5EB49F48" w:tentative="1">
      <w:start w:val="1"/>
      <w:numFmt w:val="lowerRoman"/>
      <w:lvlText w:val="%3."/>
      <w:lvlJc w:val="right"/>
      <w:pPr>
        <w:ind w:left="2160" w:hanging="180"/>
      </w:pPr>
    </w:lvl>
    <w:lvl w:ilvl="3" w:tplc="1700E3D0" w:tentative="1">
      <w:start w:val="1"/>
      <w:numFmt w:val="decimal"/>
      <w:lvlText w:val="%4."/>
      <w:lvlJc w:val="left"/>
      <w:pPr>
        <w:ind w:left="2880" w:hanging="360"/>
      </w:pPr>
    </w:lvl>
    <w:lvl w:ilvl="4" w:tplc="3D0AFAEA" w:tentative="1">
      <w:start w:val="1"/>
      <w:numFmt w:val="lowerLetter"/>
      <w:lvlText w:val="%5."/>
      <w:lvlJc w:val="left"/>
      <w:pPr>
        <w:ind w:left="3600" w:hanging="360"/>
      </w:pPr>
    </w:lvl>
    <w:lvl w:ilvl="5" w:tplc="970639A8" w:tentative="1">
      <w:start w:val="1"/>
      <w:numFmt w:val="lowerRoman"/>
      <w:lvlText w:val="%6."/>
      <w:lvlJc w:val="right"/>
      <w:pPr>
        <w:ind w:left="4320" w:hanging="180"/>
      </w:pPr>
    </w:lvl>
    <w:lvl w:ilvl="6" w:tplc="4852F280" w:tentative="1">
      <w:start w:val="1"/>
      <w:numFmt w:val="decimal"/>
      <w:lvlText w:val="%7."/>
      <w:lvlJc w:val="left"/>
      <w:pPr>
        <w:ind w:left="5040" w:hanging="360"/>
      </w:pPr>
    </w:lvl>
    <w:lvl w:ilvl="7" w:tplc="A48CF8AC" w:tentative="1">
      <w:start w:val="1"/>
      <w:numFmt w:val="lowerLetter"/>
      <w:lvlText w:val="%8."/>
      <w:lvlJc w:val="left"/>
      <w:pPr>
        <w:ind w:left="5760" w:hanging="360"/>
      </w:pPr>
    </w:lvl>
    <w:lvl w:ilvl="8" w:tplc="932A53F0" w:tentative="1">
      <w:start w:val="1"/>
      <w:numFmt w:val="lowerRoman"/>
      <w:lvlText w:val="%9."/>
      <w:lvlJc w:val="right"/>
      <w:pPr>
        <w:ind w:left="6480" w:hanging="180"/>
      </w:pPr>
    </w:lvl>
  </w:abstractNum>
  <w:num w:numId="1" w16cid:durableId="1297183152">
    <w:abstractNumId w:val="5"/>
  </w:num>
  <w:num w:numId="2" w16cid:durableId="215744530">
    <w:abstractNumId w:val="1"/>
  </w:num>
  <w:num w:numId="3" w16cid:durableId="1561355876">
    <w:abstractNumId w:val="0"/>
  </w:num>
  <w:num w:numId="4" w16cid:durableId="1811438300">
    <w:abstractNumId w:val="2"/>
  </w:num>
  <w:num w:numId="5" w16cid:durableId="1169715785">
    <w:abstractNumId w:val="4"/>
  </w:num>
  <w:num w:numId="6" w16cid:durableId="7513954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E"/>
    <w:rsid w:val="0003362C"/>
    <w:rsid w:val="000906CF"/>
    <w:rsid w:val="000936EC"/>
    <w:rsid w:val="000975EE"/>
    <w:rsid w:val="000A1AB7"/>
    <w:rsid w:val="000C72F5"/>
    <w:rsid w:val="000F293E"/>
    <w:rsid w:val="000F45F2"/>
    <w:rsid w:val="00117C36"/>
    <w:rsid w:val="0014271B"/>
    <w:rsid w:val="001C6553"/>
    <w:rsid w:val="001E24AE"/>
    <w:rsid w:val="002F7D3D"/>
    <w:rsid w:val="00394B2A"/>
    <w:rsid w:val="00406CC0"/>
    <w:rsid w:val="00455DEA"/>
    <w:rsid w:val="00475414"/>
    <w:rsid w:val="004A7DA6"/>
    <w:rsid w:val="004E2643"/>
    <w:rsid w:val="00526A0E"/>
    <w:rsid w:val="005A6BE9"/>
    <w:rsid w:val="005E116F"/>
    <w:rsid w:val="00704E82"/>
    <w:rsid w:val="007149B5"/>
    <w:rsid w:val="00751565"/>
    <w:rsid w:val="007C2549"/>
    <w:rsid w:val="007C4CE2"/>
    <w:rsid w:val="008006B8"/>
    <w:rsid w:val="00894AC2"/>
    <w:rsid w:val="009129C4"/>
    <w:rsid w:val="009359A7"/>
    <w:rsid w:val="009746C3"/>
    <w:rsid w:val="009C4C53"/>
    <w:rsid w:val="009E677D"/>
    <w:rsid w:val="00A2565C"/>
    <w:rsid w:val="00AE6055"/>
    <w:rsid w:val="00AF55B5"/>
    <w:rsid w:val="00B2776D"/>
    <w:rsid w:val="00B45BA4"/>
    <w:rsid w:val="00B7731A"/>
    <w:rsid w:val="00BE3525"/>
    <w:rsid w:val="00BF12EB"/>
    <w:rsid w:val="00CA1537"/>
    <w:rsid w:val="00CA6E3A"/>
    <w:rsid w:val="00CB773E"/>
    <w:rsid w:val="00CC0ADC"/>
    <w:rsid w:val="00D24A51"/>
    <w:rsid w:val="00D363D0"/>
    <w:rsid w:val="00D47791"/>
    <w:rsid w:val="00DA1887"/>
    <w:rsid w:val="00DA595A"/>
    <w:rsid w:val="00DB0C5D"/>
    <w:rsid w:val="00DE014D"/>
    <w:rsid w:val="00E342A4"/>
    <w:rsid w:val="00E34384"/>
    <w:rsid w:val="00E622C8"/>
    <w:rsid w:val="00E9597C"/>
    <w:rsid w:val="00E97934"/>
    <w:rsid w:val="00EA2160"/>
    <w:rsid w:val="00EA3571"/>
    <w:rsid w:val="00EB7F17"/>
    <w:rsid w:val="00FA07E4"/>
    <w:rsid w:val="00FC5756"/>
    <w:rsid w:val="00FE6CCA"/>
    <w:rsid w:val="00FF1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B2776D"/>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uiPriority w:val="9"/>
    <w:unhideWhenUsed/>
    <w:qFormat/>
    <w:rsid w:val="00B2776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Titlu1Caracter">
    <w:name w:val="Titlu 1 Caracter"/>
    <w:basedOn w:val="Fontdeparagrafimplicit"/>
    <w:link w:val="Titlu1"/>
    <w:uiPriority w:val="9"/>
    <w:rsid w:val="00B2776D"/>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B2776D"/>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Cuprins2">
    <w:name w:val="toc 2"/>
    <w:basedOn w:val="Normal"/>
    <w:next w:val="Normal"/>
    <w:autoRedefine/>
    <w:uiPriority w:val="39"/>
    <w:unhideWhenUsed/>
    <w:rsid w:val="00BE3525"/>
    <w:pPr>
      <w:spacing w:after="100"/>
      <w:ind w:left="220"/>
    </w:pPr>
  </w:style>
  <w:style w:type="character" w:styleId="Hyperlink">
    <w:name w:val="Hyperlink"/>
    <w:basedOn w:val="Fontdeparagrafimplicit"/>
    <w:uiPriority w:val="99"/>
    <w:unhideWhenUsed/>
    <w:rsid w:val="00BE3525"/>
    <w:rPr>
      <w:color w:val="0563C1" w:themeColor="hyperlink"/>
      <w:u w:val="single"/>
    </w:rPr>
  </w:style>
  <w:style w:type="paragraph" w:styleId="Antet">
    <w:name w:val="header"/>
    <w:basedOn w:val="Normal"/>
    <w:link w:val="AntetCaracter"/>
    <w:uiPriority w:val="99"/>
    <w:unhideWhenUsed/>
    <w:rsid w:val="00BE352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E3525"/>
  </w:style>
  <w:style w:type="paragraph" w:styleId="Subsol">
    <w:name w:val="footer"/>
    <w:basedOn w:val="Normal"/>
    <w:link w:val="SubsolCaracter"/>
    <w:uiPriority w:val="99"/>
    <w:unhideWhenUsed/>
    <w:rsid w:val="00BE352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E3525"/>
  </w:style>
  <w:style w:type="character" w:styleId="Referincomentariu">
    <w:name w:val="annotation reference"/>
    <w:basedOn w:val="Fontdeparagrafimplicit"/>
    <w:uiPriority w:val="99"/>
    <w:semiHidden/>
    <w:unhideWhenUsed/>
    <w:rsid w:val="00FA07E4"/>
    <w:rPr>
      <w:sz w:val="16"/>
      <w:szCs w:val="16"/>
    </w:rPr>
  </w:style>
  <w:style w:type="paragraph" w:styleId="Textcomentariu">
    <w:name w:val="annotation text"/>
    <w:basedOn w:val="Normal"/>
    <w:link w:val="TextcomentariuCaracter"/>
    <w:uiPriority w:val="99"/>
    <w:semiHidden/>
    <w:unhideWhenUsed/>
    <w:rsid w:val="00FA07E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A07E4"/>
    <w:rPr>
      <w:sz w:val="20"/>
      <w:szCs w:val="20"/>
    </w:rPr>
  </w:style>
  <w:style w:type="paragraph" w:styleId="SubiectComentariu">
    <w:name w:val="annotation subject"/>
    <w:basedOn w:val="Textcomentariu"/>
    <w:next w:val="Textcomentariu"/>
    <w:link w:val="SubiectComentariuCaracter"/>
    <w:uiPriority w:val="99"/>
    <w:semiHidden/>
    <w:unhideWhenUsed/>
    <w:rsid w:val="00FA07E4"/>
    <w:rPr>
      <w:b/>
      <w:bCs/>
    </w:rPr>
  </w:style>
  <w:style w:type="character" w:customStyle="1" w:styleId="SubiectComentariuCaracter">
    <w:name w:val="Subiect Comentariu Caracter"/>
    <w:basedOn w:val="TextcomentariuCaracter"/>
    <w:link w:val="SubiectComentariu"/>
    <w:uiPriority w:val="99"/>
    <w:semiHidden/>
    <w:rsid w:val="00FA07E4"/>
    <w:rPr>
      <w:b/>
      <w:bCs/>
      <w:sz w:val="20"/>
      <w:szCs w:val="20"/>
    </w:rPr>
  </w:style>
  <w:style w:type="character" w:customStyle="1" w:styleId="UnresolvedMention1">
    <w:name w:val="Unresolved Mention1"/>
    <w:basedOn w:val="Fontdeparagrafimplicit"/>
    <w:uiPriority w:val="99"/>
    <w:rsid w:val="00455D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C4EA9-EDFE-495C-81FA-1D3B519C7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1195</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Denis-Emanuel Deiac (2115684)</cp:lastModifiedBy>
  <cp:revision>6</cp:revision>
  <dcterms:created xsi:type="dcterms:W3CDTF">2022-08-17T08:15:00Z</dcterms:created>
  <dcterms:modified xsi:type="dcterms:W3CDTF">2022-08-30T13:24:00Z</dcterms:modified>
</cp:coreProperties>
</file>