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947511C" w14:textId="77777777" w:rsidR="00EB0B4F" w:rsidRDefault="00EB0B4F"/>
    <w:p w14:paraId="6C23FF6D" w14:textId="77777777" w:rsidR="006D2538" w:rsidRDefault="006D2538"/>
    <w:p w14:paraId="425E3AC5" w14:textId="77777777" w:rsidR="006D2538" w:rsidRDefault="006D2538">
      <w:pPr>
        <w:rPr>
          <w:b/>
          <w:bCs/>
          <w:i/>
          <w:iCs/>
          <w:sz w:val="36"/>
          <w:szCs w:val="32"/>
        </w:rPr>
      </w:pPr>
    </w:p>
    <w:p w14:paraId="37BE8510" w14:textId="77777777" w:rsidR="006D2538" w:rsidRDefault="006D2538">
      <w:pPr>
        <w:rPr>
          <w:b/>
          <w:bCs/>
          <w:i/>
          <w:iCs/>
          <w:sz w:val="36"/>
          <w:szCs w:val="32"/>
        </w:rPr>
      </w:pPr>
    </w:p>
    <w:p w14:paraId="5BFEFAC2" w14:textId="77777777" w:rsidR="006D2538" w:rsidRDefault="006D2538">
      <w:pPr>
        <w:rPr>
          <w:b/>
          <w:bCs/>
          <w:i/>
          <w:iCs/>
          <w:sz w:val="36"/>
          <w:szCs w:val="32"/>
        </w:rPr>
      </w:pPr>
    </w:p>
    <w:p w14:paraId="36336C27" w14:textId="77777777" w:rsidR="006D2538" w:rsidRDefault="006D2538">
      <w:pPr>
        <w:rPr>
          <w:b/>
          <w:bCs/>
          <w:i/>
          <w:iCs/>
          <w:sz w:val="36"/>
          <w:szCs w:val="32"/>
        </w:rPr>
      </w:pPr>
    </w:p>
    <w:p w14:paraId="0803CFBF" w14:textId="5FE6D983" w:rsidR="006D2538" w:rsidRPr="006D2538" w:rsidRDefault="006D2538">
      <w:pPr>
        <w:rPr>
          <w:b/>
          <w:bCs/>
          <w:i/>
          <w:iCs/>
          <w:sz w:val="36"/>
          <w:szCs w:val="32"/>
        </w:rPr>
      </w:pPr>
      <w:r w:rsidRPr="006D2538">
        <w:rPr>
          <w:b/>
          <w:bCs/>
          <w:i/>
          <w:iCs/>
          <w:sz w:val="36"/>
          <w:szCs w:val="32"/>
        </w:rPr>
        <w:t>Module: Enterprise and Entrepreneurship</w:t>
      </w:r>
    </w:p>
    <w:p w14:paraId="3B4FAB3C" w14:textId="46CB099F" w:rsidR="006D2538" w:rsidRPr="006D2538" w:rsidRDefault="006D2538">
      <w:pPr>
        <w:rPr>
          <w:b/>
          <w:bCs/>
          <w:i/>
          <w:iCs/>
          <w:sz w:val="36"/>
          <w:szCs w:val="32"/>
        </w:rPr>
      </w:pPr>
      <w:r w:rsidRPr="006D2538">
        <w:rPr>
          <w:b/>
          <w:bCs/>
          <w:i/>
          <w:iCs/>
          <w:sz w:val="36"/>
          <w:szCs w:val="32"/>
        </w:rPr>
        <w:t>Module code: LCLM4006</w:t>
      </w:r>
    </w:p>
    <w:p w14:paraId="4AA0FE77" w14:textId="73BBB336" w:rsidR="006D2538" w:rsidRDefault="006D2538">
      <w:pPr>
        <w:rPr>
          <w:b/>
          <w:bCs/>
          <w:i/>
          <w:iCs/>
          <w:sz w:val="36"/>
          <w:szCs w:val="32"/>
        </w:rPr>
      </w:pPr>
      <w:r w:rsidRPr="006D2538">
        <w:rPr>
          <w:b/>
          <w:bCs/>
          <w:i/>
          <w:iCs/>
          <w:sz w:val="36"/>
          <w:szCs w:val="32"/>
        </w:rPr>
        <w:t>Assignment Title: Task 1: Individual Written Business Plan.</w:t>
      </w:r>
    </w:p>
    <w:p w14:paraId="17158DB6" w14:textId="17B0E1D5" w:rsidR="006D2538" w:rsidRDefault="006D2538">
      <w:pPr>
        <w:rPr>
          <w:b/>
          <w:bCs/>
          <w:i/>
          <w:iCs/>
          <w:sz w:val="36"/>
          <w:szCs w:val="32"/>
        </w:rPr>
      </w:pPr>
      <w:r w:rsidRPr="006D2538">
        <w:rPr>
          <w:b/>
          <w:bCs/>
          <w:i/>
          <w:iCs/>
          <w:sz w:val="36"/>
          <w:szCs w:val="32"/>
        </w:rPr>
        <w:t>Contribution to Overall Module Assessment (%): 50%</w:t>
      </w:r>
    </w:p>
    <w:p w14:paraId="65F4B1E7" w14:textId="77777777" w:rsidR="006D2538" w:rsidRDefault="006D2538">
      <w:pPr>
        <w:rPr>
          <w:b/>
          <w:bCs/>
          <w:i/>
          <w:iCs/>
          <w:sz w:val="36"/>
          <w:szCs w:val="32"/>
        </w:rPr>
      </w:pPr>
    </w:p>
    <w:p w14:paraId="4DF18934" w14:textId="77777777" w:rsidR="006D2538" w:rsidRDefault="006D2538">
      <w:pPr>
        <w:rPr>
          <w:b/>
          <w:bCs/>
          <w:i/>
          <w:iCs/>
          <w:sz w:val="36"/>
          <w:szCs w:val="32"/>
        </w:rPr>
      </w:pPr>
    </w:p>
    <w:p w14:paraId="3DC43CDD" w14:textId="77777777" w:rsidR="006D2538" w:rsidRDefault="006D2538">
      <w:pPr>
        <w:rPr>
          <w:b/>
          <w:bCs/>
          <w:i/>
          <w:iCs/>
          <w:sz w:val="36"/>
          <w:szCs w:val="32"/>
        </w:rPr>
      </w:pPr>
    </w:p>
    <w:p w14:paraId="721EC3D8" w14:textId="77777777" w:rsidR="006D2538" w:rsidRDefault="006D2538">
      <w:pPr>
        <w:rPr>
          <w:b/>
          <w:bCs/>
          <w:i/>
          <w:iCs/>
          <w:sz w:val="36"/>
          <w:szCs w:val="32"/>
        </w:rPr>
      </w:pPr>
    </w:p>
    <w:p w14:paraId="02A5A564" w14:textId="77777777" w:rsidR="006D2538" w:rsidRDefault="006D2538"/>
    <w:p w14:paraId="0B9D9ECC" w14:textId="77777777" w:rsidR="006D2538" w:rsidRDefault="006D2538"/>
    <w:p w14:paraId="43C2B3B3" w14:textId="77777777" w:rsidR="006D2538" w:rsidRDefault="006D2538"/>
    <w:p w14:paraId="5B981825" w14:textId="77777777" w:rsidR="006D2538" w:rsidRDefault="006D2538"/>
    <w:p w14:paraId="4BE0B70C" w14:textId="77777777" w:rsidR="006D2538" w:rsidRDefault="006D2538"/>
    <w:p w14:paraId="1F5BF5CA" w14:textId="77777777" w:rsidR="006D2538" w:rsidRDefault="006D2538"/>
    <w:p w14:paraId="2977758B" w14:textId="77777777" w:rsidR="006D2538" w:rsidRDefault="006D2538"/>
    <w:p w14:paraId="7E47EB16" w14:textId="77777777" w:rsidR="006D2538" w:rsidRDefault="006D2538"/>
    <w:p w14:paraId="706F2133" w14:textId="77777777" w:rsidR="006D2538" w:rsidRDefault="006D2538"/>
    <w:sdt>
      <w:sdtPr>
        <w:id w:val="-1267990450"/>
        <w:docPartObj>
          <w:docPartGallery w:val="Table of Contents"/>
          <w:docPartUnique/>
        </w:docPartObj>
      </w:sdtPr>
      <w:sdtEndPr>
        <w:rPr>
          <w:rFonts w:ascii="Times New Roman" w:eastAsiaTheme="minorHAnsi" w:hAnsi="Times New Roman" w:cstheme="minorBidi"/>
          <w:b/>
          <w:bCs/>
          <w:color w:val="auto"/>
          <w:sz w:val="24"/>
          <w:szCs w:val="22"/>
          <w:lang w:eastAsia="en-US"/>
        </w:rPr>
      </w:sdtEndPr>
      <w:sdtContent>
        <w:p w14:paraId="1F705FE3" w14:textId="47487610" w:rsidR="005F215B" w:rsidRDefault="005F215B">
          <w:pPr>
            <w:pStyle w:val="TOCHeading"/>
          </w:pPr>
          <w:r>
            <w:t>Contents</w:t>
          </w:r>
        </w:p>
        <w:p w14:paraId="2D637D2E" w14:textId="526091D9" w:rsidR="005F215B" w:rsidRDefault="005F215B">
          <w:pPr>
            <w:pStyle w:val="TOC1"/>
            <w:tabs>
              <w:tab w:val="right" w:leader="dot" w:pos="9016"/>
            </w:tabs>
            <w:rPr>
              <w:noProof/>
            </w:rPr>
          </w:pPr>
          <w:r>
            <w:fldChar w:fldCharType="begin"/>
          </w:r>
          <w:r>
            <w:instrText xml:space="preserve"> TOC \o "1-3" \h \z \u </w:instrText>
          </w:r>
          <w:r>
            <w:fldChar w:fldCharType="separate"/>
          </w:r>
          <w:hyperlink w:anchor="_Toc211426162" w:history="1">
            <w:r w:rsidRPr="009B0AA8">
              <w:rPr>
                <w:rStyle w:val="Hyperlink"/>
                <w:noProof/>
              </w:rPr>
              <w:t>Introduction</w:t>
            </w:r>
            <w:r>
              <w:rPr>
                <w:noProof/>
                <w:webHidden/>
              </w:rPr>
              <w:tab/>
            </w:r>
            <w:r>
              <w:rPr>
                <w:noProof/>
                <w:webHidden/>
              </w:rPr>
              <w:fldChar w:fldCharType="begin"/>
            </w:r>
            <w:r>
              <w:rPr>
                <w:noProof/>
                <w:webHidden/>
              </w:rPr>
              <w:instrText xml:space="preserve"> PAGEREF _Toc211426162 \h </w:instrText>
            </w:r>
            <w:r>
              <w:rPr>
                <w:noProof/>
                <w:webHidden/>
              </w:rPr>
            </w:r>
            <w:r>
              <w:rPr>
                <w:noProof/>
                <w:webHidden/>
              </w:rPr>
              <w:fldChar w:fldCharType="separate"/>
            </w:r>
            <w:r>
              <w:rPr>
                <w:noProof/>
                <w:webHidden/>
              </w:rPr>
              <w:t>3</w:t>
            </w:r>
            <w:r>
              <w:rPr>
                <w:noProof/>
                <w:webHidden/>
              </w:rPr>
              <w:fldChar w:fldCharType="end"/>
            </w:r>
          </w:hyperlink>
        </w:p>
        <w:p w14:paraId="5CC62274" w14:textId="5E88B640" w:rsidR="005F215B" w:rsidRDefault="005F215B">
          <w:pPr>
            <w:pStyle w:val="TOC1"/>
            <w:tabs>
              <w:tab w:val="right" w:leader="dot" w:pos="9016"/>
            </w:tabs>
            <w:rPr>
              <w:noProof/>
            </w:rPr>
          </w:pPr>
          <w:hyperlink w:anchor="_Toc211426163" w:history="1">
            <w:r w:rsidRPr="009B0AA8">
              <w:rPr>
                <w:rStyle w:val="Hyperlink"/>
                <w:noProof/>
              </w:rPr>
              <w:t>Legal Form and Management Organization.</w:t>
            </w:r>
            <w:r>
              <w:rPr>
                <w:noProof/>
                <w:webHidden/>
              </w:rPr>
              <w:tab/>
            </w:r>
            <w:r>
              <w:rPr>
                <w:noProof/>
                <w:webHidden/>
              </w:rPr>
              <w:fldChar w:fldCharType="begin"/>
            </w:r>
            <w:r>
              <w:rPr>
                <w:noProof/>
                <w:webHidden/>
              </w:rPr>
              <w:instrText xml:space="preserve"> PAGEREF _Toc211426163 \h </w:instrText>
            </w:r>
            <w:r>
              <w:rPr>
                <w:noProof/>
                <w:webHidden/>
              </w:rPr>
            </w:r>
            <w:r>
              <w:rPr>
                <w:noProof/>
                <w:webHidden/>
              </w:rPr>
              <w:fldChar w:fldCharType="separate"/>
            </w:r>
            <w:r>
              <w:rPr>
                <w:noProof/>
                <w:webHidden/>
              </w:rPr>
              <w:t>3</w:t>
            </w:r>
            <w:r>
              <w:rPr>
                <w:noProof/>
                <w:webHidden/>
              </w:rPr>
              <w:fldChar w:fldCharType="end"/>
            </w:r>
          </w:hyperlink>
        </w:p>
        <w:p w14:paraId="3824A6B1" w14:textId="3A0E0761" w:rsidR="005F215B" w:rsidRDefault="005F215B">
          <w:pPr>
            <w:pStyle w:val="TOC1"/>
            <w:tabs>
              <w:tab w:val="right" w:leader="dot" w:pos="9016"/>
            </w:tabs>
            <w:rPr>
              <w:noProof/>
            </w:rPr>
          </w:pPr>
          <w:hyperlink w:anchor="_Toc211426164" w:history="1">
            <w:r w:rsidRPr="009B0AA8">
              <w:rPr>
                <w:rStyle w:val="Hyperlink"/>
                <w:noProof/>
              </w:rPr>
              <w:t>PESTLE Analysis</w:t>
            </w:r>
            <w:r>
              <w:rPr>
                <w:noProof/>
                <w:webHidden/>
              </w:rPr>
              <w:tab/>
            </w:r>
            <w:r>
              <w:rPr>
                <w:noProof/>
                <w:webHidden/>
              </w:rPr>
              <w:fldChar w:fldCharType="begin"/>
            </w:r>
            <w:r>
              <w:rPr>
                <w:noProof/>
                <w:webHidden/>
              </w:rPr>
              <w:instrText xml:space="preserve"> PAGEREF _Toc211426164 \h </w:instrText>
            </w:r>
            <w:r>
              <w:rPr>
                <w:noProof/>
                <w:webHidden/>
              </w:rPr>
            </w:r>
            <w:r>
              <w:rPr>
                <w:noProof/>
                <w:webHidden/>
              </w:rPr>
              <w:fldChar w:fldCharType="separate"/>
            </w:r>
            <w:r>
              <w:rPr>
                <w:noProof/>
                <w:webHidden/>
              </w:rPr>
              <w:t>4</w:t>
            </w:r>
            <w:r>
              <w:rPr>
                <w:noProof/>
                <w:webHidden/>
              </w:rPr>
              <w:fldChar w:fldCharType="end"/>
            </w:r>
          </w:hyperlink>
        </w:p>
        <w:p w14:paraId="711B9303" w14:textId="2DD4E796" w:rsidR="005F215B" w:rsidRDefault="005F215B">
          <w:pPr>
            <w:pStyle w:val="TOC1"/>
            <w:tabs>
              <w:tab w:val="right" w:leader="dot" w:pos="9016"/>
            </w:tabs>
            <w:rPr>
              <w:noProof/>
            </w:rPr>
          </w:pPr>
          <w:hyperlink w:anchor="_Toc211426165" w:history="1">
            <w:r w:rsidRPr="009B0AA8">
              <w:rPr>
                <w:rStyle w:val="Hyperlink"/>
                <w:noProof/>
              </w:rPr>
              <w:t>Marketing Strategy</w:t>
            </w:r>
            <w:r>
              <w:rPr>
                <w:noProof/>
                <w:webHidden/>
              </w:rPr>
              <w:tab/>
            </w:r>
            <w:r>
              <w:rPr>
                <w:noProof/>
                <w:webHidden/>
              </w:rPr>
              <w:fldChar w:fldCharType="begin"/>
            </w:r>
            <w:r>
              <w:rPr>
                <w:noProof/>
                <w:webHidden/>
              </w:rPr>
              <w:instrText xml:space="preserve"> PAGEREF _Toc211426165 \h </w:instrText>
            </w:r>
            <w:r>
              <w:rPr>
                <w:noProof/>
                <w:webHidden/>
              </w:rPr>
            </w:r>
            <w:r>
              <w:rPr>
                <w:noProof/>
                <w:webHidden/>
              </w:rPr>
              <w:fldChar w:fldCharType="separate"/>
            </w:r>
            <w:r>
              <w:rPr>
                <w:noProof/>
                <w:webHidden/>
              </w:rPr>
              <w:t>5</w:t>
            </w:r>
            <w:r>
              <w:rPr>
                <w:noProof/>
                <w:webHidden/>
              </w:rPr>
              <w:fldChar w:fldCharType="end"/>
            </w:r>
          </w:hyperlink>
        </w:p>
        <w:p w14:paraId="49E3DB91" w14:textId="3660F0FA" w:rsidR="005F215B" w:rsidRDefault="005F215B">
          <w:pPr>
            <w:pStyle w:val="TOC1"/>
            <w:tabs>
              <w:tab w:val="right" w:leader="dot" w:pos="9016"/>
            </w:tabs>
            <w:rPr>
              <w:noProof/>
            </w:rPr>
          </w:pPr>
          <w:hyperlink w:anchor="_Toc211426166" w:history="1">
            <w:r w:rsidRPr="009B0AA8">
              <w:rPr>
                <w:rStyle w:val="Hyperlink"/>
                <w:noProof/>
              </w:rPr>
              <w:t>Financial Projections</w:t>
            </w:r>
            <w:r>
              <w:rPr>
                <w:noProof/>
                <w:webHidden/>
              </w:rPr>
              <w:tab/>
            </w:r>
            <w:r>
              <w:rPr>
                <w:noProof/>
                <w:webHidden/>
              </w:rPr>
              <w:fldChar w:fldCharType="begin"/>
            </w:r>
            <w:r>
              <w:rPr>
                <w:noProof/>
                <w:webHidden/>
              </w:rPr>
              <w:instrText xml:space="preserve"> PAGEREF _Toc211426166 \h </w:instrText>
            </w:r>
            <w:r>
              <w:rPr>
                <w:noProof/>
                <w:webHidden/>
              </w:rPr>
            </w:r>
            <w:r>
              <w:rPr>
                <w:noProof/>
                <w:webHidden/>
              </w:rPr>
              <w:fldChar w:fldCharType="separate"/>
            </w:r>
            <w:r>
              <w:rPr>
                <w:noProof/>
                <w:webHidden/>
              </w:rPr>
              <w:t>6</w:t>
            </w:r>
            <w:r>
              <w:rPr>
                <w:noProof/>
                <w:webHidden/>
              </w:rPr>
              <w:fldChar w:fldCharType="end"/>
            </w:r>
          </w:hyperlink>
        </w:p>
        <w:p w14:paraId="456B1EB8" w14:textId="4820BEFD" w:rsidR="005F215B" w:rsidRDefault="005F215B">
          <w:pPr>
            <w:pStyle w:val="TOC1"/>
            <w:tabs>
              <w:tab w:val="right" w:leader="dot" w:pos="9016"/>
            </w:tabs>
            <w:rPr>
              <w:noProof/>
            </w:rPr>
          </w:pPr>
          <w:hyperlink w:anchor="_Toc211426167" w:history="1">
            <w:r w:rsidRPr="009B0AA8">
              <w:rPr>
                <w:rStyle w:val="Hyperlink"/>
                <w:noProof/>
              </w:rPr>
              <w:t>Conclusion</w:t>
            </w:r>
            <w:r>
              <w:rPr>
                <w:noProof/>
                <w:webHidden/>
              </w:rPr>
              <w:tab/>
            </w:r>
            <w:r>
              <w:rPr>
                <w:noProof/>
                <w:webHidden/>
              </w:rPr>
              <w:fldChar w:fldCharType="begin"/>
            </w:r>
            <w:r>
              <w:rPr>
                <w:noProof/>
                <w:webHidden/>
              </w:rPr>
              <w:instrText xml:space="preserve"> PAGEREF _Toc211426167 \h </w:instrText>
            </w:r>
            <w:r>
              <w:rPr>
                <w:noProof/>
                <w:webHidden/>
              </w:rPr>
            </w:r>
            <w:r>
              <w:rPr>
                <w:noProof/>
                <w:webHidden/>
              </w:rPr>
              <w:fldChar w:fldCharType="separate"/>
            </w:r>
            <w:r>
              <w:rPr>
                <w:noProof/>
                <w:webHidden/>
              </w:rPr>
              <w:t>8</w:t>
            </w:r>
            <w:r>
              <w:rPr>
                <w:noProof/>
                <w:webHidden/>
              </w:rPr>
              <w:fldChar w:fldCharType="end"/>
            </w:r>
          </w:hyperlink>
        </w:p>
        <w:p w14:paraId="398658E7" w14:textId="152E806F" w:rsidR="005F215B" w:rsidRDefault="005F215B">
          <w:pPr>
            <w:pStyle w:val="TOC1"/>
            <w:tabs>
              <w:tab w:val="right" w:leader="dot" w:pos="9016"/>
            </w:tabs>
            <w:rPr>
              <w:noProof/>
            </w:rPr>
          </w:pPr>
          <w:hyperlink w:anchor="_Toc211426168" w:history="1">
            <w:r w:rsidRPr="009B0AA8">
              <w:rPr>
                <w:rStyle w:val="Hyperlink"/>
                <w:noProof/>
              </w:rPr>
              <w:t>References</w:t>
            </w:r>
            <w:r>
              <w:rPr>
                <w:noProof/>
                <w:webHidden/>
              </w:rPr>
              <w:tab/>
            </w:r>
            <w:r>
              <w:rPr>
                <w:noProof/>
                <w:webHidden/>
              </w:rPr>
              <w:fldChar w:fldCharType="begin"/>
            </w:r>
            <w:r>
              <w:rPr>
                <w:noProof/>
                <w:webHidden/>
              </w:rPr>
              <w:instrText xml:space="preserve"> PAGEREF _Toc211426168 \h </w:instrText>
            </w:r>
            <w:r>
              <w:rPr>
                <w:noProof/>
                <w:webHidden/>
              </w:rPr>
            </w:r>
            <w:r>
              <w:rPr>
                <w:noProof/>
                <w:webHidden/>
              </w:rPr>
              <w:fldChar w:fldCharType="separate"/>
            </w:r>
            <w:r>
              <w:rPr>
                <w:noProof/>
                <w:webHidden/>
              </w:rPr>
              <w:t>9</w:t>
            </w:r>
            <w:r>
              <w:rPr>
                <w:noProof/>
                <w:webHidden/>
              </w:rPr>
              <w:fldChar w:fldCharType="end"/>
            </w:r>
          </w:hyperlink>
        </w:p>
        <w:p w14:paraId="351B46DB" w14:textId="3401E204" w:rsidR="005F215B" w:rsidRDefault="005F215B">
          <w:r>
            <w:rPr>
              <w:b/>
              <w:bCs/>
            </w:rPr>
            <w:fldChar w:fldCharType="end"/>
          </w:r>
        </w:p>
      </w:sdtContent>
    </w:sdt>
    <w:p w14:paraId="61016B0E" w14:textId="77777777" w:rsidR="006D2538" w:rsidRDefault="006D2538"/>
    <w:p w14:paraId="35976C5A" w14:textId="77777777" w:rsidR="006D2538" w:rsidRDefault="006D2538"/>
    <w:p w14:paraId="4CFCDBA0" w14:textId="77777777" w:rsidR="006D2538" w:rsidRDefault="006D2538"/>
    <w:p w14:paraId="748B8A5B" w14:textId="77777777" w:rsidR="006D2538" w:rsidRDefault="006D2538"/>
    <w:p w14:paraId="633F5A55" w14:textId="77777777" w:rsidR="006D2538" w:rsidRDefault="006D2538"/>
    <w:p w14:paraId="18352907" w14:textId="77777777" w:rsidR="006D2538" w:rsidRDefault="006D2538"/>
    <w:p w14:paraId="520FDCAB" w14:textId="77777777" w:rsidR="006D2538" w:rsidRDefault="006D2538"/>
    <w:p w14:paraId="76E475D2" w14:textId="77777777" w:rsidR="006D2538" w:rsidRDefault="006D2538"/>
    <w:p w14:paraId="5FFB296C" w14:textId="77777777" w:rsidR="006D2538" w:rsidRDefault="006D2538"/>
    <w:p w14:paraId="269AA75C" w14:textId="77777777" w:rsidR="006D2538" w:rsidRDefault="006D2538"/>
    <w:p w14:paraId="782AD182" w14:textId="77777777" w:rsidR="006D2538" w:rsidRDefault="006D2538"/>
    <w:p w14:paraId="2B8D4780" w14:textId="77777777" w:rsidR="006D2538" w:rsidRDefault="006D2538"/>
    <w:p w14:paraId="2FA91DC1" w14:textId="77777777" w:rsidR="006D2538" w:rsidRDefault="006D2538"/>
    <w:p w14:paraId="115D4B66" w14:textId="77777777" w:rsidR="006D2538" w:rsidRDefault="006D2538"/>
    <w:p w14:paraId="15BCA647" w14:textId="77777777" w:rsidR="006D2538" w:rsidRDefault="006D2538"/>
    <w:p w14:paraId="1A8A00DB" w14:textId="77777777" w:rsidR="006D2538" w:rsidRDefault="006D2538"/>
    <w:p w14:paraId="74172E4B" w14:textId="77777777" w:rsidR="006D2538" w:rsidRDefault="006D2538"/>
    <w:p w14:paraId="2182302F" w14:textId="77777777" w:rsidR="006D2538" w:rsidRDefault="006D2538"/>
    <w:p w14:paraId="1EB62B8A" w14:textId="77777777" w:rsidR="006D2538" w:rsidRDefault="006D2538"/>
    <w:p w14:paraId="1DE96A62" w14:textId="77777777" w:rsidR="006D2538" w:rsidRDefault="006D2538"/>
    <w:p w14:paraId="6ECCED4D" w14:textId="77777777" w:rsidR="006D2538" w:rsidRDefault="006D2538"/>
    <w:p w14:paraId="3022D785" w14:textId="77777777" w:rsidR="006D2538" w:rsidRDefault="006D2538"/>
    <w:p w14:paraId="3C911771" w14:textId="77777777" w:rsidR="006D2538" w:rsidRDefault="006D2538"/>
    <w:p w14:paraId="0E277714" w14:textId="77777777" w:rsidR="006D2538" w:rsidRDefault="006D2538"/>
    <w:p w14:paraId="3FA4257D" w14:textId="1B0FFDDB" w:rsidR="006D2538" w:rsidRPr="006D2538" w:rsidRDefault="006D2538" w:rsidP="006D2538">
      <w:pPr>
        <w:pStyle w:val="Heading1"/>
      </w:pPr>
      <w:bookmarkStart w:id="0" w:name="_Toc211426162"/>
      <w:r w:rsidRPr="006D2538">
        <w:t>Introduction</w:t>
      </w:r>
      <w:bookmarkEnd w:id="0"/>
      <w:r w:rsidRPr="006D2538">
        <w:t xml:space="preserve"> </w:t>
      </w:r>
    </w:p>
    <w:p w14:paraId="173EEFC6" w14:textId="77777777" w:rsidR="006D2538" w:rsidRDefault="006D2538" w:rsidP="006D2538">
      <w:pPr>
        <w:spacing w:line="360" w:lineRule="auto"/>
        <w:jc w:val="both"/>
      </w:pPr>
    </w:p>
    <w:p w14:paraId="4D299DED" w14:textId="4F8A67E4" w:rsidR="006D2538" w:rsidRDefault="006D2538" w:rsidP="006D2538">
      <w:pPr>
        <w:spacing w:line="360" w:lineRule="auto"/>
        <w:jc w:val="both"/>
      </w:pPr>
      <w:r>
        <w:t>GlowGear UK is a startup company operating based on the concept of designing and selling customisable LED-lit phone cases and laptop covers to young individuals interested in and targeting generation z and young professionals in the United Kingdom. The company is a blend of technological allure with fashion and stability to respond to the emerging need to have individualised and eco-friendly tech accessories. Customers will have an option of colour, lighting effects and engraved design using e-commerce platform where the customers can create unique devices that reveal their identity. The smartphone accessories market in the UK is likely to grow to reach £2.1 billion in 2026, where there is already a high demand in personalisation and digital aesthetics (Statista, 2024). By providing products with exceptional fusion of creativity, functionalities and eco-friendly design, GlowGear UK can attract a low but lucrative market share.</w:t>
      </w:r>
    </w:p>
    <w:p w14:paraId="509C5E05" w14:textId="77777777" w:rsidR="006D2538" w:rsidRDefault="006D2538" w:rsidP="006D2538">
      <w:pPr>
        <w:spacing w:line="360" w:lineRule="auto"/>
        <w:jc w:val="both"/>
      </w:pPr>
      <w:r>
        <w:t>The mission of the company is to increase the interaction of people with the daily technology and minimize environmental use. GlowGear UK also intends to create a complete line of products, an e-commerce web site, and cooperate with UK universities in the realization of the campaign hosting the pop-up stands and influencer agreement in the first year. The vision of the company is to grow into LED tablet sleeve and smart desk accessories without losing the brand image based on self-expression, sustainability, and innovation.</w:t>
      </w:r>
    </w:p>
    <w:p w14:paraId="19CFC640" w14:textId="77777777" w:rsidR="006D2538" w:rsidRDefault="006D2538" w:rsidP="006D2538">
      <w:pPr>
        <w:spacing w:line="360" w:lineRule="auto"/>
        <w:jc w:val="both"/>
      </w:pPr>
    </w:p>
    <w:p w14:paraId="52F55652" w14:textId="77777777" w:rsidR="006D2538" w:rsidRDefault="006D2538" w:rsidP="006D2538">
      <w:pPr>
        <w:pStyle w:val="Heading1"/>
      </w:pPr>
      <w:bookmarkStart w:id="1" w:name="_Toc211426163"/>
      <w:r>
        <w:t>Legal Form and Management Organization.</w:t>
      </w:r>
      <w:bookmarkEnd w:id="1"/>
    </w:p>
    <w:p w14:paraId="28FD7629" w14:textId="77777777" w:rsidR="006D2538" w:rsidRDefault="006D2538" w:rsidP="006D2538">
      <w:pPr>
        <w:spacing w:line="360" w:lineRule="auto"/>
        <w:jc w:val="both"/>
      </w:pPr>
    </w:p>
    <w:p w14:paraId="19566754" w14:textId="0BC06B8D" w:rsidR="006D2538" w:rsidRDefault="006D2538" w:rsidP="006D2538">
      <w:pPr>
        <w:spacing w:line="360" w:lineRule="auto"/>
        <w:jc w:val="both"/>
      </w:pPr>
      <w:r>
        <w:t xml:space="preserve">GlowGear UK is going to be established in England and Wales as a Private Limited Company (Ltd). The benefits of this structure are protection of shareholders through limited </w:t>
      </w:r>
      <w:r>
        <w:lastRenderedPageBreak/>
        <w:t>liability, credibility with the investors and more flexibility regarding future expansion (Companies House, 2023). The company will have first two partners sharing equal capital and skills in the business. The founder will serve in the Chief Executive role; he will execute strategy, partnership and product design. Social media campaigns, brand development, customer engagement will be handled by a Marketing Manager; the supplier coordination, stock control and logistics will be performed by an Operations Manager. Budget control and compliance Financial management will be taken care of by a part-time accountant.</w:t>
      </w:r>
    </w:p>
    <w:p w14:paraId="22C6C34E" w14:textId="77777777" w:rsidR="006D2538" w:rsidRDefault="006D2538" w:rsidP="006D2538">
      <w:pPr>
        <w:spacing w:line="360" w:lineRule="auto"/>
        <w:jc w:val="both"/>
      </w:pPr>
      <w:r>
        <w:t>This lean management system which is small and flat encourages team work and effective decision making. The format is also legal and fosters application access to the government-supported financing programmes, including the UK Start Up Loans or the Enterprise Investment Scheme (Gov UK, 2024). Through this approach of limited company structure, GlowGear UK is able to incorporate the concept of professionalism and scalability that ensure it attracts early capital and the founders are not at risk of making personal investments.</w:t>
      </w:r>
    </w:p>
    <w:p w14:paraId="3E3F4D3F" w14:textId="77777777" w:rsidR="006D2538" w:rsidRDefault="006D2538" w:rsidP="006D2538">
      <w:pPr>
        <w:spacing w:line="360" w:lineRule="auto"/>
        <w:jc w:val="both"/>
      </w:pPr>
    </w:p>
    <w:p w14:paraId="1D832F6C" w14:textId="77777777" w:rsidR="006D2538" w:rsidRDefault="006D2538" w:rsidP="006D2538">
      <w:pPr>
        <w:pStyle w:val="Heading1"/>
      </w:pPr>
      <w:bookmarkStart w:id="2" w:name="_Toc211426164"/>
      <w:r>
        <w:t>PESTLE Analysis</w:t>
      </w:r>
      <w:bookmarkEnd w:id="2"/>
    </w:p>
    <w:p w14:paraId="4CBF0B4A" w14:textId="77777777" w:rsidR="006D2538" w:rsidRDefault="006D2538" w:rsidP="006D2538">
      <w:pPr>
        <w:spacing w:line="360" w:lineRule="auto"/>
        <w:jc w:val="both"/>
      </w:pPr>
    </w:p>
    <w:p w14:paraId="032BF74A" w14:textId="6FEAABE7" w:rsidR="006D2538" w:rsidRDefault="006D2538" w:rsidP="006D2538">
      <w:pPr>
        <w:spacing w:line="360" w:lineRule="auto"/>
        <w:jc w:val="both"/>
      </w:pPr>
      <w:r>
        <w:t>The business environment is external and has opportunities and challenges that affect the operations of the GlowGear UK. On the political front, entrepreneurs and innovators are encouraged by the UK government with programs like the Enterprise Investment Scheme that offer favourable terms to start ups (Gov UK, 2024). The relationships in the field of trade after Brexit are stabilised, and the importation of LED components of European or Asian origin can still be subject to the tariffs. The risks may be diminished by making long-term arrangement with the suppliers and considering the option of assembling within the UK.</w:t>
      </w:r>
    </w:p>
    <w:p w14:paraId="33C96C8F" w14:textId="18D1B927" w:rsidR="006D2538" w:rsidRDefault="006D2538" w:rsidP="006D2538">
      <w:pPr>
        <w:spacing w:line="360" w:lineRule="auto"/>
        <w:jc w:val="both"/>
      </w:pPr>
      <w:r>
        <w:t>Economically, inflation and unstable exchange rates are still a problem among the start ups who depend on imported products. However, consumer electronics and accessories spending is still on the rise despite the unpredictability of the economy. According to the Office for National Statistics (2024), the households in the UK augmented their expenditure on the goods associated with technology by 6.2% in 2024. The average prices of GlowGear UK of between 20 and 35 are well placed to ensure that the customer base consists of students and young professionals without breaking the budget yet maintaining profitability.</w:t>
      </w:r>
    </w:p>
    <w:p w14:paraId="7C758BCC" w14:textId="40B8C6F0" w:rsidR="006D2538" w:rsidRDefault="006D2538" w:rsidP="006D2538">
      <w:pPr>
        <w:spacing w:line="360" w:lineRule="auto"/>
        <w:jc w:val="both"/>
      </w:pPr>
      <w:r>
        <w:lastRenderedPageBreak/>
        <w:t>The value proposition at the social trends level is conversant with that of GlowGear UK. The rising trend in the self-expression and sustainability focus by the generation z consumers presents a perfect market opportunity. According to reports on Gen Z buying behaviour, Deloitte (2023) indicates that 65 percent of Gen Z buyers are inclined to buy the brands offering any type of customisable and sustainable choice. Tik Tok and the Instagram platforms are strong product discovery and brand touchpoints that influence buying behaviour and make small creative brands more visible.</w:t>
      </w:r>
    </w:p>
    <w:p w14:paraId="24C18FFC" w14:textId="0BB4C0C1" w:rsidR="006D2538" w:rsidRDefault="006D2538" w:rsidP="006D2538">
      <w:pPr>
        <w:spacing w:line="360" w:lineRule="auto"/>
        <w:jc w:val="both"/>
      </w:pPr>
      <w:r>
        <w:t>The model of the company is also supported by technological developments. Lightweight and durable products can be created by means of innovations in LED miniaturisation and battery efficiency (Anderson, 2023). GlowGear UK can automate inventory, analytics, and customer management requiring low technical investment due to the presence of low-cost e-commerce programs like Shopify. This is the technological infrastructure that allows it to scale and manage the costs of operation.</w:t>
      </w:r>
    </w:p>
    <w:p w14:paraId="72EE9C6B" w14:textId="30535E3E" w:rsidR="006D2538" w:rsidRDefault="006D2538" w:rsidP="006D2538">
      <w:pPr>
        <w:spacing w:line="360" w:lineRule="auto"/>
        <w:jc w:val="both"/>
      </w:pPr>
      <w:r>
        <w:t>The legal factors are the adherence to the Consumer Rights Act 2015 and the Data Protection Act 2018, safety of products, and the privacy of customers. The LED items will be CE-certified, and the products will contain recycling information in the packaging to comply with the environmental labelling requirements. Lastly, there is the environmental consciousness, which is part of the business strategy. The business will package its products in biodegradable thermoplastic polyurethane (TPU) and recyclable materials and has planned to receive a “return and recycle a discount programme. Such a strategy is in line with the sustainable manufacturing agenda of the UK government (DEFRA, 2023) and helps to increase the reputation of GlowGear UK as a responsible brand.</w:t>
      </w:r>
    </w:p>
    <w:p w14:paraId="46F3B3A6" w14:textId="77777777" w:rsidR="006D2538" w:rsidRDefault="006D2538" w:rsidP="006D2538">
      <w:pPr>
        <w:pStyle w:val="Heading1"/>
      </w:pPr>
      <w:bookmarkStart w:id="3" w:name="_Toc211426165"/>
      <w:r>
        <w:t>Marketing Strategy</w:t>
      </w:r>
      <w:bookmarkEnd w:id="3"/>
    </w:p>
    <w:p w14:paraId="0E3FCE09" w14:textId="77777777" w:rsidR="006D2538" w:rsidRDefault="006D2538" w:rsidP="006D2538">
      <w:pPr>
        <w:spacing w:line="360" w:lineRule="auto"/>
        <w:jc w:val="both"/>
      </w:pPr>
    </w:p>
    <w:p w14:paraId="40CFE3DF" w14:textId="77777777" w:rsidR="006D2538" w:rsidRDefault="006D2538" w:rsidP="006D2538">
      <w:pPr>
        <w:spacing w:line="360" w:lineRule="auto"/>
        <w:jc w:val="both"/>
      </w:pPr>
      <w:r>
        <w:t xml:space="preserve">The marketing approach that will be adopted by GlowGear UK will focus on the target customers with an aim of attracting and maintaining them through a combination of online marketing, lifestyle branding, and value-based messages. The target market that the company shall focus on is the group of consumers between the ages of sixteen to thirty years old, and university students, content creators, and young working professionals who will use social media and are orientation driven by the trends. The brand will make itself a technology lifestyle brand that combines fashion and responsibility to the environment based on the </w:t>
      </w:r>
      <w:r>
        <w:lastRenderedPageBreak/>
        <w:t>slogan “Tech that Glows with You. This identity makes GlowGear UK different than generic phone accessory vendors by attracting emotional values, and ethical values in contrast to functionality of the product.</w:t>
      </w:r>
    </w:p>
    <w:p w14:paraId="0265A91F" w14:textId="77777777" w:rsidR="006D2538" w:rsidRDefault="006D2538" w:rsidP="006D2538">
      <w:pPr>
        <w:spacing w:line="360" w:lineRule="auto"/>
        <w:jc w:val="both"/>
      </w:pPr>
    </w:p>
    <w:p w14:paraId="0C479461" w14:textId="095337DC" w:rsidR="006D2538" w:rsidRDefault="006D2538" w:rsidP="006D2538">
      <w:pPr>
        <w:spacing w:line="360" w:lineRule="auto"/>
        <w:jc w:val="both"/>
      </w:pPr>
      <w:r>
        <w:t>Marketing mix of the company will be concentrated on the quality of the products, affordable prices and online distribution. Some of the products to be provided will consist of LED phone cases and laptop covers with a personal colour setting and engraving. The pricing will be based on the affordable premium model where the perceived value will be maintained at the same time achieving profit margins. It will be sold directly to the consumer through an online shop with secure payment and logistic agreements throughout the country. The business will also carry out pop-up activities in the campuses of London and Birmingham universities to demonstrate their products to customers and receive feedback.</w:t>
      </w:r>
    </w:p>
    <w:p w14:paraId="669787B8" w14:textId="5892A366" w:rsidR="006D2538" w:rsidRDefault="006D2538" w:rsidP="006D2538">
      <w:pPr>
        <w:spacing w:line="360" w:lineRule="auto"/>
        <w:jc w:val="both"/>
      </w:pPr>
      <w:r>
        <w:t>The advertising will be based mainly on influencer marketing and social media. Partners with micro-influencers who embody the aesthetic and values of the brand will be helpful to facilitate in organic engagement and authenticity. The advertisement campaign will utilize short video commercials revealing the effects of product illumination and personalisation options. First consumers will get an opportunity to buy designs in limited edition to create first-mover sales momentum. In order to retain customers, the company will incorporate a loyalty programme named as GlowPoints, where discounts and promotions to new releases would be provided.</w:t>
      </w:r>
    </w:p>
    <w:p w14:paraId="5E3E9BA6" w14:textId="77777777" w:rsidR="006D2538" w:rsidRDefault="006D2538" w:rsidP="006D2538">
      <w:pPr>
        <w:spacing w:line="360" w:lineRule="auto"/>
        <w:jc w:val="both"/>
      </w:pPr>
      <w:r>
        <w:t>All communication strategies will entail sustainability storytelling. The emphasis on recyclable resources and energy-consuming LEDs will attract eco-friendly customers and respond to the sustainability trends of the day. Kotler et al. (2023) state that brands are more and more rated in accordance with environmental responsibility, and brands should incorporate the concept of sustainability as one of the elements of the marketing narrative in order to gain brand credibility and trust. The promotional approach, used by GlowGear in the UK, is thus, directed at the authenticity, innovation and engagement aspects with customers to ensure the creation of a strong and loyal consumer base.</w:t>
      </w:r>
    </w:p>
    <w:p w14:paraId="22E6082C" w14:textId="77777777" w:rsidR="006D2538" w:rsidRDefault="006D2538" w:rsidP="006D2538">
      <w:pPr>
        <w:spacing w:line="360" w:lineRule="auto"/>
        <w:jc w:val="both"/>
      </w:pPr>
    </w:p>
    <w:p w14:paraId="6DD443CB" w14:textId="0C936DE7" w:rsidR="006D2538" w:rsidRDefault="006D2538" w:rsidP="006D2538">
      <w:pPr>
        <w:pStyle w:val="Heading1"/>
      </w:pPr>
      <w:bookmarkStart w:id="4" w:name="_Toc211426166"/>
      <w:r>
        <w:lastRenderedPageBreak/>
        <w:t>Financial Projections</w:t>
      </w:r>
      <w:bookmarkEnd w:id="4"/>
      <w:r>
        <w:t xml:space="preserve"> </w:t>
      </w:r>
    </w:p>
    <w:p w14:paraId="0339AB5A" w14:textId="77777777" w:rsidR="006D2538" w:rsidRDefault="006D2538" w:rsidP="006D2538">
      <w:pPr>
        <w:spacing w:line="360" w:lineRule="auto"/>
        <w:jc w:val="both"/>
      </w:pPr>
    </w:p>
    <w:p w14:paraId="35EA0FC0" w14:textId="566F3EB0" w:rsidR="006D2538" w:rsidRDefault="006D2538" w:rsidP="006D2538">
      <w:pPr>
        <w:spacing w:line="360" w:lineRule="auto"/>
        <w:jc w:val="both"/>
      </w:pPr>
      <w:r>
        <w:t>GlowGear UK will require a total of up to £50,000 in founders contribution and an investment of £40,000, which is the business startup capital requests. The funds will be distributed among the major areas of operations such as product development, marketing, creation of websites and logistics. The design and prototyping stage will take about 7000 pounds to cater to moulds and LEDs testing. The cost of web development, branding, and creation of an online store will be approximately 4,000 and the initial inventory creation of 3,000 goods is expected to cost 15,000. The influencer campaigns and marketing will be covered at a cost of £8,000, as the company must be known upon launch. The operation cost will need costs such as packaging, shipping and storage which will amount to £6,000. Part time staffs and professional services will amount to £5,000 and the rest of the 5,000 will be put aside as a backup in case of legal certification and unexpected expenses.</w:t>
      </w:r>
    </w:p>
    <w:p w14:paraId="31888E71" w14:textId="77777777" w:rsidR="005F215B" w:rsidRPr="005F215B" w:rsidRDefault="005F215B" w:rsidP="005F215B">
      <w:pPr>
        <w:spacing w:line="360" w:lineRule="auto"/>
        <w:jc w:val="both"/>
      </w:pPr>
      <w:r w:rsidRPr="005F215B">
        <w:rPr>
          <w:b/>
          <w:bCs/>
        </w:rPr>
        <w:t>Table 1: Start-up Allocation and Year-One Projection</w:t>
      </w:r>
    </w:p>
    <w:tbl>
      <w:tblPr>
        <w:tblStyle w:val="GridTable1LightAccent2"/>
        <w:tblW w:w="0" w:type="auto"/>
        <w:tblLook w:val="04A0" w:firstRow="1" w:lastRow="0" w:firstColumn="1" w:lastColumn="0" w:noHBand="0" w:noVBand="1"/>
      </w:tblPr>
      <w:tblGrid>
        <w:gridCol w:w="3182"/>
        <w:gridCol w:w="1396"/>
        <w:gridCol w:w="2856"/>
      </w:tblGrid>
      <w:tr w:rsidR="005F215B" w:rsidRPr="005F215B" w14:paraId="2FD1F87D" w14:textId="77777777" w:rsidTr="005F215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ECD5FCA" w14:textId="77777777" w:rsidR="005F215B" w:rsidRPr="005F215B" w:rsidRDefault="005F215B" w:rsidP="005F215B">
            <w:pPr>
              <w:spacing w:line="360" w:lineRule="auto"/>
              <w:jc w:val="both"/>
            </w:pPr>
            <w:r w:rsidRPr="005F215B">
              <w:t>Category</w:t>
            </w:r>
          </w:p>
        </w:tc>
        <w:tc>
          <w:tcPr>
            <w:tcW w:w="0" w:type="auto"/>
            <w:hideMark/>
          </w:tcPr>
          <w:p w14:paraId="07E0A0F4" w14:textId="77777777" w:rsidR="005F215B" w:rsidRPr="005F215B" w:rsidRDefault="005F215B" w:rsidP="005F215B">
            <w:pPr>
              <w:spacing w:line="360" w:lineRule="auto"/>
              <w:jc w:val="both"/>
              <w:cnfStyle w:val="100000000000" w:firstRow="1" w:lastRow="0" w:firstColumn="0" w:lastColumn="0" w:oddVBand="0" w:evenVBand="0" w:oddHBand="0" w:evenHBand="0" w:firstRowFirstColumn="0" w:firstRowLastColumn="0" w:lastRowFirstColumn="0" w:lastRowLastColumn="0"/>
            </w:pPr>
            <w:r w:rsidRPr="005F215B">
              <w:t>Amount (£)</w:t>
            </w:r>
          </w:p>
        </w:tc>
        <w:tc>
          <w:tcPr>
            <w:tcW w:w="0" w:type="auto"/>
            <w:hideMark/>
          </w:tcPr>
          <w:p w14:paraId="4F8B5894" w14:textId="77777777" w:rsidR="005F215B" w:rsidRPr="005F215B" w:rsidRDefault="005F215B" w:rsidP="005F215B">
            <w:pPr>
              <w:spacing w:line="360" w:lineRule="auto"/>
              <w:jc w:val="both"/>
              <w:cnfStyle w:val="100000000000" w:firstRow="1" w:lastRow="0" w:firstColumn="0" w:lastColumn="0" w:oddVBand="0" w:evenVBand="0" w:oddHBand="0" w:evenHBand="0" w:firstRowFirstColumn="0" w:firstRowLastColumn="0" w:lastRowFirstColumn="0" w:lastRowLastColumn="0"/>
            </w:pPr>
            <w:r w:rsidRPr="005F215B">
              <w:t>Notes</w:t>
            </w:r>
          </w:p>
        </w:tc>
      </w:tr>
      <w:tr w:rsidR="005F215B" w:rsidRPr="005F215B" w14:paraId="7BCD6D2F" w14:textId="77777777" w:rsidTr="005F215B">
        <w:tc>
          <w:tcPr>
            <w:cnfStyle w:val="001000000000" w:firstRow="0" w:lastRow="0" w:firstColumn="1" w:lastColumn="0" w:oddVBand="0" w:evenVBand="0" w:oddHBand="0" w:evenHBand="0" w:firstRowFirstColumn="0" w:firstRowLastColumn="0" w:lastRowFirstColumn="0" w:lastRowLastColumn="0"/>
            <w:tcW w:w="0" w:type="auto"/>
            <w:hideMark/>
          </w:tcPr>
          <w:p w14:paraId="25369B45" w14:textId="77777777" w:rsidR="005F215B" w:rsidRPr="005F215B" w:rsidRDefault="005F215B" w:rsidP="005F215B">
            <w:pPr>
              <w:spacing w:line="360" w:lineRule="auto"/>
              <w:jc w:val="both"/>
            </w:pPr>
            <w:r w:rsidRPr="005F215B">
              <w:t>Product Development</w:t>
            </w:r>
          </w:p>
        </w:tc>
        <w:tc>
          <w:tcPr>
            <w:tcW w:w="0" w:type="auto"/>
            <w:hideMark/>
          </w:tcPr>
          <w:p w14:paraId="3AEF60F6" w14:textId="77777777" w:rsidR="005F215B" w:rsidRPr="005F215B" w:rsidRDefault="005F215B" w:rsidP="005F215B">
            <w:pPr>
              <w:spacing w:line="360" w:lineRule="auto"/>
              <w:jc w:val="both"/>
              <w:cnfStyle w:val="000000000000" w:firstRow="0" w:lastRow="0" w:firstColumn="0" w:lastColumn="0" w:oddVBand="0" w:evenVBand="0" w:oddHBand="0" w:evenHBand="0" w:firstRowFirstColumn="0" w:firstRowLastColumn="0" w:lastRowFirstColumn="0" w:lastRowLastColumn="0"/>
            </w:pPr>
            <w:r w:rsidRPr="005F215B">
              <w:t>7,000</w:t>
            </w:r>
          </w:p>
        </w:tc>
        <w:tc>
          <w:tcPr>
            <w:tcW w:w="0" w:type="auto"/>
            <w:hideMark/>
          </w:tcPr>
          <w:p w14:paraId="0C678E5E" w14:textId="77777777" w:rsidR="005F215B" w:rsidRPr="005F215B" w:rsidRDefault="005F215B" w:rsidP="005F215B">
            <w:pPr>
              <w:spacing w:line="360" w:lineRule="auto"/>
              <w:jc w:val="both"/>
              <w:cnfStyle w:val="000000000000" w:firstRow="0" w:lastRow="0" w:firstColumn="0" w:lastColumn="0" w:oddVBand="0" w:evenVBand="0" w:oddHBand="0" w:evenHBand="0" w:firstRowFirstColumn="0" w:firstRowLastColumn="0" w:lastRowFirstColumn="0" w:lastRowLastColumn="0"/>
            </w:pPr>
            <w:r w:rsidRPr="005F215B">
              <w:t>Design and LED testing</w:t>
            </w:r>
          </w:p>
        </w:tc>
      </w:tr>
      <w:tr w:rsidR="005F215B" w:rsidRPr="005F215B" w14:paraId="36777001" w14:textId="77777777" w:rsidTr="005F215B">
        <w:tc>
          <w:tcPr>
            <w:cnfStyle w:val="001000000000" w:firstRow="0" w:lastRow="0" w:firstColumn="1" w:lastColumn="0" w:oddVBand="0" w:evenVBand="0" w:oddHBand="0" w:evenHBand="0" w:firstRowFirstColumn="0" w:firstRowLastColumn="0" w:lastRowFirstColumn="0" w:lastRowLastColumn="0"/>
            <w:tcW w:w="0" w:type="auto"/>
            <w:hideMark/>
          </w:tcPr>
          <w:p w14:paraId="12E29764" w14:textId="77777777" w:rsidR="005F215B" w:rsidRPr="005F215B" w:rsidRDefault="005F215B" w:rsidP="005F215B">
            <w:pPr>
              <w:spacing w:line="360" w:lineRule="auto"/>
              <w:jc w:val="both"/>
            </w:pPr>
            <w:r w:rsidRPr="005F215B">
              <w:t>Website &amp; Branding</w:t>
            </w:r>
          </w:p>
        </w:tc>
        <w:tc>
          <w:tcPr>
            <w:tcW w:w="0" w:type="auto"/>
            <w:hideMark/>
          </w:tcPr>
          <w:p w14:paraId="19D69FC9" w14:textId="77777777" w:rsidR="005F215B" w:rsidRPr="005F215B" w:rsidRDefault="005F215B" w:rsidP="005F215B">
            <w:pPr>
              <w:spacing w:line="360" w:lineRule="auto"/>
              <w:jc w:val="both"/>
              <w:cnfStyle w:val="000000000000" w:firstRow="0" w:lastRow="0" w:firstColumn="0" w:lastColumn="0" w:oddVBand="0" w:evenVBand="0" w:oddHBand="0" w:evenHBand="0" w:firstRowFirstColumn="0" w:firstRowLastColumn="0" w:lastRowFirstColumn="0" w:lastRowLastColumn="0"/>
            </w:pPr>
            <w:r w:rsidRPr="005F215B">
              <w:t>4,000</w:t>
            </w:r>
          </w:p>
        </w:tc>
        <w:tc>
          <w:tcPr>
            <w:tcW w:w="0" w:type="auto"/>
            <w:hideMark/>
          </w:tcPr>
          <w:p w14:paraId="59BCAE4C" w14:textId="77777777" w:rsidR="005F215B" w:rsidRPr="005F215B" w:rsidRDefault="005F215B" w:rsidP="005F215B">
            <w:pPr>
              <w:spacing w:line="360" w:lineRule="auto"/>
              <w:jc w:val="both"/>
              <w:cnfStyle w:val="000000000000" w:firstRow="0" w:lastRow="0" w:firstColumn="0" w:lastColumn="0" w:oddVBand="0" w:evenVBand="0" w:oddHBand="0" w:evenHBand="0" w:firstRowFirstColumn="0" w:firstRowLastColumn="0" w:lastRowFirstColumn="0" w:lastRowLastColumn="0"/>
            </w:pPr>
            <w:r w:rsidRPr="005F215B">
              <w:t>Shopify setup and domain</w:t>
            </w:r>
          </w:p>
        </w:tc>
      </w:tr>
      <w:tr w:rsidR="005F215B" w:rsidRPr="005F215B" w14:paraId="6646219C" w14:textId="77777777" w:rsidTr="005F215B">
        <w:tc>
          <w:tcPr>
            <w:cnfStyle w:val="001000000000" w:firstRow="0" w:lastRow="0" w:firstColumn="1" w:lastColumn="0" w:oddVBand="0" w:evenVBand="0" w:oddHBand="0" w:evenHBand="0" w:firstRowFirstColumn="0" w:firstRowLastColumn="0" w:lastRowFirstColumn="0" w:lastRowLastColumn="0"/>
            <w:tcW w:w="0" w:type="auto"/>
            <w:hideMark/>
          </w:tcPr>
          <w:p w14:paraId="1F109A67" w14:textId="77777777" w:rsidR="005F215B" w:rsidRPr="005F215B" w:rsidRDefault="005F215B" w:rsidP="005F215B">
            <w:pPr>
              <w:spacing w:line="360" w:lineRule="auto"/>
              <w:jc w:val="both"/>
            </w:pPr>
            <w:r w:rsidRPr="005F215B">
              <w:t>Inventory</w:t>
            </w:r>
          </w:p>
        </w:tc>
        <w:tc>
          <w:tcPr>
            <w:tcW w:w="0" w:type="auto"/>
            <w:hideMark/>
          </w:tcPr>
          <w:p w14:paraId="5B001232" w14:textId="77777777" w:rsidR="005F215B" w:rsidRPr="005F215B" w:rsidRDefault="005F215B" w:rsidP="005F215B">
            <w:pPr>
              <w:spacing w:line="360" w:lineRule="auto"/>
              <w:jc w:val="both"/>
              <w:cnfStyle w:val="000000000000" w:firstRow="0" w:lastRow="0" w:firstColumn="0" w:lastColumn="0" w:oddVBand="0" w:evenVBand="0" w:oddHBand="0" w:evenHBand="0" w:firstRowFirstColumn="0" w:firstRowLastColumn="0" w:lastRowFirstColumn="0" w:lastRowLastColumn="0"/>
            </w:pPr>
            <w:r w:rsidRPr="005F215B">
              <w:t>15,000</w:t>
            </w:r>
          </w:p>
        </w:tc>
        <w:tc>
          <w:tcPr>
            <w:tcW w:w="0" w:type="auto"/>
            <w:hideMark/>
          </w:tcPr>
          <w:p w14:paraId="2CC6EB85" w14:textId="77777777" w:rsidR="005F215B" w:rsidRPr="005F215B" w:rsidRDefault="005F215B" w:rsidP="005F215B">
            <w:pPr>
              <w:spacing w:line="360" w:lineRule="auto"/>
              <w:jc w:val="both"/>
              <w:cnfStyle w:val="000000000000" w:firstRow="0" w:lastRow="0" w:firstColumn="0" w:lastColumn="0" w:oddVBand="0" w:evenVBand="0" w:oddHBand="0" w:evenHBand="0" w:firstRowFirstColumn="0" w:firstRowLastColumn="0" w:lastRowFirstColumn="0" w:lastRowLastColumn="0"/>
            </w:pPr>
            <w:r w:rsidRPr="005F215B">
              <w:t>3,000 mixed units</w:t>
            </w:r>
          </w:p>
        </w:tc>
      </w:tr>
      <w:tr w:rsidR="005F215B" w:rsidRPr="005F215B" w14:paraId="27DD1D0D" w14:textId="77777777" w:rsidTr="005F215B">
        <w:tc>
          <w:tcPr>
            <w:cnfStyle w:val="001000000000" w:firstRow="0" w:lastRow="0" w:firstColumn="1" w:lastColumn="0" w:oddVBand="0" w:evenVBand="0" w:oddHBand="0" w:evenHBand="0" w:firstRowFirstColumn="0" w:firstRowLastColumn="0" w:lastRowFirstColumn="0" w:lastRowLastColumn="0"/>
            <w:tcW w:w="0" w:type="auto"/>
            <w:hideMark/>
          </w:tcPr>
          <w:p w14:paraId="2B8444C6" w14:textId="77777777" w:rsidR="005F215B" w:rsidRPr="005F215B" w:rsidRDefault="005F215B" w:rsidP="005F215B">
            <w:pPr>
              <w:spacing w:line="360" w:lineRule="auto"/>
              <w:jc w:val="both"/>
            </w:pPr>
            <w:r w:rsidRPr="005F215B">
              <w:t>Marketing Campaigns</w:t>
            </w:r>
          </w:p>
        </w:tc>
        <w:tc>
          <w:tcPr>
            <w:tcW w:w="0" w:type="auto"/>
            <w:hideMark/>
          </w:tcPr>
          <w:p w14:paraId="0C4F3760" w14:textId="77777777" w:rsidR="005F215B" w:rsidRPr="005F215B" w:rsidRDefault="005F215B" w:rsidP="005F215B">
            <w:pPr>
              <w:spacing w:line="360" w:lineRule="auto"/>
              <w:jc w:val="both"/>
              <w:cnfStyle w:val="000000000000" w:firstRow="0" w:lastRow="0" w:firstColumn="0" w:lastColumn="0" w:oddVBand="0" w:evenVBand="0" w:oddHBand="0" w:evenHBand="0" w:firstRowFirstColumn="0" w:firstRowLastColumn="0" w:lastRowFirstColumn="0" w:lastRowLastColumn="0"/>
            </w:pPr>
            <w:r w:rsidRPr="005F215B">
              <w:t>8,000</w:t>
            </w:r>
          </w:p>
        </w:tc>
        <w:tc>
          <w:tcPr>
            <w:tcW w:w="0" w:type="auto"/>
            <w:hideMark/>
          </w:tcPr>
          <w:p w14:paraId="560C1060" w14:textId="77777777" w:rsidR="005F215B" w:rsidRPr="005F215B" w:rsidRDefault="005F215B" w:rsidP="005F215B">
            <w:pPr>
              <w:spacing w:line="360" w:lineRule="auto"/>
              <w:jc w:val="both"/>
              <w:cnfStyle w:val="000000000000" w:firstRow="0" w:lastRow="0" w:firstColumn="0" w:lastColumn="0" w:oddVBand="0" w:evenVBand="0" w:oddHBand="0" w:evenHBand="0" w:firstRowFirstColumn="0" w:firstRowLastColumn="0" w:lastRowFirstColumn="0" w:lastRowLastColumn="0"/>
            </w:pPr>
            <w:r w:rsidRPr="005F215B">
              <w:t>Influencers and promotions</w:t>
            </w:r>
          </w:p>
        </w:tc>
      </w:tr>
      <w:tr w:rsidR="005F215B" w:rsidRPr="005F215B" w14:paraId="5B40B78A" w14:textId="77777777" w:rsidTr="005F215B">
        <w:tc>
          <w:tcPr>
            <w:cnfStyle w:val="001000000000" w:firstRow="0" w:lastRow="0" w:firstColumn="1" w:lastColumn="0" w:oddVBand="0" w:evenVBand="0" w:oddHBand="0" w:evenHBand="0" w:firstRowFirstColumn="0" w:firstRowLastColumn="0" w:lastRowFirstColumn="0" w:lastRowLastColumn="0"/>
            <w:tcW w:w="0" w:type="auto"/>
            <w:hideMark/>
          </w:tcPr>
          <w:p w14:paraId="68B03DF5" w14:textId="77777777" w:rsidR="005F215B" w:rsidRPr="005F215B" w:rsidRDefault="005F215B" w:rsidP="005F215B">
            <w:pPr>
              <w:spacing w:line="360" w:lineRule="auto"/>
              <w:jc w:val="both"/>
            </w:pPr>
            <w:r w:rsidRPr="005F215B">
              <w:t>Operations</w:t>
            </w:r>
          </w:p>
        </w:tc>
        <w:tc>
          <w:tcPr>
            <w:tcW w:w="0" w:type="auto"/>
            <w:hideMark/>
          </w:tcPr>
          <w:p w14:paraId="4C45CFB9" w14:textId="77777777" w:rsidR="005F215B" w:rsidRPr="005F215B" w:rsidRDefault="005F215B" w:rsidP="005F215B">
            <w:pPr>
              <w:spacing w:line="360" w:lineRule="auto"/>
              <w:jc w:val="both"/>
              <w:cnfStyle w:val="000000000000" w:firstRow="0" w:lastRow="0" w:firstColumn="0" w:lastColumn="0" w:oddVBand="0" w:evenVBand="0" w:oddHBand="0" w:evenHBand="0" w:firstRowFirstColumn="0" w:firstRowLastColumn="0" w:lastRowFirstColumn="0" w:lastRowLastColumn="0"/>
            </w:pPr>
            <w:r w:rsidRPr="005F215B">
              <w:t>6,000</w:t>
            </w:r>
          </w:p>
        </w:tc>
        <w:tc>
          <w:tcPr>
            <w:tcW w:w="0" w:type="auto"/>
            <w:hideMark/>
          </w:tcPr>
          <w:p w14:paraId="2D3EBF61" w14:textId="77777777" w:rsidR="005F215B" w:rsidRPr="005F215B" w:rsidRDefault="005F215B" w:rsidP="005F215B">
            <w:pPr>
              <w:spacing w:line="360" w:lineRule="auto"/>
              <w:jc w:val="both"/>
              <w:cnfStyle w:val="000000000000" w:firstRow="0" w:lastRow="0" w:firstColumn="0" w:lastColumn="0" w:oddVBand="0" w:evenVBand="0" w:oddHBand="0" w:evenHBand="0" w:firstRowFirstColumn="0" w:firstRowLastColumn="0" w:lastRowFirstColumn="0" w:lastRowLastColumn="0"/>
            </w:pPr>
            <w:r w:rsidRPr="005F215B">
              <w:t>Storage and logistics</w:t>
            </w:r>
          </w:p>
        </w:tc>
      </w:tr>
      <w:tr w:rsidR="005F215B" w:rsidRPr="005F215B" w14:paraId="5684DB71" w14:textId="77777777" w:rsidTr="005F215B">
        <w:tc>
          <w:tcPr>
            <w:cnfStyle w:val="001000000000" w:firstRow="0" w:lastRow="0" w:firstColumn="1" w:lastColumn="0" w:oddVBand="0" w:evenVBand="0" w:oddHBand="0" w:evenHBand="0" w:firstRowFirstColumn="0" w:firstRowLastColumn="0" w:lastRowFirstColumn="0" w:lastRowLastColumn="0"/>
            <w:tcW w:w="0" w:type="auto"/>
            <w:hideMark/>
          </w:tcPr>
          <w:p w14:paraId="5CCE1806" w14:textId="77777777" w:rsidR="005F215B" w:rsidRPr="005F215B" w:rsidRDefault="005F215B" w:rsidP="005F215B">
            <w:pPr>
              <w:spacing w:line="360" w:lineRule="auto"/>
              <w:jc w:val="both"/>
            </w:pPr>
            <w:r w:rsidRPr="005F215B">
              <w:t>Staffing</w:t>
            </w:r>
          </w:p>
        </w:tc>
        <w:tc>
          <w:tcPr>
            <w:tcW w:w="0" w:type="auto"/>
            <w:hideMark/>
          </w:tcPr>
          <w:p w14:paraId="697C97C9" w14:textId="77777777" w:rsidR="005F215B" w:rsidRPr="005F215B" w:rsidRDefault="005F215B" w:rsidP="005F215B">
            <w:pPr>
              <w:spacing w:line="360" w:lineRule="auto"/>
              <w:jc w:val="both"/>
              <w:cnfStyle w:val="000000000000" w:firstRow="0" w:lastRow="0" w:firstColumn="0" w:lastColumn="0" w:oddVBand="0" w:evenVBand="0" w:oddHBand="0" w:evenHBand="0" w:firstRowFirstColumn="0" w:firstRowLastColumn="0" w:lastRowFirstColumn="0" w:lastRowLastColumn="0"/>
            </w:pPr>
            <w:r w:rsidRPr="005F215B">
              <w:t>5,000</w:t>
            </w:r>
          </w:p>
        </w:tc>
        <w:tc>
          <w:tcPr>
            <w:tcW w:w="0" w:type="auto"/>
            <w:hideMark/>
          </w:tcPr>
          <w:p w14:paraId="6BD7F2A7" w14:textId="77777777" w:rsidR="005F215B" w:rsidRPr="005F215B" w:rsidRDefault="005F215B" w:rsidP="005F215B">
            <w:pPr>
              <w:spacing w:line="360" w:lineRule="auto"/>
              <w:jc w:val="both"/>
              <w:cnfStyle w:val="000000000000" w:firstRow="0" w:lastRow="0" w:firstColumn="0" w:lastColumn="0" w:oddVBand="0" w:evenVBand="0" w:oddHBand="0" w:evenHBand="0" w:firstRowFirstColumn="0" w:firstRowLastColumn="0" w:lastRowFirstColumn="0" w:lastRowLastColumn="0"/>
            </w:pPr>
            <w:r w:rsidRPr="005F215B">
              <w:t>Part-time support</w:t>
            </w:r>
          </w:p>
        </w:tc>
      </w:tr>
      <w:tr w:rsidR="005F215B" w:rsidRPr="005F215B" w14:paraId="4EC2626D" w14:textId="77777777" w:rsidTr="005F215B">
        <w:tc>
          <w:tcPr>
            <w:cnfStyle w:val="001000000000" w:firstRow="0" w:lastRow="0" w:firstColumn="1" w:lastColumn="0" w:oddVBand="0" w:evenVBand="0" w:oddHBand="0" w:evenHBand="0" w:firstRowFirstColumn="0" w:firstRowLastColumn="0" w:lastRowFirstColumn="0" w:lastRowLastColumn="0"/>
            <w:tcW w:w="0" w:type="auto"/>
            <w:hideMark/>
          </w:tcPr>
          <w:p w14:paraId="41E351BF" w14:textId="77777777" w:rsidR="005F215B" w:rsidRPr="005F215B" w:rsidRDefault="005F215B" w:rsidP="005F215B">
            <w:pPr>
              <w:spacing w:line="360" w:lineRule="auto"/>
              <w:jc w:val="both"/>
            </w:pPr>
            <w:r w:rsidRPr="005F215B">
              <w:t>Contingency</w:t>
            </w:r>
          </w:p>
        </w:tc>
        <w:tc>
          <w:tcPr>
            <w:tcW w:w="0" w:type="auto"/>
            <w:hideMark/>
          </w:tcPr>
          <w:p w14:paraId="48C3E21B" w14:textId="77777777" w:rsidR="005F215B" w:rsidRPr="005F215B" w:rsidRDefault="005F215B" w:rsidP="005F215B">
            <w:pPr>
              <w:spacing w:line="360" w:lineRule="auto"/>
              <w:jc w:val="both"/>
              <w:cnfStyle w:val="000000000000" w:firstRow="0" w:lastRow="0" w:firstColumn="0" w:lastColumn="0" w:oddVBand="0" w:evenVBand="0" w:oddHBand="0" w:evenHBand="0" w:firstRowFirstColumn="0" w:firstRowLastColumn="0" w:lastRowFirstColumn="0" w:lastRowLastColumn="0"/>
            </w:pPr>
            <w:r w:rsidRPr="005F215B">
              <w:t>5,000</w:t>
            </w:r>
          </w:p>
        </w:tc>
        <w:tc>
          <w:tcPr>
            <w:tcW w:w="0" w:type="auto"/>
            <w:hideMark/>
          </w:tcPr>
          <w:p w14:paraId="1DC5F7DC" w14:textId="77777777" w:rsidR="005F215B" w:rsidRPr="005F215B" w:rsidRDefault="005F215B" w:rsidP="005F215B">
            <w:pPr>
              <w:spacing w:line="360" w:lineRule="auto"/>
              <w:jc w:val="both"/>
              <w:cnfStyle w:val="000000000000" w:firstRow="0" w:lastRow="0" w:firstColumn="0" w:lastColumn="0" w:oddVBand="0" w:evenVBand="0" w:oddHBand="0" w:evenHBand="0" w:firstRowFirstColumn="0" w:firstRowLastColumn="0" w:lastRowFirstColumn="0" w:lastRowLastColumn="0"/>
            </w:pPr>
            <w:r w:rsidRPr="005F215B">
              <w:t>Certification and insurance</w:t>
            </w:r>
          </w:p>
        </w:tc>
      </w:tr>
      <w:tr w:rsidR="005F215B" w:rsidRPr="005F215B" w14:paraId="54B05B6A" w14:textId="77777777" w:rsidTr="005F215B">
        <w:tc>
          <w:tcPr>
            <w:cnfStyle w:val="001000000000" w:firstRow="0" w:lastRow="0" w:firstColumn="1" w:lastColumn="0" w:oddVBand="0" w:evenVBand="0" w:oddHBand="0" w:evenHBand="0" w:firstRowFirstColumn="0" w:firstRowLastColumn="0" w:lastRowFirstColumn="0" w:lastRowLastColumn="0"/>
            <w:tcW w:w="0" w:type="auto"/>
            <w:hideMark/>
          </w:tcPr>
          <w:p w14:paraId="1246CF95" w14:textId="77777777" w:rsidR="005F215B" w:rsidRPr="005F215B" w:rsidRDefault="005F215B" w:rsidP="005F215B">
            <w:pPr>
              <w:spacing w:line="360" w:lineRule="auto"/>
              <w:jc w:val="both"/>
            </w:pPr>
            <w:r w:rsidRPr="005F215B">
              <w:t>Total</w:t>
            </w:r>
          </w:p>
        </w:tc>
        <w:tc>
          <w:tcPr>
            <w:tcW w:w="0" w:type="auto"/>
            <w:hideMark/>
          </w:tcPr>
          <w:p w14:paraId="419654C1" w14:textId="77777777" w:rsidR="005F215B" w:rsidRPr="005F215B" w:rsidRDefault="005F215B" w:rsidP="005F215B">
            <w:pPr>
              <w:spacing w:line="360" w:lineRule="auto"/>
              <w:jc w:val="both"/>
              <w:cnfStyle w:val="000000000000" w:firstRow="0" w:lastRow="0" w:firstColumn="0" w:lastColumn="0" w:oddVBand="0" w:evenVBand="0" w:oddHBand="0" w:evenHBand="0" w:firstRowFirstColumn="0" w:firstRowLastColumn="0" w:lastRowFirstColumn="0" w:lastRowLastColumn="0"/>
            </w:pPr>
            <w:r w:rsidRPr="005F215B">
              <w:rPr>
                <w:b/>
                <w:bCs/>
              </w:rPr>
              <w:t>50,000</w:t>
            </w:r>
          </w:p>
        </w:tc>
        <w:tc>
          <w:tcPr>
            <w:tcW w:w="0" w:type="auto"/>
            <w:hideMark/>
          </w:tcPr>
          <w:p w14:paraId="3F3E50D9" w14:textId="77777777" w:rsidR="005F215B" w:rsidRPr="005F215B" w:rsidRDefault="005F215B" w:rsidP="005F215B">
            <w:pPr>
              <w:spacing w:line="360" w:lineRule="auto"/>
              <w:jc w:val="both"/>
              <w:cnfStyle w:val="000000000000" w:firstRow="0" w:lastRow="0" w:firstColumn="0" w:lastColumn="0" w:oddVBand="0" w:evenVBand="0" w:oddHBand="0" w:evenHBand="0" w:firstRowFirstColumn="0" w:firstRowLastColumn="0" w:lastRowFirstColumn="0" w:lastRowLastColumn="0"/>
            </w:pPr>
          </w:p>
        </w:tc>
      </w:tr>
      <w:tr w:rsidR="005F215B" w:rsidRPr="005F215B" w14:paraId="64EDA749" w14:textId="77777777" w:rsidTr="005F215B">
        <w:tc>
          <w:tcPr>
            <w:cnfStyle w:val="001000000000" w:firstRow="0" w:lastRow="0" w:firstColumn="1" w:lastColumn="0" w:oddVBand="0" w:evenVBand="0" w:oddHBand="0" w:evenHBand="0" w:firstRowFirstColumn="0" w:firstRowLastColumn="0" w:lastRowFirstColumn="0" w:lastRowLastColumn="0"/>
            <w:tcW w:w="0" w:type="auto"/>
            <w:hideMark/>
          </w:tcPr>
          <w:p w14:paraId="0CAFCF65" w14:textId="77777777" w:rsidR="005F215B" w:rsidRPr="005F215B" w:rsidRDefault="005F215B" w:rsidP="005F215B">
            <w:pPr>
              <w:spacing w:line="360" w:lineRule="auto"/>
              <w:jc w:val="both"/>
            </w:pPr>
            <w:r w:rsidRPr="005F215B">
              <w:t>Forecasted Revenue (Year 1)</w:t>
            </w:r>
          </w:p>
        </w:tc>
        <w:tc>
          <w:tcPr>
            <w:tcW w:w="0" w:type="auto"/>
            <w:hideMark/>
          </w:tcPr>
          <w:p w14:paraId="4FB42005" w14:textId="77777777" w:rsidR="005F215B" w:rsidRPr="005F215B" w:rsidRDefault="005F215B" w:rsidP="005F215B">
            <w:pPr>
              <w:spacing w:line="360" w:lineRule="auto"/>
              <w:jc w:val="both"/>
              <w:cnfStyle w:val="000000000000" w:firstRow="0" w:lastRow="0" w:firstColumn="0" w:lastColumn="0" w:oddVBand="0" w:evenVBand="0" w:oddHBand="0" w:evenHBand="0" w:firstRowFirstColumn="0" w:firstRowLastColumn="0" w:lastRowFirstColumn="0" w:lastRowLastColumn="0"/>
            </w:pPr>
            <w:r w:rsidRPr="005F215B">
              <w:rPr>
                <w:b/>
                <w:bCs/>
              </w:rPr>
              <w:t>80,000</w:t>
            </w:r>
          </w:p>
        </w:tc>
        <w:tc>
          <w:tcPr>
            <w:tcW w:w="0" w:type="auto"/>
            <w:hideMark/>
          </w:tcPr>
          <w:p w14:paraId="4C3D40D9" w14:textId="77777777" w:rsidR="005F215B" w:rsidRPr="005F215B" w:rsidRDefault="005F215B" w:rsidP="005F215B">
            <w:pPr>
              <w:spacing w:line="360" w:lineRule="auto"/>
              <w:jc w:val="both"/>
              <w:cnfStyle w:val="000000000000" w:firstRow="0" w:lastRow="0" w:firstColumn="0" w:lastColumn="0" w:oddVBand="0" w:evenVBand="0" w:oddHBand="0" w:evenHBand="0" w:firstRowFirstColumn="0" w:firstRowLastColumn="0" w:lastRowFirstColumn="0" w:lastRowLastColumn="0"/>
            </w:pPr>
            <w:r w:rsidRPr="005F215B">
              <w:t>3,200 units at £25 average</w:t>
            </w:r>
          </w:p>
        </w:tc>
      </w:tr>
      <w:tr w:rsidR="005F215B" w:rsidRPr="005F215B" w14:paraId="66EACC8D" w14:textId="77777777" w:rsidTr="005F215B">
        <w:tc>
          <w:tcPr>
            <w:cnfStyle w:val="001000000000" w:firstRow="0" w:lastRow="0" w:firstColumn="1" w:lastColumn="0" w:oddVBand="0" w:evenVBand="0" w:oddHBand="0" w:evenHBand="0" w:firstRowFirstColumn="0" w:firstRowLastColumn="0" w:lastRowFirstColumn="0" w:lastRowLastColumn="0"/>
            <w:tcW w:w="0" w:type="auto"/>
            <w:hideMark/>
          </w:tcPr>
          <w:p w14:paraId="0C378F4A" w14:textId="77777777" w:rsidR="005F215B" w:rsidRPr="005F215B" w:rsidRDefault="005F215B" w:rsidP="005F215B">
            <w:pPr>
              <w:spacing w:line="360" w:lineRule="auto"/>
              <w:jc w:val="both"/>
            </w:pPr>
            <w:r w:rsidRPr="005F215B">
              <w:t>Net Profit (Year 1)</w:t>
            </w:r>
          </w:p>
        </w:tc>
        <w:tc>
          <w:tcPr>
            <w:tcW w:w="0" w:type="auto"/>
            <w:hideMark/>
          </w:tcPr>
          <w:p w14:paraId="4A80AF59" w14:textId="77777777" w:rsidR="005F215B" w:rsidRPr="005F215B" w:rsidRDefault="005F215B" w:rsidP="005F215B">
            <w:pPr>
              <w:spacing w:line="360" w:lineRule="auto"/>
              <w:jc w:val="both"/>
              <w:cnfStyle w:val="000000000000" w:firstRow="0" w:lastRow="0" w:firstColumn="0" w:lastColumn="0" w:oddVBand="0" w:evenVBand="0" w:oddHBand="0" w:evenHBand="0" w:firstRowFirstColumn="0" w:firstRowLastColumn="0" w:lastRowFirstColumn="0" w:lastRowLastColumn="0"/>
            </w:pPr>
            <w:r w:rsidRPr="005F215B">
              <w:rPr>
                <w:b/>
                <w:bCs/>
              </w:rPr>
              <w:t>18,000</w:t>
            </w:r>
          </w:p>
        </w:tc>
        <w:tc>
          <w:tcPr>
            <w:tcW w:w="0" w:type="auto"/>
            <w:hideMark/>
          </w:tcPr>
          <w:p w14:paraId="45D3BC47" w14:textId="77777777" w:rsidR="005F215B" w:rsidRPr="005F215B" w:rsidRDefault="005F215B" w:rsidP="005F215B">
            <w:pPr>
              <w:spacing w:line="360" w:lineRule="auto"/>
              <w:jc w:val="both"/>
              <w:cnfStyle w:val="000000000000" w:firstRow="0" w:lastRow="0" w:firstColumn="0" w:lastColumn="0" w:oddVBand="0" w:evenVBand="0" w:oddHBand="0" w:evenHBand="0" w:firstRowFirstColumn="0" w:firstRowLastColumn="0" w:lastRowFirstColumn="0" w:lastRowLastColumn="0"/>
            </w:pPr>
            <w:r w:rsidRPr="005F215B">
              <w:t>After costs and tax</w:t>
            </w:r>
          </w:p>
        </w:tc>
      </w:tr>
    </w:tbl>
    <w:p w14:paraId="2ECF60E7" w14:textId="77777777" w:rsidR="006D2538" w:rsidRDefault="006D2538">
      <w:pPr>
        <w:rPr>
          <w:b/>
          <w:bCs/>
          <w:i/>
          <w:iCs/>
          <w:sz w:val="36"/>
          <w:szCs w:val="32"/>
        </w:rPr>
      </w:pPr>
    </w:p>
    <w:p w14:paraId="7BB67C7D" w14:textId="7EED67C6" w:rsidR="005F215B" w:rsidRDefault="005F215B" w:rsidP="005F215B">
      <w:pPr>
        <w:spacing w:line="360" w:lineRule="auto"/>
        <w:jc w:val="both"/>
      </w:pPr>
      <w:r w:rsidRPr="005F215B">
        <w:lastRenderedPageBreak/>
        <w:t>The break-even scenario intended to be achieved by the business is a point at which 2,100 units were sold and this is anticipated to take place within nine months of operation. The profit margins will grow in the following years as the efficiency of running the production will increase and the rate of repeat customers will go up. In the third year, GlowGear UK project net profit margin should be 20 percent with the annual sales growth being 25 percent. There will be 1015% equity offered to investors with the outcome of a predicted 40 percent investment returns after 3 years. This forecast illustrates that the company stands an opportunity to realize growth without surpassing the initial amount of funding requirement of hassling beyond the 50,000 limit and still operate without wouldering into bankruptcy.</w:t>
      </w:r>
    </w:p>
    <w:p w14:paraId="12832805" w14:textId="77777777" w:rsidR="005F215B" w:rsidRDefault="005F215B" w:rsidP="005F215B">
      <w:pPr>
        <w:spacing w:line="360" w:lineRule="auto"/>
        <w:jc w:val="both"/>
      </w:pPr>
    </w:p>
    <w:p w14:paraId="39D3F704" w14:textId="77777777" w:rsidR="005F215B" w:rsidRDefault="005F215B" w:rsidP="005F215B">
      <w:pPr>
        <w:pStyle w:val="Heading1"/>
      </w:pPr>
      <w:bookmarkStart w:id="5" w:name="_Toc211426167"/>
      <w:r>
        <w:t>Conclusion</w:t>
      </w:r>
      <w:bookmarkEnd w:id="5"/>
    </w:p>
    <w:p w14:paraId="13B82CB9" w14:textId="77777777" w:rsidR="005F215B" w:rsidRDefault="005F215B" w:rsidP="005F215B">
      <w:pPr>
        <w:spacing w:line="360" w:lineRule="auto"/>
        <w:jc w:val="both"/>
      </w:pPr>
    </w:p>
    <w:p w14:paraId="40CC950F" w14:textId="4E8BEF2C" w:rsidR="005F215B" w:rsidRDefault="005F215B" w:rsidP="005F215B">
      <w:pPr>
        <w:spacing w:line="360" w:lineRule="auto"/>
        <w:jc w:val="both"/>
      </w:pPr>
      <w:r>
        <w:t xml:space="preserve">There is a gap in the market that GlowGear UK will be able to fill in the UK with regards to combining style, technology and sustainability in the accessories market. The firm reacts to high consumer demands of products, which facilitate personalisation and green consumption. The competitive prices, proper digital marketing strategy and scalable business model give it an easy way to profitability and growth. External and internal analysis reveals that the business is in a </w:t>
      </w:r>
      <w:r>
        <w:t>favourable</w:t>
      </w:r>
      <w:r>
        <w:t xml:space="preserve"> environment that is determined by incentives of the government, technological advances, and changing consumer tendencies.</w:t>
      </w:r>
    </w:p>
    <w:p w14:paraId="2491F248" w14:textId="037F26D0" w:rsidR="005F215B" w:rsidRDefault="005F215B" w:rsidP="005F215B">
      <w:pPr>
        <w:spacing w:line="360" w:lineRule="auto"/>
        <w:jc w:val="both"/>
      </w:pPr>
      <w:r>
        <w:t>The proposed capital will help the business to design, launch, and market its initial product line and create an effective customer base. GlowGear UK has a commercial potential and social value due to a targeted management team, creative branding and deep environmental responsibility. The investment is therefore a good opportunity to investors who want a financially prudent and ethically oriented venture in the current UK consumer market.</w:t>
      </w:r>
    </w:p>
    <w:p w14:paraId="21FD9130" w14:textId="77777777" w:rsidR="005F215B" w:rsidRDefault="005F215B" w:rsidP="005F215B">
      <w:pPr>
        <w:spacing w:line="360" w:lineRule="auto"/>
        <w:jc w:val="both"/>
      </w:pPr>
    </w:p>
    <w:p w14:paraId="78E9C9BA" w14:textId="77777777" w:rsidR="005F215B" w:rsidRDefault="005F215B" w:rsidP="005F215B">
      <w:pPr>
        <w:spacing w:line="360" w:lineRule="auto"/>
        <w:jc w:val="both"/>
      </w:pPr>
    </w:p>
    <w:p w14:paraId="0A564E94" w14:textId="77777777" w:rsidR="005F215B" w:rsidRDefault="005F215B" w:rsidP="005F215B">
      <w:pPr>
        <w:spacing w:line="360" w:lineRule="auto"/>
        <w:jc w:val="both"/>
      </w:pPr>
    </w:p>
    <w:p w14:paraId="2928523A" w14:textId="77777777" w:rsidR="005F215B" w:rsidRDefault="005F215B" w:rsidP="005F215B">
      <w:pPr>
        <w:spacing w:line="360" w:lineRule="auto"/>
        <w:jc w:val="both"/>
      </w:pPr>
    </w:p>
    <w:p w14:paraId="6478456E" w14:textId="77777777" w:rsidR="005F215B" w:rsidRDefault="005F215B" w:rsidP="005F215B">
      <w:pPr>
        <w:spacing w:line="360" w:lineRule="auto"/>
        <w:jc w:val="both"/>
      </w:pPr>
    </w:p>
    <w:p w14:paraId="7C8501F4" w14:textId="77777777" w:rsidR="005F215B" w:rsidRDefault="005F215B" w:rsidP="005F215B">
      <w:pPr>
        <w:spacing w:line="360" w:lineRule="auto"/>
        <w:jc w:val="both"/>
      </w:pPr>
    </w:p>
    <w:p w14:paraId="0C9C8A83" w14:textId="77777777" w:rsidR="005F215B" w:rsidRDefault="005F215B" w:rsidP="005F215B">
      <w:pPr>
        <w:spacing w:line="360" w:lineRule="auto"/>
        <w:jc w:val="both"/>
      </w:pPr>
    </w:p>
    <w:p w14:paraId="329DE8AF" w14:textId="77777777" w:rsidR="005F215B" w:rsidRDefault="005F215B" w:rsidP="005F215B">
      <w:pPr>
        <w:spacing w:line="360" w:lineRule="auto"/>
        <w:jc w:val="both"/>
      </w:pPr>
    </w:p>
    <w:p w14:paraId="2CDFE026" w14:textId="77777777" w:rsidR="005F215B" w:rsidRDefault="005F215B" w:rsidP="005F215B">
      <w:pPr>
        <w:spacing w:line="360" w:lineRule="auto"/>
        <w:jc w:val="both"/>
      </w:pPr>
    </w:p>
    <w:p w14:paraId="55FB66FE" w14:textId="77777777" w:rsidR="005F215B" w:rsidRDefault="005F215B" w:rsidP="005F215B">
      <w:pPr>
        <w:spacing w:line="360" w:lineRule="auto"/>
        <w:jc w:val="both"/>
      </w:pPr>
    </w:p>
    <w:p w14:paraId="41E08380" w14:textId="4DB01986" w:rsidR="005F215B" w:rsidRDefault="005F215B" w:rsidP="005F215B">
      <w:pPr>
        <w:pStyle w:val="Heading1"/>
      </w:pPr>
      <w:bookmarkStart w:id="6" w:name="_Toc211426168"/>
      <w:r>
        <w:t>References</w:t>
      </w:r>
      <w:bookmarkEnd w:id="6"/>
    </w:p>
    <w:p w14:paraId="02C1EFE1" w14:textId="77777777" w:rsidR="005F215B" w:rsidRDefault="005F215B" w:rsidP="005F215B"/>
    <w:p w14:paraId="71E48770" w14:textId="77777777" w:rsidR="005F215B" w:rsidRDefault="005F215B" w:rsidP="005F215B">
      <w:pPr>
        <w:spacing w:line="360" w:lineRule="auto"/>
      </w:pPr>
      <w:r>
        <w:t>Anderson, L. (2023) Smart Accessories and LED Innovation. Journal of Consumer Technology, 19(2), pp. 87–103.</w:t>
      </w:r>
    </w:p>
    <w:p w14:paraId="672CCDBE" w14:textId="77777777" w:rsidR="005F215B" w:rsidRDefault="005F215B" w:rsidP="005F215B">
      <w:pPr>
        <w:spacing w:line="360" w:lineRule="auto"/>
      </w:pPr>
      <w:r>
        <w:t>Companies House (2023) Incorporation and Limited Liability Guidance. London: UK Government Publications.</w:t>
      </w:r>
    </w:p>
    <w:p w14:paraId="3CDDEE2E" w14:textId="77777777" w:rsidR="005F215B" w:rsidRDefault="005F215B" w:rsidP="005F215B">
      <w:pPr>
        <w:spacing w:line="360" w:lineRule="auto"/>
      </w:pPr>
      <w:r>
        <w:t>DEFRA (2023) Environmental Strategy for Sustainable Manufacturing. London: Department for Environment, Food and Rural Affairs.</w:t>
      </w:r>
    </w:p>
    <w:p w14:paraId="290733BA" w14:textId="77777777" w:rsidR="005F215B" w:rsidRDefault="005F215B" w:rsidP="005F215B">
      <w:pPr>
        <w:spacing w:line="360" w:lineRule="auto"/>
      </w:pPr>
      <w:r>
        <w:t>Deloitte (2023) Global Gen Z and Millennial Survey 2023. Available at: https://www.deloitte.com/uk</w:t>
      </w:r>
    </w:p>
    <w:p w14:paraId="14583852" w14:textId="77777777" w:rsidR="005F215B" w:rsidRDefault="005F215B" w:rsidP="005F215B">
      <w:pPr>
        <w:spacing w:line="360" w:lineRule="auto"/>
      </w:pPr>
      <w:r>
        <w:t xml:space="preserve"> (Accessed: 10 October 2025).</w:t>
      </w:r>
    </w:p>
    <w:p w14:paraId="17755BC9" w14:textId="77777777" w:rsidR="005F215B" w:rsidRDefault="005F215B" w:rsidP="005F215B">
      <w:pPr>
        <w:spacing w:line="360" w:lineRule="auto"/>
      </w:pPr>
      <w:r>
        <w:t>Gov UK (2024) Enterprise Investment Scheme and Start Up Loans Programme. London: HM Government.</w:t>
      </w:r>
    </w:p>
    <w:p w14:paraId="0C4EF821" w14:textId="77777777" w:rsidR="005F215B" w:rsidRDefault="005F215B" w:rsidP="005F215B">
      <w:pPr>
        <w:spacing w:line="360" w:lineRule="auto"/>
      </w:pPr>
      <w:r>
        <w:t xml:space="preserve">Kotler, P., Keller, K. L., </w:t>
      </w:r>
      <w:proofErr w:type="spellStart"/>
      <w:r>
        <w:t>Ancarani</w:t>
      </w:r>
      <w:proofErr w:type="spellEnd"/>
      <w:r>
        <w:t xml:space="preserve">, F. and Costabile, M. (2023) Marketing Management. 4th European </w:t>
      </w:r>
      <w:proofErr w:type="spellStart"/>
      <w:r>
        <w:t>edn</w:t>
      </w:r>
      <w:proofErr w:type="spellEnd"/>
      <w:r>
        <w:t>. Harlow: Pearson Education.</w:t>
      </w:r>
    </w:p>
    <w:p w14:paraId="4C91AFC0" w14:textId="77777777" w:rsidR="005F215B" w:rsidRDefault="005F215B" w:rsidP="005F215B">
      <w:pPr>
        <w:spacing w:line="360" w:lineRule="auto"/>
      </w:pPr>
      <w:r>
        <w:t>Office for National Statistics (ONS) (2024) UK Household Spending on Technology and Accessories. London: ONS Digital Economy Report.</w:t>
      </w:r>
    </w:p>
    <w:p w14:paraId="0804503A" w14:textId="23B5AED3" w:rsidR="005F215B" w:rsidRPr="005F215B" w:rsidRDefault="005F215B" w:rsidP="005F215B">
      <w:pPr>
        <w:spacing w:line="360" w:lineRule="auto"/>
      </w:pPr>
      <w:r>
        <w:t xml:space="preserve">Statista (2024) Smartphone Accessories Market Value in the United Kingdom (2020-2026). Available at: </w:t>
      </w:r>
      <w:hyperlink r:id="rId7" w:history="1">
        <w:r w:rsidRPr="00097162">
          <w:rPr>
            <w:rStyle w:val="Hyperlink"/>
          </w:rPr>
          <w:t>https://www.statista.com</w:t>
        </w:r>
      </w:hyperlink>
      <w:r>
        <w:t xml:space="preserve"> . </w:t>
      </w:r>
    </w:p>
    <w:p w14:paraId="009F4C58" w14:textId="77777777" w:rsidR="006D2538" w:rsidRPr="006D2538" w:rsidRDefault="006D2538">
      <w:pPr>
        <w:rPr>
          <w:b/>
          <w:bCs/>
          <w:i/>
          <w:iCs/>
          <w:sz w:val="36"/>
          <w:szCs w:val="32"/>
        </w:rPr>
      </w:pPr>
    </w:p>
    <w:sectPr w:rsidR="006D2538" w:rsidRPr="006D2538">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4F6042F" w14:textId="77777777" w:rsidR="006D2538" w:rsidRDefault="006D2538" w:rsidP="006D2538">
      <w:pPr>
        <w:spacing w:after="0" w:line="240" w:lineRule="auto"/>
      </w:pPr>
      <w:r>
        <w:separator/>
      </w:r>
    </w:p>
  </w:endnote>
  <w:endnote w:type="continuationSeparator" w:id="0">
    <w:p w14:paraId="507C4CF6" w14:textId="77777777" w:rsidR="006D2538" w:rsidRDefault="006D2538" w:rsidP="006D253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22419108"/>
      <w:docPartObj>
        <w:docPartGallery w:val="Page Numbers (Bottom of Page)"/>
        <w:docPartUnique/>
      </w:docPartObj>
    </w:sdtPr>
    <w:sdtContent>
      <w:p w14:paraId="1D7A01AD" w14:textId="2B2F81E7" w:rsidR="005F215B" w:rsidRDefault="005F215B">
        <w:pPr>
          <w:pStyle w:val="Footer"/>
          <w:jc w:val="center"/>
        </w:pPr>
        <w:r>
          <w:fldChar w:fldCharType="begin"/>
        </w:r>
        <w:r>
          <w:instrText>PAGE   \* MERGEFORMAT</w:instrText>
        </w:r>
        <w:r>
          <w:fldChar w:fldCharType="separate"/>
        </w:r>
        <w:r>
          <w:t>2</w:t>
        </w:r>
        <w:r>
          <w:fldChar w:fldCharType="end"/>
        </w:r>
      </w:p>
    </w:sdtContent>
  </w:sdt>
  <w:p w14:paraId="6DC6A0F5" w14:textId="77777777" w:rsidR="005F215B" w:rsidRDefault="005F215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548D45F" w14:textId="77777777" w:rsidR="006D2538" w:rsidRDefault="006D2538" w:rsidP="006D2538">
      <w:pPr>
        <w:spacing w:after="0" w:line="240" w:lineRule="auto"/>
      </w:pPr>
      <w:r>
        <w:separator/>
      </w:r>
    </w:p>
  </w:footnote>
  <w:footnote w:type="continuationSeparator" w:id="0">
    <w:p w14:paraId="517DBB28" w14:textId="77777777" w:rsidR="006D2538" w:rsidRDefault="006D2538" w:rsidP="006D253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CB4D4BA" w14:textId="5D9DFFE1" w:rsidR="006D2538" w:rsidRDefault="006D2538">
    <w:pPr>
      <w:pStyle w:val="Header"/>
    </w:pPr>
    <w:r w:rsidRPr="006D2538">
      <w:drawing>
        <wp:anchor distT="0" distB="0" distL="114300" distR="114300" simplePos="0" relativeHeight="251658240" behindDoc="1" locked="0" layoutInCell="1" allowOverlap="1" wp14:anchorId="116E5566" wp14:editId="63669B9A">
          <wp:simplePos x="0" y="0"/>
          <wp:positionH relativeFrom="column">
            <wp:posOffset>1485900</wp:posOffset>
          </wp:positionH>
          <wp:positionV relativeFrom="paragraph">
            <wp:posOffset>-441325</wp:posOffset>
          </wp:positionV>
          <wp:extent cx="2011680" cy="880110"/>
          <wp:effectExtent l="0" t="0" r="0" b="0"/>
          <wp:wrapNone/>
          <wp:docPr id="2072654001"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2654001" name="Picture 1" descr="A close-up of a sign&#10;&#10;AI-generated content may be incorrect."/>
                  <pic:cNvPicPr/>
                </pic:nvPicPr>
                <pic:blipFill>
                  <a:blip r:embed="rId1">
                    <a:extLst>
                      <a:ext uri="{28A0092B-C50C-407E-A947-70E740481C1C}">
                        <a14:useLocalDpi xmlns:a14="http://schemas.microsoft.com/office/drawing/2010/main" val="0"/>
                      </a:ext>
                    </a:extLst>
                  </a:blip>
                  <a:stretch>
                    <a:fillRect/>
                  </a:stretch>
                </pic:blipFill>
                <pic:spPr>
                  <a:xfrm>
                    <a:off x="0" y="0"/>
                    <a:ext cx="2011680" cy="880110"/>
                  </a:xfrm>
                  <a:prstGeom prst="rect">
                    <a:avLst/>
                  </a:prstGeom>
                </pic:spPr>
              </pic:pic>
            </a:graphicData>
          </a:graphic>
          <wp14:sizeRelH relativeFrom="margin">
            <wp14:pctWidth>0</wp14:pctWidth>
          </wp14:sizeRelH>
          <wp14:sizeRelV relativeFrom="margin">
            <wp14:pctHeight>0</wp14:pctHeight>
          </wp14:sizeRelV>
        </wp:anchor>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2538"/>
    <w:rsid w:val="00237B14"/>
    <w:rsid w:val="00527318"/>
    <w:rsid w:val="005F215B"/>
    <w:rsid w:val="006D2538"/>
    <w:rsid w:val="0073416D"/>
    <w:rsid w:val="00812E94"/>
    <w:rsid w:val="008B1A75"/>
    <w:rsid w:val="0091271D"/>
    <w:rsid w:val="00A11D46"/>
    <w:rsid w:val="00A43CE2"/>
    <w:rsid w:val="00B6149A"/>
    <w:rsid w:val="00B86CA8"/>
    <w:rsid w:val="00C5756F"/>
    <w:rsid w:val="00D56DB2"/>
    <w:rsid w:val="00DB5DB2"/>
    <w:rsid w:val="00EB0B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AAEC96"/>
  <w15:chartTrackingRefBased/>
  <w15:docId w15:val="{956A601B-E23C-482A-97F8-5DB90335EB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1271D"/>
    <w:pPr>
      <w:spacing w:after="200" w:line="276" w:lineRule="auto"/>
    </w:pPr>
    <w:rPr>
      <w:rFonts w:ascii="Times New Roman" w:hAnsi="Times New Roman"/>
      <w:kern w:val="0"/>
      <w:sz w:val="24"/>
    </w:rPr>
  </w:style>
  <w:style w:type="paragraph" w:styleId="Heading1">
    <w:name w:val="heading 1"/>
    <w:basedOn w:val="Normal"/>
    <w:next w:val="Normal"/>
    <w:link w:val="Heading1Char"/>
    <w:autoRedefine/>
    <w:uiPriority w:val="9"/>
    <w:qFormat/>
    <w:rsid w:val="006D2538"/>
    <w:pPr>
      <w:keepNext/>
      <w:keepLines/>
      <w:spacing w:before="120" w:after="0"/>
      <w:jc w:val="center"/>
      <w:outlineLvl w:val="0"/>
    </w:pPr>
    <w:rPr>
      <w:rFonts w:eastAsiaTheme="majorEastAsia" w:cstheme="majorBidi"/>
      <w:b/>
      <w:bCs/>
      <w:i/>
      <w:iCs/>
      <w:color w:val="0F4761" w:themeColor="accent1" w:themeShade="BF"/>
      <w:sz w:val="40"/>
      <w:szCs w:val="40"/>
    </w:rPr>
  </w:style>
  <w:style w:type="paragraph" w:styleId="Heading2">
    <w:name w:val="heading 2"/>
    <w:basedOn w:val="Normal"/>
    <w:next w:val="Normal"/>
    <w:link w:val="Heading2Char"/>
    <w:uiPriority w:val="9"/>
    <w:unhideWhenUsed/>
    <w:qFormat/>
    <w:rsid w:val="00D56DB2"/>
    <w:pPr>
      <w:keepNext/>
      <w:keepLines/>
      <w:spacing w:before="160" w:after="80"/>
      <w:outlineLvl w:val="1"/>
    </w:pPr>
    <w:rPr>
      <w:rFonts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D2538"/>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D2538"/>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6D2538"/>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6D2538"/>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6D2538"/>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6D2538"/>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6D2538"/>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2538"/>
    <w:rPr>
      <w:rFonts w:ascii="Times New Roman" w:eastAsiaTheme="majorEastAsia" w:hAnsi="Times New Roman" w:cstheme="majorBidi"/>
      <w:b/>
      <w:bCs/>
      <w:i/>
      <w:iCs/>
      <w:color w:val="0F4761" w:themeColor="accent1" w:themeShade="BF"/>
      <w:kern w:val="0"/>
      <w:sz w:val="40"/>
      <w:szCs w:val="40"/>
    </w:rPr>
  </w:style>
  <w:style w:type="character" w:customStyle="1" w:styleId="Heading2Char">
    <w:name w:val="Heading 2 Char"/>
    <w:basedOn w:val="DefaultParagraphFont"/>
    <w:link w:val="Heading2"/>
    <w:uiPriority w:val="9"/>
    <w:rsid w:val="00D56DB2"/>
    <w:rPr>
      <w:rFonts w:ascii="Times New Roman" w:eastAsiaTheme="majorEastAsia" w:hAnsi="Times New Roman"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D2538"/>
    <w:rPr>
      <w:rFonts w:eastAsiaTheme="majorEastAsia" w:cstheme="majorBidi"/>
      <w:color w:val="0F4761" w:themeColor="accent1" w:themeShade="BF"/>
      <w:kern w:val="0"/>
      <w:sz w:val="28"/>
      <w:szCs w:val="28"/>
    </w:rPr>
  </w:style>
  <w:style w:type="character" w:customStyle="1" w:styleId="Heading4Char">
    <w:name w:val="Heading 4 Char"/>
    <w:basedOn w:val="DefaultParagraphFont"/>
    <w:link w:val="Heading4"/>
    <w:uiPriority w:val="9"/>
    <w:semiHidden/>
    <w:rsid w:val="006D2538"/>
    <w:rPr>
      <w:rFonts w:eastAsiaTheme="majorEastAsia" w:cstheme="majorBidi"/>
      <w:i/>
      <w:iCs/>
      <w:color w:val="0F4761" w:themeColor="accent1" w:themeShade="BF"/>
      <w:kern w:val="0"/>
      <w:sz w:val="24"/>
    </w:rPr>
  </w:style>
  <w:style w:type="character" w:customStyle="1" w:styleId="Heading5Char">
    <w:name w:val="Heading 5 Char"/>
    <w:basedOn w:val="DefaultParagraphFont"/>
    <w:link w:val="Heading5"/>
    <w:uiPriority w:val="9"/>
    <w:semiHidden/>
    <w:rsid w:val="006D2538"/>
    <w:rPr>
      <w:rFonts w:eastAsiaTheme="majorEastAsia" w:cstheme="majorBidi"/>
      <w:color w:val="0F4761" w:themeColor="accent1" w:themeShade="BF"/>
      <w:kern w:val="0"/>
      <w:sz w:val="24"/>
    </w:rPr>
  </w:style>
  <w:style w:type="character" w:customStyle="1" w:styleId="Heading6Char">
    <w:name w:val="Heading 6 Char"/>
    <w:basedOn w:val="DefaultParagraphFont"/>
    <w:link w:val="Heading6"/>
    <w:uiPriority w:val="9"/>
    <w:semiHidden/>
    <w:rsid w:val="006D2538"/>
    <w:rPr>
      <w:rFonts w:eastAsiaTheme="majorEastAsia" w:cstheme="majorBidi"/>
      <w:i/>
      <w:iCs/>
      <w:color w:val="595959" w:themeColor="text1" w:themeTint="A6"/>
      <w:kern w:val="0"/>
      <w:sz w:val="24"/>
    </w:rPr>
  </w:style>
  <w:style w:type="character" w:customStyle="1" w:styleId="Heading7Char">
    <w:name w:val="Heading 7 Char"/>
    <w:basedOn w:val="DefaultParagraphFont"/>
    <w:link w:val="Heading7"/>
    <w:uiPriority w:val="9"/>
    <w:semiHidden/>
    <w:rsid w:val="006D2538"/>
    <w:rPr>
      <w:rFonts w:eastAsiaTheme="majorEastAsia" w:cstheme="majorBidi"/>
      <w:color w:val="595959" w:themeColor="text1" w:themeTint="A6"/>
      <w:kern w:val="0"/>
      <w:sz w:val="24"/>
    </w:rPr>
  </w:style>
  <w:style w:type="character" w:customStyle="1" w:styleId="Heading8Char">
    <w:name w:val="Heading 8 Char"/>
    <w:basedOn w:val="DefaultParagraphFont"/>
    <w:link w:val="Heading8"/>
    <w:uiPriority w:val="9"/>
    <w:semiHidden/>
    <w:rsid w:val="006D2538"/>
    <w:rPr>
      <w:rFonts w:eastAsiaTheme="majorEastAsia" w:cstheme="majorBidi"/>
      <w:i/>
      <w:iCs/>
      <w:color w:val="272727" w:themeColor="text1" w:themeTint="D8"/>
      <w:kern w:val="0"/>
      <w:sz w:val="24"/>
    </w:rPr>
  </w:style>
  <w:style w:type="character" w:customStyle="1" w:styleId="Heading9Char">
    <w:name w:val="Heading 9 Char"/>
    <w:basedOn w:val="DefaultParagraphFont"/>
    <w:link w:val="Heading9"/>
    <w:uiPriority w:val="9"/>
    <w:semiHidden/>
    <w:rsid w:val="006D2538"/>
    <w:rPr>
      <w:rFonts w:eastAsiaTheme="majorEastAsia" w:cstheme="majorBidi"/>
      <w:color w:val="272727" w:themeColor="text1" w:themeTint="D8"/>
      <w:kern w:val="0"/>
      <w:sz w:val="24"/>
    </w:rPr>
  </w:style>
  <w:style w:type="paragraph" w:styleId="Title">
    <w:name w:val="Title"/>
    <w:basedOn w:val="Normal"/>
    <w:next w:val="Normal"/>
    <w:link w:val="TitleChar"/>
    <w:uiPriority w:val="10"/>
    <w:qFormat/>
    <w:rsid w:val="006D253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D253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D2538"/>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D2538"/>
    <w:rPr>
      <w:rFonts w:eastAsiaTheme="majorEastAsia" w:cstheme="majorBidi"/>
      <w:color w:val="595959" w:themeColor="text1" w:themeTint="A6"/>
      <w:spacing w:val="15"/>
      <w:kern w:val="0"/>
      <w:sz w:val="28"/>
      <w:szCs w:val="28"/>
    </w:rPr>
  </w:style>
  <w:style w:type="paragraph" w:styleId="Quote">
    <w:name w:val="Quote"/>
    <w:basedOn w:val="Normal"/>
    <w:next w:val="Normal"/>
    <w:link w:val="QuoteChar"/>
    <w:uiPriority w:val="29"/>
    <w:qFormat/>
    <w:rsid w:val="006D253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6D2538"/>
    <w:rPr>
      <w:rFonts w:ascii="Times New Roman" w:hAnsi="Times New Roman"/>
      <w:i/>
      <w:iCs/>
      <w:color w:val="404040" w:themeColor="text1" w:themeTint="BF"/>
      <w:kern w:val="0"/>
      <w:sz w:val="24"/>
    </w:rPr>
  </w:style>
  <w:style w:type="paragraph" w:styleId="ListParagraph">
    <w:name w:val="List Paragraph"/>
    <w:basedOn w:val="Normal"/>
    <w:uiPriority w:val="34"/>
    <w:qFormat/>
    <w:rsid w:val="006D2538"/>
    <w:pPr>
      <w:ind w:left="720"/>
      <w:contextualSpacing/>
    </w:pPr>
  </w:style>
  <w:style w:type="character" w:styleId="IntenseEmphasis">
    <w:name w:val="Intense Emphasis"/>
    <w:basedOn w:val="DefaultParagraphFont"/>
    <w:uiPriority w:val="21"/>
    <w:qFormat/>
    <w:rsid w:val="006D2538"/>
    <w:rPr>
      <w:i/>
      <w:iCs/>
      <w:color w:val="0F4761" w:themeColor="accent1" w:themeShade="BF"/>
    </w:rPr>
  </w:style>
  <w:style w:type="paragraph" w:styleId="IntenseQuote">
    <w:name w:val="Intense Quote"/>
    <w:basedOn w:val="Normal"/>
    <w:next w:val="Normal"/>
    <w:link w:val="IntenseQuoteChar"/>
    <w:uiPriority w:val="30"/>
    <w:qFormat/>
    <w:rsid w:val="006D253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D2538"/>
    <w:rPr>
      <w:rFonts w:ascii="Times New Roman" w:hAnsi="Times New Roman"/>
      <w:i/>
      <w:iCs/>
      <w:color w:val="0F4761" w:themeColor="accent1" w:themeShade="BF"/>
      <w:kern w:val="0"/>
      <w:sz w:val="24"/>
    </w:rPr>
  </w:style>
  <w:style w:type="character" w:styleId="IntenseReference">
    <w:name w:val="Intense Reference"/>
    <w:basedOn w:val="DefaultParagraphFont"/>
    <w:uiPriority w:val="32"/>
    <w:qFormat/>
    <w:rsid w:val="006D2538"/>
    <w:rPr>
      <w:b/>
      <w:bCs/>
      <w:smallCaps/>
      <w:color w:val="0F4761" w:themeColor="accent1" w:themeShade="BF"/>
      <w:spacing w:val="5"/>
    </w:rPr>
  </w:style>
  <w:style w:type="paragraph" w:styleId="Header">
    <w:name w:val="header"/>
    <w:basedOn w:val="Normal"/>
    <w:link w:val="HeaderChar"/>
    <w:uiPriority w:val="99"/>
    <w:unhideWhenUsed/>
    <w:rsid w:val="006D2538"/>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2538"/>
    <w:rPr>
      <w:rFonts w:ascii="Times New Roman" w:hAnsi="Times New Roman"/>
      <w:kern w:val="0"/>
      <w:sz w:val="24"/>
    </w:rPr>
  </w:style>
  <w:style w:type="paragraph" w:styleId="Footer">
    <w:name w:val="footer"/>
    <w:basedOn w:val="Normal"/>
    <w:link w:val="FooterChar"/>
    <w:uiPriority w:val="99"/>
    <w:unhideWhenUsed/>
    <w:rsid w:val="006D2538"/>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2538"/>
    <w:rPr>
      <w:rFonts w:ascii="Times New Roman" w:hAnsi="Times New Roman"/>
      <w:kern w:val="0"/>
      <w:sz w:val="24"/>
    </w:rPr>
  </w:style>
  <w:style w:type="table" w:styleId="GridTable1LightAccent2">
    <w:name w:val="Grid Table 1 Light Accent 2"/>
    <w:basedOn w:val="TableNormal"/>
    <w:uiPriority w:val="46"/>
    <w:rsid w:val="005F215B"/>
    <w:pPr>
      <w:spacing w:after="0" w:line="240" w:lineRule="auto"/>
    </w:pPr>
    <w:tblPr>
      <w:tblStyleRowBandSize w:val="1"/>
      <w:tblStyleColBandSize w:val="1"/>
      <w:tblBorders>
        <w:top w:val="single" w:sz="4" w:space="0" w:color="F6C5AC" w:themeColor="accent2" w:themeTint="66"/>
        <w:left w:val="single" w:sz="4" w:space="0" w:color="F6C5AC" w:themeColor="accent2" w:themeTint="66"/>
        <w:bottom w:val="single" w:sz="4" w:space="0" w:color="F6C5AC" w:themeColor="accent2" w:themeTint="66"/>
        <w:right w:val="single" w:sz="4" w:space="0" w:color="F6C5AC" w:themeColor="accent2" w:themeTint="66"/>
        <w:insideH w:val="single" w:sz="4" w:space="0" w:color="F6C5AC" w:themeColor="accent2" w:themeTint="66"/>
        <w:insideV w:val="single" w:sz="4" w:space="0" w:color="F6C5AC" w:themeColor="accent2" w:themeTint="66"/>
      </w:tblBorders>
    </w:tblPr>
    <w:tblStylePr w:type="firstRow">
      <w:rPr>
        <w:b/>
        <w:bCs/>
      </w:rPr>
      <w:tblPr/>
      <w:tcPr>
        <w:tcBorders>
          <w:bottom w:val="single" w:sz="12" w:space="0" w:color="F1A983" w:themeColor="accent2" w:themeTint="99"/>
        </w:tcBorders>
      </w:tcPr>
    </w:tblStylePr>
    <w:tblStylePr w:type="lastRow">
      <w:rPr>
        <w:b/>
        <w:bCs/>
      </w:rPr>
      <w:tblPr/>
      <w:tcPr>
        <w:tcBorders>
          <w:top w:val="double" w:sz="2" w:space="0" w:color="F1A983" w:themeColor="accent2" w:themeTint="99"/>
        </w:tcBorders>
      </w:tcPr>
    </w:tblStylePr>
    <w:tblStylePr w:type="firstCol">
      <w:rPr>
        <w:b/>
        <w:bCs/>
      </w:rPr>
    </w:tblStylePr>
    <w:tblStylePr w:type="lastCol">
      <w:rPr>
        <w:b/>
        <w:bCs/>
      </w:rPr>
    </w:tblStylePr>
  </w:style>
  <w:style w:type="character" w:styleId="Hyperlink">
    <w:name w:val="Hyperlink"/>
    <w:basedOn w:val="DefaultParagraphFont"/>
    <w:uiPriority w:val="99"/>
    <w:unhideWhenUsed/>
    <w:rsid w:val="005F215B"/>
    <w:rPr>
      <w:color w:val="467886" w:themeColor="hyperlink"/>
      <w:u w:val="single"/>
    </w:rPr>
  </w:style>
  <w:style w:type="character" w:styleId="UnresolvedMention">
    <w:name w:val="Unresolved Mention"/>
    <w:basedOn w:val="DefaultParagraphFont"/>
    <w:uiPriority w:val="99"/>
    <w:semiHidden/>
    <w:unhideWhenUsed/>
    <w:rsid w:val="005F215B"/>
    <w:rPr>
      <w:color w:val="605E5C"/>
      <w:shd w:val="clear" w:color="auto" w:fill="E1DFDD"/>
    </w:rPr>
  </w:style>
  <w:style w:type="paragraph" w:styleId="TOCHeading">
    <w:name w:val="TOC Heading"/>
    <w:basedOn w:val="Heading1"/>
    <w:next w:val="Normal"/>
    <w:uiPriority w:val="39"/>
    <w:unhideWhenUsed/>
    <w:qFormat/>
    <w:rsid w:val="005F215B"/>
    <w:pPr>
      <w:spacing w:before="240" w:line="259" w:lineRule="auto"/>
      <w:jc w:val="left"/>
      <w:outlineLvl w:val="9"/>
    </w:pPr>
    <w:rPr>
      <w:rFonts w:asciiTheme="majorHAnsi" w:hAnsiTheme="majorHAnsi"/>
      <w:b w:val="0"/>
      <w:bCs w:val="0"/>
      <w:i w:val="0"/>
      <w:iCs w:val="0"/>
      <w:sz w:val="32"/>
      <w:szCs w:val="32"/>
      <w:lang w:eastAsia="en-GB"/>
    </w:rPr>
  </w:style>
  <w:style w:type="paragraph" w:styleId="TOC1">
    <w:name w:val="toc 1"/>
    <w:basedOn w:val="Normal"/>
    <w:next w:val="Normal"/>
    <w:autoRedefine/>
    <w:uiPriority w:val="39"/>
    <w:unhideWhenUsed/>
    <w:rsid w:val="005F215B"/>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ww.statista.com"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4B53FCD-2F5B-4B03-8B6B-81EB0B08E9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2106</Words>
  <Characters>12008</Characters>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2025-10-15T11:56:00Z</dcterms:created>
  <dcterms:modified xsi:type="dcterms:W3CDTF">2025-10-15T12:09:00Z</dcterms:modified>
</cp:coreProperties>
</file>