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FD704C" w14:textId="77777777" w:rsidR="005272A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International Hotel Management (BA)</w:t>
      </w:r>
    </w:p>
    <w:p w14:paraId="2AC9C630" w14:textId="77777777" w:rsidR="005272A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International Meetings Management for the Hotel Industry</w:t>
      </w:r>
    </w:p>
    <w:p w14:paraId="19C4EA38" w14:textId="77777777" w:rsidR="005272A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BMIH6007</w:t>
      </w:r>
    </w:p>
    <w:p w14:paraId="325A2476" w14:textId="77777777" w:rsidR="005272A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Feasibility Plan for an International Meeting</w:t>
      </w:r>
    </w:p>
    <w:p w14:paraId="47358C99" w14:textId="77777777" w:rsidR="005272A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Chosen Topic: Sapporo Snow Festival</w:t>
      </w:r>
    </w:p>
    <w:p w14:paraId="6C5F993A" w14:textId="77777777" w:rsidR="005272AB" w:rsidRDefault="005272AB">
      <w:pPr>
        <w:jc w:val="center"/>
        <w:rPr>
          <w:b/>
          <w:sz w:val="32"/>
          <w:szCs w:val="32"/>
        </w:rPr>
      </w:pPr>
    </w:p>
    <w:p w14:paraId="2A86497F" w14:textId="77777777" w:rsidR="005272AB" w:rsidRDefault="005272AB">
      <w:pPr>
        <w:jc w:val="center"/>
        <w:rPr>
          <w:b/>
          <w:sz w:val="32"/>
          <w:szCs w:val="32"/>
        </w:rPr>
      </w:pPr>
    </w:p>
    <w:p w14:paraId="7CBE57B0" w14:textId="77777777" w:rsidR="005272AB" w:rsidRDefault="005272AB">
      <w:pPr>
        <w:jc w:val="center"/>
        <w:rPr>
          <w:b/>
          <w:sz w:val="32"/>
          <w:szCs w:val="32"/>
        </w:rPr>
      </w:pPr>
    </w:p>
    <w:p w14:paraId="2D36F0E0" w14:textId="77777777" w:rsidR="005272AB" w:rsidRDefault="005272AB">
      <w:pPr>
        <w:jc w:val="center"/>
        <w:rPr>
          <w:b/>
          <w:sz w:val="32"/>
          <w:szCs w:val="32"/>
        </w:rPr>
      </w:pPr>
    </w:p>
    <w:p w14:paraId="2FC3979E" w14:textId="43313091" w:rsidR="005272A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Student Name:</w:t>
      </w:r>
      <w:r w:rsidR="004A2905">
        <w:rPr>
          <w:b/>
          <w:sz w:val="32"/>
          <w:szCs w:val="32"/>
        </w:rPr>
        <w:t xml:space="preserve"> Mirela Mihaela Motohoi</w:t>
      </w:r>
    </w:p>
    <w:p w14:paraId="3835DD36" w14:textId="77777777" w:rsidR="004A2905" w:rsidRDefault="00000000" w:rsidP="004A2905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Student ID:</w:t>
      </w:r>
      <w:r w:rsidR="004A2905">
        <w:rPr>
          <w:b/>
          <w:sz w:val="32"/>
          <w:szCs w:val="32"/>
        </w:rPr>
        <w:t xml:space="preserve"> 2206811</w:t>
      </w:r>
    </w:p>
    <w:p w14:paraId="56A00FED" w14:textId="74CDB59F" w:rsidR="004A2905" w:rsidRDefault="004A2905" w:rsidP="004A2905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Lecturer: Kathryn Flynn</w:t>
      </w:r>
    </w:p>
    <w:p w14:paraId="7C2F4D07" w14:textId="10C3879A" w:rsidR="005272AB" w:rsidRPr="004A2905" w:rsidRDefault="00000000" w:rsidP="004A2905">
      <w:pPr>
        <w:jc w:val="center"/>
        <w:rPr>
          <w:b/>
          <w:sz w:val="32"/>
          <w:szCs w:val="32"/>
        </w:rPr>
      </w:pPr>
      <w:r>
        <w:br w:type="page"/>
      </w:r>
      <w:r w:rsidR="0008385E">
        <w:rPr>
          <w:noProof/>
        </w:rPr>
        <w:lastRenderedPageBreak/>
        <w:drawing>
          <wp:inline distT="0" distB="0" distL="0" distR="0" wp14:anchorId="6EF94756" wp14:editId="32A129D2">
            <wp:extent cx="6096635" cy="3429000"/>
            <wp:effectExtent l="0" t="0" r="0" b="0"/>
            <wp:docPr id="17860345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5282F1" w14:textId="77777777" w:rsidR="0008385E" w:rsidRDefault="0008385E"/>
    <w:p w14:paraId="6684DA3A" w14:textId="77777777" w:rsidR="0008385E" w:rsidRDefault="0008385E"/>
    <w:p w14:paraId="5F18F8CC" w14:textId="01EC7442" w:rsidR="0008385E" w:rsidRDefault="0008385E">
      <w:pPr>
        <w:rPr>
          <w:b/>
          <w:sz w:val="32"/>
          <w:szCs w:val="32"/>
        </w:rPr>
      </w:pPr>
      <w:r>
        <w:rPr>
          <w:b/>
          <w:noProof/>
          <w:sz w:val="32"/>
          <w:szCs w:val="32"/>
        </w:rPr>
        <w:drawing>
          <wp:inline distT="0" distB="0" distL="0" distR="0" wp14:anchorId="14A5D2A5" wp14:editId="3865C0C5">
            <wp:extent cx="6096635" cy="3429000"/>
            <wp:effectExtent l="0" t="0" r="0" b="0"/>
            <wp:docPr id="21353467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A5DE441" w14:textId="397EF995" w:rsidR="005272AB" w:rsidRDefault="005272AB">
      <w:bookmarkStart w:id="0" w:name="_heading=h.30j0zll" w:colFirst="0" w:colLast="0"/>
      <w:bookmarkStart w:id="1" w:name="_heading=h.1fob9te" w:colFirst="0" w:colLast="0"/>
      <w:bookmarkStart w:id="2" w:name="_heading=h.3znysh7" w:colFirst="0" w:colLast="0"/>
      <w:bookmarkEnd w:id="0"/>
      <w:bookmarkEnd w:id="1"/>
      <w:bookmarkEnd w:id="2"/>
    </w:p>
    <w:p w14:paraId="4381CD99" w14:textId="35D737C9" w:rsidR="005272AB" w:rsidRDefault="0008385E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173B326F" wp14:editId="073FDF4A">
            <wp:extent cx="6096635" cy="3429000"/>
            <wp:effectExtent l="0" t="0" r="0" b="0"/>
            <wp:docPr id="13004534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B93DB9" w14:textId="33A5E144" w:rsidR="005272AB" w:rsidRDefault="005272AB">
      <w:pPr>
        <w:rPr>
          <w:b/>
        </w:rPr>
      </w:pPr>
    </w:p>
    <w:p w14:paraId="6F2AE744" w14:textId="5B8775B3" w:rsidR="0008385E" w:rsidRDefault="0008385E">
      <w:pPr>
        <w:rPr>
          <w:b/>
        </w:rPr>
      </w:pPr>
      <w:r>
        <w:rPr>
          <w:b/>
          <w:noProof/>
        </w:rPr>
        <w:drawing>
          <wp:inline distT="0" distB="0" distL="0" distR="0" wp14:anchorId="31528C7A" wp14:editId="76BB3728">
            <wp:extent cx="6096635" cy="3429000"/>
            <wp:effectExtent l="0" t="0" r="0" b="0"/>
            <wp:docPr id="86084018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81C591" w14:textId="7DBFCA16" w:rsidR="005272AB" w:rsidRDefault="005272AB">
      <w:pPr>
        <w:rPr>
          <w:b/>
        </w:rPr>
      </w:pPr>
    </w:p>
    <w:p w14:paraId="5D94730C" w14:textId="77777777" w:rsidR="004A2905" w:rsidRDefault="004A2905">
      <w:pPr>
        <w:rPr>
          <w:b/>
        </w:rPr>
      </w:pPr>
    </w:p>
    <w:p w14:paraId="79975921" w14:textId="41B8ACC5" w:rsidR="005272AB" w:rsidRDefault="005272AB"/>
    <w:p w14:paraId="366BA9CA" w14:textId="77777777" w:rsidR="004A2905" w:rsidRDefault="004A2905">
      <w:r>
        <w:rPr>
          <w:noProof/>
        </w:rPr>
        <w:lastRenderedPageBreak/>
        <w:drawing>
          <wp:inline distT="0" distB="0" distL="0" distR="0" wp14:anchorId="3FAE5D99" wp14:editId="24BE16BB">
            <wp:extent cx="6096635" cy="3429000"/>
            <wp:effectExtent l="0" t="0" r="0" b="0"/>
            <wp:docPr id="1665332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E31026" w14:textId="77777777" w:rsidR="004A2905" w:rsidRDefault="004A2905"/>
    <w:p w14:paraId="7C0A7E76" w14:textId="77777777" w:rsidR="004A2905" w:rsidRDefault="004A2905">
      <w:r>
        <w:rPr>
          <w:noProof/>
        </w:rPr>
        <w:drawing>
          <wp:inline distT="0" distB="0" distL="0" distR="0" wp14:anchorId="37907227" wp14:editId="6750E069">
            <wp:extent cx="6096635" cy="3429000"/>
            <wp:effectExtent l="0" t="0" r="0" b="0"/>
            <wp:docPr id="16353266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94AF52" w14:textId="77777777" w:rsidR="004A2905" w:rsidRDefault="004A2905"/>
    <w:p w14:paraId="163E491F" w14:textId="77777777" w:rsidR="004A2905" w:rsidRDefault="004A2905"/>
    <w:p w14:paraId="71771D9C" w14:textId="77777777" w:rsidR="004A2905" w:rsidRDefault="004A2905"/>
    <w:p w14:paraId="5AF1BA27" w14:textId="77777777" w:rsidR="004A2905" w:rsidRDefault="004A2905">
      <w:r>
        <w:rPr>
          <w:noProof/>
        </w:rPr>
        <w:lastRenderedPageBreak/>
        <w:drawing>
          <wp:inline distT="0" distB="0" distL="0" distR="0" wp14:anchorId="79B294B0" wp14:editId="5F048125">
            <wp:extent cx="5731510" cy="3223895"/>
            <wp:effectExtent l="0" t="0" r="2540" b="0"/>
            <wp:docPr id="6850979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097916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0D266" w14:textId="77777777" w:rsidR="004A2905" w:rsidRDefault="004A2905"/>
    <w:p w14:paraId="228AC8A4" w14:textId="77777777" w:rsidR="004A2905" w:rsidRDefault="004A2905">
      <w:r>
        <w:rPr>
          <w:noProof/>
        </w:rPr>
        <w:drawing>
          <wp:inline distT="0" distB="0" distL="0" distR="0" wp14:anchorId="09711FA5" wp14:editId="528C316C">
            <wp:extent cx="6096635" cy="3429000"/>
            <wp:effectExtent l="0" t="0" r="0" b="0"/>
            <wp:docPr id="171923038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D09A95" w14:textId="77777777" w:rsidR="004A2905" w:rsidRDefault="004A2905"/>
    <w:p w14:paraId="40CF0E07" w14:textId="77777777" w:rsidR="004A2905" w:rsidRDefault="004A2905"/>
    <w:p w14:paraId="2F45A385" w14:textId="77777777" w:rsidR="004A2905" w:rsidRDefault="004A2905"/>
    <w:p w14:paraId="749BD6A3" w14:textId="77777777" w:rsidR="004A2905" w:rsidRDefault="004A2905"/>
    <w:p w14:paraId="28620122" w14:textId="77777777" w:rsidR="004A2905" w:rsidRDefault="004A2905">
      <w:r>
        <w:rPr>
          <w:noProof/>
        </w:rPr>
        <w:lastRenderedPageBreak/>
        <w:drawing>
          <wp:inline distT="0" distB="0" distL="0" distR="0" wp14:anchorId="47E99FE6" wp14:editId="41E6E92D">
            <wp:extent cx="6096635" cy="3429000"/>
            <wp:effectExtent l="0" t="0" r="0" b="0"/>
            <wp:docPr id="78461926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E50E22" w14:textId="77777777" w:rsidR="004A2905" w:rsidRDefault="004A2905"/>
    <w:p w14:paraId="7231F589" w14:textId="77777777" w:rsidR="004A2905" w:rsidRDefault="004A2905">
      <w:r>
        <w:rPr>
          <w:noProof/>
        </w:rPr>
        <w:drawing>
          <wp:inline distT="0" distB="0" distL="0" distR="0" wp14:anchorId="6111C1B1" wp14:editId="32A6BE7F">
            <wp:extent cx="6096635" cy="3429000"/>
            <wp:effectExtent l="0" t="0" r="0" b="0"/>
            <wp:docPr id="195779290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95F4DD" w14:textId="77777777" w:rsidR="004A2905" w:rsidRDefault="004A2905"/>
    <w:p w14:paraId="30E87B19" w14:textId="77777777" w:rsidR="004A2905" w:rsidRDefault="004A2905"/>
    <w:p w14:paraId="355E3790" w14:textId="77777777" w:rsidR="004A2905" w:rsidRDefault="004A2905"/>
    <w:p w14:paraId="0E5B6758" w14:textId="77777777" w:rsidR="004A2905" w:rsidRDefault="004A2905">
      <w:r>
        <w:rPr>
          <w:noProof/>
        </w:rPr>
        <w:lastRenderedPageBreak/>
        <w:drawing>
          <wp:inline distT="0" distB="0" distL="0" distR="0" wp14:anchorId="744F96B1" wp14:editId="0BCF8179">
            <wp:extent cx="6096635" cy="3429000"/>
            <wp:effectExtent l="0" t="0" r="0" b="0"/>
            <wp:docPr id="89486372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E9A9E3" w14:textId="77777777" w:rsidR="004A2905" w:rsidRDefault="004A2905"/>
    <w:p w14:paraId="4736A10C" w14:textId="29351D77" w:rsidR="005272AB" w:rsidRDefault="004A2905">
      <w:r>
        <w:rPr>
          <w:noProof/>
        </w:rPr>
        <w:drawing>
          <wp:inline distT="0" distB="0" distL="0" distR="0" wp14:anchorId="7A172CFB" wp14:editId="12BD8622">
            <wp:extent cx="6096635" cy="3429000"/>
            <wp:effectExtent l="0" t="0" r="0" b="0"/>
            <wp:docPr id="213911686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000000">
        <w:br w:type="page"/>
      </w:r>
    </w:p>
    <w:p w14:paraId="15CD15A4" w14:textId="77777777" w:rsidR="005272AB" w:rsidRDefault="00000000">
      <w:pPr>
        <w:pStyle w:val="Heading1"/>
      </w:pPr>
      <w:bookmarkStart w:id="3" w:name="_heading=h.2s8eyo1" w:colFirst="0" w:colLast="0"/>
      <w:bookmarkEnd w:id="3"/>
      <w:r>
        <w:lastRenderedPageBreak/>
        <w:t>References</w:t>
      </w:r>
    </w:p>
    <w:p w14:paraId="77C3E49B" w14:textId="431AF6EF" w:rsidR="005272AB" w:rsidRDefault="005272AB"/>
    <w:p w14:paraId="3125F8B5" w14:textId="77777777" w:rsidR="005272AB" w:rsidRDefault="00000000">
      <w:r>
        <w:t xml:space="preserve">Allen, J. (2019) </w:t>
      </w:r>
      <w:r>
        <w:rPr>
          <w:i/>
        </w:rPr>
        <w:t>The Business of Event Planning: Behind-the-Scenes Secrets of Successful Special Events</w:t>
      </w:r>
      <w:r>
        <w:t>. Hoboken, NJ: John Wiley &amp; Sons.</w:t>
      </w:r>
    </w:p>
    <w:p w14:paraId="18C30EE6" w14:textId="77777777" w:rsidR="005272AB" w:rsidRDefault="00000000">
      <w:r>
        <w:t xml:space="preserve">Blondin, M. (2014) </w:t>
      </w:r>
      <w:r>
        <w:rPr>
          <w:i/>
        </w:rPr>
        <w:t>Meeting Architecture: A Manifesto</w:t>
      </w:r>
      <w:r>
        <w:t>. Breda: Meeting Support Institute.</w:t>
      </w:r>
    </w:p>
    <w:p w14:paraId="0E1F4A8D" w14:textId="77777777" w:rsidR="005272AB" w:rsidRDefault="00000000">
      <w:r>
        <w:t xml:space="preserve">Bowdin, G., Allen, J., O'Toole, W., Harris, R. and McDonnell, I. (2017) </w:t>
      </w:r>
      <w:r>
        <w:rPr>
          <w:i/>
        </w:rPr>
        <w:t>Event Planning and Management: Principles, Planning and Practice</w:t>
      </w:r>
      <w:r>
        <w:t>. London: Routledge.</w:t>
      </w:r>
    </w:p>
    <w:p w14:paraId="617BB127" w14:textId="77777777" w:rsidR="005272AB" w:rsidRDefault="00000000">
      <w:r>
        <w:t xml:space="preserve">Camilleri, M.A. (2016) 'Responsible tourism that creates shared value among stakeholders', </w:t>
      </w:r>
      <w:r>
        <w:rPr>
          <w:i/>
        </w:rPr>
        <w:t>Tourism Planning &amp; Development</w:t>
      </w:r>
      <w:r>
        <w:t>, 13(2), pp. 219-235.</w:t>
      </w:r>
    </w:p>
    <w:p w14:paraId="61480C45" w14:textId="77777777" w:rsidR="005272AB" w:rsidRDefault="00000000">
      <w:r>
        <w:t xml:space="preserve">Ferdinand, N. and Kitchin, P. (2012) </w:t>
      </w:r>
      <w:r>
        <w:rPr>
          <w:i/>
        </w:rPr>
        <w:t>Strategic Event Planning: The Basics of Events Planning</w:t>
      </w:r>
      <w:r>
        <w:t>. London: Routledge.</w:t>
      </w:r>
    </w:p>
    <w:p w14:paraId="240B8A82" w14:textId="77777777" w:rsidR="005272AB" w:rsidRDefault="00000000">
      <w:r>
        <w:t>Frinaldi, A., &amp; Putri, N. E. (2024). Examining the mediating effects of social capital and community-based tourism on the role of tourism villages in sustainable tourism.</w:t>
      </w:r>
      <w:r>
        <w:rPr>
          <w:i/>
        </w:rPr>
        <w:t> Journal of Environmental Management &amp; Tourism, 15</w:t>
      </w:r>
      <w:r>
        <w:t xml:space="preserve">(1), 176-193. </w:t>
      </w:r>
    </w:p>
    <w:p w14:paraId="69CD7617" w14:textId="77777777" w:rsidR="005272AB" w:rsidRDefault="00000000">
      <w:r>
        <w:t>Jonas, L. C. (2024). Emerging opportunities in blue tourism.</w:t>
      </w:r>
      <w:r>
        <w:rPr>
          <w:i/>
        </w:rPr>
        <w:t> Tourism in Marine Environments, 19</w:t>
      </w:r>
      <w:r>
        <w:t>(1), 59-67.</w:t>
      </w:r>
    </w:p>
    <w:p w14:paraId="0A383A88" w14:textId="77777777" w:rsidR="005272AB" w:rsidRDefault="00000000">
      <w:r>
        <w:t>Liu, Y. (2024). Traditional villages’ cultural tourism spatial quality evaluation.</w:t>
      </w:r>
      <w:r>
        <w:rPr>
          <w:i/>
        </w:rPr>
        <w:t> Sustainability, 16</w:t>
      </w:r>
      <w:r>
        <w:t xml:space="preserve">(17), 7752. </w:t>
      </w:r>
    </w:p>
    <w:p w14:paraId="2A2A35A5" w14:textId="77777777" w:rsidR="005272AB" w:rsidRDefault="00000000">
      <w:r>
        <w:t xml:space="preserve">Maitland, R. (2016) 'Everyday tourism in a world tourism city: Getting backstage in London', </w:t>
      </w:r>
      <w:r>
        <w:rPr>
          <w:i/>
        </w:rPr>
        <w:t>Asian Journal of Behavioural Studies</w:t>
      </w:r>
      <w:r>
        <w:t>, 1(1), pp. 13-20.</w:t>
      </w:r>
    </w:p>
    <w:p w14:paraId="3058C44C" w14:textId="77777777" w:rsidR="005272AB" w:rsidRDefault="00000000">
      <w:r>
        <w:t xml:space="preserve">Morosan, C. (2018) 'Beware hospitality industry: the robots are coming', </w:t>
      </w:r>
      <w:r>
        <w:rPr>
          <w:i/>
        </w:rPr>
        <w:t>Worldwide Hospitality and Tourism Themes</w:t>
      </w:r>
      <w:r>
        <w:t>, 10(6), pp. 726-733.</w:t>
      </w:r>
    </w:p>
    <w:p w14:paraId="586F6AC7" w14:textId="77777777" w:rsidR="005272AB" w:rsidRDefault="00000000">
      <w:r>
        <w:t>Ntshangase, S. D., Ezeuduji, I. O., &amp; Ayanwale, M. A. (2024). Students’ perception of tourism entrepreneurship: Composite-based structural equation modelling.</w:t>
      </w:r>
      <w:r>
        <w:rPr>
          <w:i/>
        </w:rPr>
        <w:t> Transformation in Higher Education.</w:t>
      </w:r>
    </w:p>
    <w:p w14:paraId="456045F6" w14:textId="77777777" w:rsidR="005272AB" w:rsidRDefault="00000000">
      <w:r>
        <w:t xml:space="preserve">Oliveira, O.P. (2017) </w:t>
      </w:r>
      <w:r>
        <w:rPr>
          <w:i/>
        </w:rPr>
        <w:t>International policy diffusion and participatory budgeting</w:t>
      </w:r>
      <w:r>
        <w:t>. Cham: Springer International Publishing.</w:t>
      </w:r>
    </w:p>
    <w:p w14:paraId="1968B6E7" w14:textId="77777777" w:rsidR="005272AB" w:rsidRDefault="00000000">
      <w:r>
        <w:lastRenderedPageBreak/>
        <w:t xml:space="preserve">Orsmond, G.I. and Cohn, E.S. (2015) 'The distinctive features of a feasibility study: objectives and guiding questions', </w:t>
      </w:r>
      <w:r>
        <w:rPr>
          <w:i/>
        </w:rPr>
        <w:t>OTJR: Occupation, Participation and Health</w:t>
      </w:r>
      <w:r>
        <w:t>, 35(3), pp. 169-177.</w:t>
      </w:r>
    </w:p>
    <w:p w14:paraId="613D68CC" w14:textId="77777777" w:rsidR="005272AB" w:rsidRDefault="00000000">
      <w:r>
        <w:t xml:space="preserve">Page, S.J. (2016) 'Progress and prospects for event tourism research', </w:t>
      </w:r>
      <w:r>
        <w:rPr>
          <w:i/>
        </w:rPr>
        <w:t>Tourism Management</w:t>
      </w:r>
      <w:r>
        <w:t>, 52, pp. 593-631.</w:t>
      </w:r>
    </w:p>
    <w:p w14:paraId="0BEA52BF" w14:textId="77777777" w:rsidR="005272AB" w:rsidRDefault="00000000">
      <w:r>
        <w:t xml:space="preserve">Silvers, J.R. (2018) </w:t>
      </w:r>
      <w:r>
        <w:rPr>
          <w:i/>
        </w:rPr>
        <w:t>Project Management for Events</w:t>
      </w:r>
      <w:r>
        <w:t>. New York: Routledge.</w:t>
      </w:r>
    </w:p>
    <w:p w14:paraId="37752DCC" w14:textId="77777777" w:rsidR="005272AB" w:rsidRDefault="00000000">
      <w:r>
        <w:t xml:space="preserve">Van der Wagen, L. (2017) </w:t>
      </w:r>
      <w:r>
        <w:rPr>
          <w:i/>
        </w:rPr>
        <w:t>Events Feasibility and Development: From Strategy to Operations</w:t>
      </w:r>
      <w:r>
        <w:t>. London: Routledge.</w:t>
      </w:r>
    </w:p>
    <w:p w14:paraId="256ABEBB" w14:textId="77777777" w:rsidR="005272AB" w:rsidRDefault="00000000">
      <w:r>
        <w:t xml:space="preserve">Viglia, G., Beldona, S. and Hofacker, C. (2019) 'Technological disruptions in services: lessons from tourism and hospitality', </w:t>
      </w:r>
      <w:r>
        <w:rPr>
          <w:i/>
        </w:rPr>
        <w:t>Journal of Service Management</w:t>
      </w:r>
      <w:r>
        <w:t>, 30(4), pp. 484-506.</w:t>
      </w:r>
    </w:p>
    <w:p w14:paraId="0B23DAB0" w14:textId="77777777" w:rsidR="005272AB" w:rsidRDefault="00000000">
      <w:r>
        <w:t xml:space="preserve">Wallstam, M. (2015) 'Event evaluation: Definitions, concepts and a state of the art review', </w:t>
      </w:r>
      <w:r>
        <w:rPr>
          <w:i/>
        </w:rPr>
        <w:t>International Journal of Event and Festival Management</w:t>
      </w:r>
      <w:r>
        <w:t>, 6(2), pp. 135-157.</w:t>
      </w:r>
    </w:p>
    <w:p w14:paraId="798941BD" w14:textId="77777777" w:rsidR="005272AB" w:rsidRDefault="00000000">
      <w:r>
        <w:t xml:space="preserve">Walters, P. and Rashid, T. (2017) </w:t>
      </w:r>
      <w:r>
        <w:rPr>
          <w:i/>
        </w:rPr>
        <w:t>Events Management: An International Approach</w:t>
      </w:r>
      <w:r>
        <w:t>. London: SAGE Publications.</w:t>
      </w:r>
    </w:p>
    <w:p w14:paraId="21ABEB85" w14:textId="77777777" w:rsidR="005272AB" w:rsidRDefault="00000000">
      <w:r>
        <w:t>Xi, J. (2024). A model for estimating the tourism carrying capacity of a tourism corridor: A case study of the Qinghai–Tibet plateau.</w:t>
      </w:r>
      <w:r>
        <w:rPr>
          <w:i/>
        </w:rPr>
        <w:t> Sustainability, 16</w:t>
      </w:r>
      <w:r>
        <w:t xml:space="preserve">(13), 5466. </w:t>
      </w:r>
    </w:p>
    <w:p w14:paraId="5B770A88" w14:textId="77777777" w:rsidR="005272AB" w:rsidRDefault="005272AB"/>
    <w:sectPr w:rsidR="005272AB">
      <w:footerReference w:type="default" r:id="rId21"/>
      <w:pgSz w:w="11906" w:h="16838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5D04E3" w14:textId="77777777" w:rsidR="009B3B0D" w:rsidRDefault="009B3B0D">
      <w:pPr>
        <w:spacing w:after="0" w:line="240" w:lineRule="auto"/>
      </w:pPr>
      <w:r>
        <w:separator/>
      </w:r>
    </w:p>
  </w:endnote>
  <w:endnote w:type="continuationSeparator" w:id="0">
    <w:p w14:paraId="572F98A0" w14:textId="77777777" w:rsidR="009B3B0D" w:rsidRDefault="009B3B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Noto Sans Symbols">
    <w:charset w:val="00"/>
    <w:family w:val="auto"/>
    <w:pitch w:val="default"/>
    <w:embedRegular r:id="rId1" w:fontKey="{96E5B6BF-ADD5-4298-960F-B2D071B81723}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r:id="rId2" w:fontKey="{B64ADE88-0A0F-4D20-B435-4CE3DBFCAAB1}"/>
    <w:embedItalic r:id="rId3" w:fontKey="{E15CA250-25B8-43D6-9465-F042330E6FE7}"/>
  </w:font>
  <w:font w:name="Georgia">
    <w:panose1 w:val="02040502050405020303"/>
    <w:charset w:val="00"/>
    <w:family w:val="auto"/>
    <w:pitch w:val="default"/>
    <w:embedRegular r:id="rId4" w:fontKey="{A73B0508-574F-44BA-B7A6-9C62A02A35DB}"/>
    <w:embedItalic r:id="rId5" w:fontKey="{90507816-1B8D-463D-96B6-76869A846C3D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6" w:fontKey="{E33813CD-65DA-479B-846C-1FDFEC2B497F}"/>
    <w:embedItalic r:id="rId7" w:fontKey="{E2502B25-DD31-477F-8861-AD6D601CF5FA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B744DB" w14:textId="77777777" w:rsidR="005272AB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 w:rsidR="0008385E">
      <w:rPr>
        <w:noProof/>
        <w:color w:val="000000"/>
      </w:rPr>
      <w:t>2</w:t>
    </w:r>
    <w:r>
      <w:rPr>
        <w:color w:val="000000"/>
      </w:rPr>
      <w:fldChar w:fldCharType="end"/>
    </w:r>
  </w:p>
  <w:p w14:paraId="22D9707C" w14:textId="77777777" w:rsidR="005272AB" w:rsidRDefault="005272AB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8F05D1" w14:textId="77777777" w:rsidR="009B3B0D" w:rsidRDefault="009B3B0D">
      <w:pPr>
        <w:spacing w:after="0" w:line="240" w:lineRule="auto"/>
      </w:pPr>
      <w:r>
        <w:separator/>
      </w:r>
    </w:p>
  </w:footnote>
  <w:footnote w:type="continuationSeparator" w:id="0">
    <w:p w14:paraId="2E8E7FAA" w14:textId="77777777" w:rsidR="009B3B0D" w:rsidRDefault="009B3B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7428CC"/>
    <w:multiLevelType w:val="multilevel"/>
    <w:tmpl w:val="84CADBD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505DD5"/>
    <w:multiLevelType w:val="multilevel"/>
    <w:tmpl w:val="D74AB720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1061445617">
    <w:abstractNumId w:val="1"/>
  </w:num>
  <w:num w:numId="2" w16cid:durableId="19177821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TrueTypeFont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72AB"/>
    <w:rsid w:val="0008385E"/>
    <w:rsid w:val="0023615A"/>
    <w:rsid w:val="002448A0"/>
    <w:rsid w:val="004A2905"/>
    <w:rsid w:val="005272AB"/>
    <w:rsid w:val="009B3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D0B1B"/>
  <w15:docId w15:val="{0EF8B0E7-8AD7-4AC1-83AC-474265B05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31D5"/>
  </w:style>
  <w:style w:type="paragraph" w:styleId="Heading1">
    <w:name w:val="heading 1"/>
    <w:basedOn w:val="Normal"/>
    <w:next w:val="Normal"/>
    <w:link w:val="Heading1Char"/>
    <w:uiPriority w:val="9"/>
    <w:qFormat/>
    <w:rsid w:val="008214ED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645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645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Footer">
    <w:name w:val="footer"/>
    <w:basedOn w:val="Normal"/>
    <w:link w:val="FooterChar"/>
    <w:uiPriority w:val="99"/>
    <w:unhideWhenUsed/>
    <w:rsid w:val="00806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641D"/>
    <w:rPr>
      <w:rFonts w:eastAsia="Times New Roman" w:cs="Times New Roman"/>
      <w:szCs w:val="24"/>
    </w:rPr>
  </w:style>
  <w:style w:type="paragraph" w:styleId="ListParagraph">
    <w:name w:val="List Paragraph"/>
    <w:basedOn w:val="Normal"/>
    <w:uiPriority w:val="34"/>
    <w:qFormat/>
    <w:rsid w:val="0098772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214ED"/>
    <w:rPr>
      <w:rFonts w:eastAsiaTheme="majorEastAsia" w:cstheme="majorBidi"/>
      <w:b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6452"/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6452"/>
    <w:rPr>
      <w:rFonts w:asciiTheme="majorHAnsi" w:eastAsiaTheme="majorEastAsia" w:hAnsiTheme="majorHAnsi" w:cstheme="majorBidi"/>
      <w:i/>
      <w:iCs/>
      <w:color w:val="2F5496" w:themeColor="accent1" w:themeShade="BF"/>
      <w:szCs w:val="24"/>
    </w:rPr>
  </w:style>
  <w:style w:type="table" w:styleId="PlainTable4">
    <w:name w:val="Plain Table 4"/>
    <w:basedOn w:val="TableNormal"/>
    <w:uiPriority w:val="44"/>
    <w:rsid w:val="009E645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9E645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5">
    <w:name w:val="Plain Table 5"/>
    <w:basedOn w:val="TableNormal"/>
    <w:uiPriority w:val="45"/>
    <w:rsid w:val="009E6452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Grid">
    <w:name w:val="Table Grid"/>
    <w:basedOn w:val="TableNormal"/>
    <w:uiPriority w:val="39"/>
    <w:rsid w:val="009E64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33FE1"/>
    <w:pPr>
      <w:spacing w:line="259" w:lineRule="auto"/>
      <w:jc w:val="left"/>
      <w:outlineLvl w:val="9"/>
    </w:pPr>
    <w:rPr>
      <w:rFonts w:asciiTheme="majorHAnsi" w:hAnsiTheme="majorHAnsi"/>
      <w:b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33FE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33FE1"/>
    <w:rPr>
      <w:color w:val="0563C1" w:themeColor="hyperlink"/>
      <w:u w:val="single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  <w:tblStylePr w:type="firstRow">
      <w:rPr>
        <w:rFonts w:ascii="Calibri" w:eastAsia="Calibri" w:hAnsi="Calibri" w:cs="Calibri"/>
        <w:i/>
        <w:sz w:val="26"/>
        <w:szCs w:val="26"/>
      </w:rPr>
      <w:tblPr/>
      <w:tcPr>
        <w:tcBorders>
          <w:bottom w:val="single" w:sz="4" w:space="0" w:color="7F7F7F"/>
        </w:tcBorders>
        <w:shd w:val="clear" w:color="auto" w:fill="FFFFFF"/>
      </w:tcPr>
    </w:tblStylePr>
    <w:tblStylePr w:type="lastRow">
      <w:rPr>
        <w:rFonts w:ascii="Calibri" w:eastAsia="Calibri" w:hAnsi="Calibri" w:cs="Calibri"/>
        <w:i/>
        <w:sz w:val="26"/>
        <w:szCs w:val="26"/>
      </w:rPr>
      <w:tblPr/>
      <w:tcPr>
        <w:tcBorders>
          <w:top w:val="single" w:sz="4" w:space="0" w:color="7F7F7F"/>
        </w:tcBorders>
        <w:shd w:val="clear" w:color="auto" w:fill="FFFFFF"/>
      </w:tcPr>
    </w:tblStylePr>
    <w:tblStylePr w:type="firstCol">
      <w:pPr>
        <w:jc w:val="right"/>
      </w:pPr>
      <w:rPr>
        <w:rFonts w:ascii="Calibri" w:eastAsia="Calibri" w:hAnsi="Calibri" w:cs="Calibri"/>
        <w:i/>
        <w:sz w:val="26"/>
        <w:szCs w:val="26"/>
      </w:rPr>
      <w:tblPr/>
      <w:tcPr>
        <w:tcBorders>
          <w:right w:val="single" w:sz="4" w:space="0" w:color="7F7F7F"/>
        </w:tcBorders>
        <w:shd w:val="clear" w:color="auto" w:fill="FFFFFF"/>
      </w:tcPr>
    </w:tblStylePr>
    <w:tblStylePr w:type="lastCol">
      <w:rPr>
        <w:rFonts w:ascii="Calibri" w:eastAsia="Calibri" w:hAnsi="Calibri" w:cs="Calibri"/>
        <w:i/>
        <w:sz w:val="26"/>
        <w:szCs w:val="26"/>
      </w:rPr>
      <w:tblPr/>
      <w:tcPr>
        <w:tcBorders>
          <w:left w:val="single" w:sz="4" w:space="0" w:color="7F7F7F"/>
        </w:tcBorders>
        <w:shd w:val="clear" w:color="auto" w:fill="FFFFFF"/>
      </w:tcPr>
    </w:tblStylePr>
    <w:tblStylePr w:type="band1Vert">
      <w:tblPr/>
      <w:tcPr>
        <w:shd w:val="clear" w:color="auto" w:fill="F2F2F2"/>
      </w:tcPr>
    </w:tblStylePr>
    <w:tblStylePr w:type="band1Horz">
      <w:tblPr/>
      <w:tcPr>
        <w:shd w:val="clear" w:color="auto" w:fill="F2F2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ZQxNxIxXC68TGA0ilXJxeai9aRQ==">CgMxLjAyCGguZ2pkZ3hzMgloLjMwajB6bGwyCWguMWZvYjl0ZTIJaC4zem55c2g3MgloLjJldDkycDAyCGgudHlqY3d0MgloLjNkeTZ2a20yCWguMXQzaDVzZjIJaC40ZDM0b2c4MgloLjJzOGV5bzE4AHIhMW12SU8yQnpJRVpNeGctVlBUTFRsMzhuaGgySkh4ZkpC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465</Words>
  <Characters>2652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Mirela-Mihaela Motohoi</dc:creator>
  <cp:lastModifiedBy>Mirela-Mihaela Motohoi</cp:lastModifiedBy>
  <cp:revision>2</cp:revision>
  <dcterms:created xsi:type="dcterms:W3CDTF">2024-10-15T09:32:00Z</dcterms:created>
  <dcterms:modified xsi:type="dcterms:W3CDTF">2024-10-15T09:32:00Z</dcterms:modified>
</cp:coreProperties>
</file>