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56"/>
          <w:szCs w:val="56"/>
          <w:highlight w:val="white"/>
        </w:rPr>
      </w:pPr>
      <w:r w:rsidDel="00000000" w:rsidR="00000000" w:rsidRPr="00000000">
        <w:rPr>
          <w:sz w:val="20"/>
          <w:szCs w:val="20"/>
        </w:rPr>
        <w:drawing>
          <wp:inline distB="0" distT="0" distL="0" distR="0">
            <wp:extent cx="2968394" cy="1292732"/>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968394" cy="129273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sz w:val="144"/>
          <w:szCs w:val="144"/>
          <w:highlight w:val="white"/>
        </w:rPr>
      </w:pPr>
      <w:r w:rsidDel="00000000" w:rsidR="00000000" w:rsidRPr="00000000">
        <w:rPr>
          <w:b w:val="1"/>
          <w:sz w:val="36"/>
          <w:szCs w:val="36"/>
          <w:rtl w:val="0"/>
        </w:rPr>
        <w:t xml:space="preserve">BMIH5003</w:t>
      </w:r>
      <w:r w:rsidDel="00000000" w:rsidR="00000000" w:rsidRPr="00000000">
        <w:rPr>
          <w:rtl w:val="0"/>
        </w:rPr>
      </w:r>
    </w:p>
    <w:p w:rsidR="00000000" w:rsidDel="00000000" w:rsidP="00000000" w:rsidRDefault="00000000" w:rsidRPr="00000000" w14:paraId="00000003">
      <w:pPr>
        <w:jc w:val="center"/>
        <w:rPr>
          <w:b w:val="1"/>
          <w:sz w:val="56"/>
          <w:szCs w:val="56"/>
          <w:highlight w:val="white"/>
        </w:rPr>
      </w:pPr>
      <w:r w:rsidDel="00000000" w:rsidR="00000000" w:rsidRPr="00000000">
        <w:rPr>
          <w:b w:val="1"/>
          <w:sz w:val="56"/>
          <w:szCs w:val="56"/>
          <w:highlight w:val="white"/>
          <w:rtl w:val="0"/>
        </w:rPr>
        <w:t xml:space="preserve">Foreign Languages and Cultural Awareness</w:t>
      </w:r>
    </w:p>
    <w:p w:rsidR="00000000" w:rsidDel="00000000" w:rsidP="00000000" w:rsidRDefault="00000000" w:rsidRPr="00000000" w14:paraId="00000004">
      <w:pPr>
        <w:jc w:val="center"/>
        <w:rPr>
          <w:b w:val="1"/>
          <w:sz w:val="160"/>
          <w:szCs w:val="160"/>
          <w:highlight w:val="white"/>
        </w:rPr>
      </w:pPr>
      <w:r w:rsidDel="00000000" w:rsidR="00000000" w:rsidRPr="00000000">
        <w:rPr>
          <w:b w:val="1"/>
          <w:sz w:val="40"/>
          <w:szCs w:val="40"/>
          <w:rtl w:val="0"/>
        </w:rPr>
        <w:t xml:space="preserve">Intercultural Competence Report</w:t>
      </w:r>
      <w:r w:rsidDel="00000000" w:rsidR="00000000" w:rsidRPr="00000000">
        <w:rPr>
          <w:rtl w:val="0"/>
        </w:rPr>
      </w:r>
    </w:p>
    <w:p w:rsidR="00000000" w:rsidDel="00000000" w:rsidP="00000000" w:rsidRDefault="00000000" w:rsidRPr="00000000" w14:paraId="00000005">
      <w:pPr>
        <w:jc w:val="center"/>
        <w:rPr>
          <w:sz w:val="56"/>
          <w:szCs w:val="56"/>
          <w:highlight w:val="white"/>
        </w:rPr>
      </w:pPr>
      <w:r w:rsidDel="00000000" w:rsidR="00000000" w:rsidRPr="00000000">
        <w:rPr>
          <w:rtl w:val="0"/>
        </w:rPr>
      </w:r>
    </w:p>
    <w:p w:rsidR="00000000" w:rsidDel="00000000" w:rsidP="00000000" w:rsidRDefault="00000000" w:rsidRPr="00000000" w14:paraId="00000006">
      <w:pPr>
        <w:jc w:val="center"/>
        <w:rPr>
          <w:highlight w:val="white"/>
        </w:rPr>
      </w:pPr>
      <w:r w:rsidDel="00000000" w:rsidR="00000000" w:rsidRPr="00000000">
        <w:rPr>
          <w:highlight w:val="white"/>
          <w:rtl w:val="0"/>
        </w:rPr>
        <w:t xml:space="preserve">Student Name Sabine Studane</w:t>
      </w:r>
    </w:p>
    <w:p w:rsidR="00000000" w:rsidDel="00000000" w:rsidP="00000000" w:rsidRDefault="00000000" w:rsidRPr="00000000" w14:paraId="00000007">
      <w:pPr>
        <w:jc w:val="center"/>
        <w:rPr>
          <w:highlight w:val="white"/>
        </w:rPr>
      </w:pPr>
      <w:r w:rsidDel="00000000" w:rsidR="00000000" w:rsidRPr="00000000">
        <w:rPr>
          <w:highlight w:val="white"/>
          <w:rtl w:val="0"/>
        </w:rPr>
        <w:t xml:space="preserve">Student ID:2246648</w:t>
      </w:r>
    </w:p>
    <w:p w:rsidR="00000000" w:rsidDel="00000000" w:rsidP="00000000" w:rsidRDefault="00000000" w:rsidRPr="00000000" w14:paraId="00000008">
      <w:pPr>
        <w:widowControl w:val="1"/>
        <w:spacing w:after="160" w:line="259" w:lineRule="auto"/>
        <w:rPr>
          <w:rFonts w:ascii="Nunito" w:cs="Nunito" w:eastAsia="Nunito" w:hAnsi="Nunito"/>
          <w:b w:val="1"/>
          <w:smallCaps w:val="1"/>
          <w:color w:val="578ebe"/>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09">
      <w:pPr>
        <w:pStyle w:val="Heading1"/>
        <w:rPr/>
      </w:pPr>
      <w:bookmarkStart w:colFirst="0" w:colLast="0" w:name="_heading=h.gjdgxs" w:id="0"/>
      <w:bookmarkEnd w:id="0"/>
      <w:r w:rsidDel="00000000" w:rsidR="00000000" w:rsidRPr="00000000">
        <w:rPr>
          <w:rtl w:val="0"/>
        </w:rPr>
        <w:t xml:space="preserve">Executive Summary </w:t>
      </w:r>
    </w:p>
    <w:p w:rsidR="00000000" w:rsidDel="00000000" w:rsidP="00000000" w:rsidRDefault="00000000" w:rsidRPr="00000000" w14:paraId="0000000A">
      <w:pPr>
        <w:rPr/>
      </w:pPr>
      <w:r w:rsidDel="00000000" w:rsidR="00000000" w:rsidRPr="00000000">
        <w:rPr>
          <w:rtl w:val="0"/>
        </w:rPr>
        <w:t xml:space="preserve">This paper investigates the intricacies of leading an international group in the accommodation sector. With an emphasis on the distinctions between Germany and England, as representatives of the Germanic Anglo-Cluster, significant contrasts, communication procedures, hard-working attitudes, decision-making cycles, and collectivism versus individualism are examined. There are some obstacles like miscommunication, different work mindsets, and different decision-making styles. A decent and useful work atmosphere is recommended to be encouraged by powerful multicultural initiative strategies that include open communication, tolerance for cultural contrasts, and adaptability. Successful staff integration at the Multicultural Hotel and Spa in London depends on an understanding of and ability to overcome these hurdles.</w:t>
      </w: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240" w:line="259" w:lineRule="auto"/>
        <w:ind w:left="0" w:right="0" w:firstLine="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Differences between England and Germany (Germanic Europe)</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and Comparison Using the GLOBE Project's Culture and Leadership Study</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Challenges of Intercultural Leadership in the Hospitality Industry</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rPr>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heading=h.30j0zll" w:id="1"/>
      <w:bookmarkEnd w:id="1"/>
      <w:r w:rsidDel="00000000" w:rsidR="00000000" w:rsidRPr="00000000">
        <w:rPr>
          <w:rtl w:val="0"/>
        </w:rPr>
        <w:t xml:space="preserve">Introduction </w:t>
      </w:r>
    </w:p>
    <w:p w:rsidR="00000000" w:rsidDel="00000000" w:rsidP="00000000" w:rsidRDefault="00000000" w:rsidRPr="00000000" w14:paraId="00000018">
      <w:pPr>
        <w:spacing w:after="0" w:lineRule="auto"/>
        <w:rPr/>
      </w:pPr>
      <w:r w:rsidDel="00000000" w:rsidR="00000000" w:rsidRPr="00000000">
        <w:rPr>
          <w:rtl w:val="0"/>
        </w:rPr>
        <w:t xml:space="preserve">As I set out for the Multicultural Hotel and Spa in London, England, I hope to have a completely immersed experience in the focal point of the hospitality sector of the Anglo Cluster. With the corporate office of the hotel chain situated in Germany, I'm strategically set up to investigate the social differences and operational standards that set this branch separated. Understanding our company's way of life through this visit is essential to making sure that staff individuals moving to London in July 2024 integrate without a problem. I will meticulously describe the situation in this paper about the hotel operations in the chosen nation, brand guidelines, and possible difficulties in leading a multicultural workforce in the energetic metropolis of London.</w:t>
      </w:r>
    </w:p>
    <w:p w:rsidR="00000000" w:rsidDel="00000000" w:rsidP="00000000" w:rsidRDefault="00000000" w:rsidRPr="00000000" w14:paraId="00000019">
      <w:pPr>
        <w:pStyle w:val="Heading1"/>
        <w:rPr/>
      </w:pPr>
      <w:bookmarkStart w:colFirst="0" w:colLast="0" w:name="_heading=h.1fob9te" w:id="2"/>
      <w:bookmarkEnd w:id="2"/>
      <w:r w:rsidDel="00000000" w:rsidR="00000000" w:rsidRPr="00000000">
        <w:rPr>
          <w:rtl w:val="0"/>
        </w:rPr>
        <w:t xml:space="preserve">Main Body</w:t>
      </w:r>
    </w:p>
    <w:p w:rsidR="00000000" w:rsidDel="00000000" w:rsidP="00000000" w:rsidRDefault="00000000" w:rsidRPr="00000000" w14:paraId="0000001A">
      <w:pPr>
        <w:pStyle w:val="Heading2"/>
        <w:ind w:left="0" w:firstLine="0"/>
        <w:rPr/>
      </w:pPr>
      <w:bookmarkStart w:colFirst="0" w:colLast="0" w:name="_heading=h.3znysh7" w:id="3"/>
      <w:bookmarkEnd w:id="3"/>
      <w:r w:rsidDel="00000000" w:rsidR="00000000" w:rsidRPr="00000000">
        <w:rPr>
          <w:rtl w:val="0"/>
        </w:rPr>
        <w:t xml:space="preserve">Key Differences between England and Germany (Germanic Europe)</w:t>
      </w:r>
    </w:p>
    <w:p w:rsidR="00000000" w:rsidDel="00000000" w:rsidP="00000000" w:rsidRDefault="00000000" w:rsidRPr="00000000" w14:paraId="0000001B">
      <w:pPr>
        <w:rPr>
          <w:highlight w:val="white"/>
        </w:rPr>
      </w:pPr>
      <w:r w:rsidDel="00000000" w:rsidR="00000000" w:rsidRPr="00000000">
        <w:rPr>
          <w:b w:val="1"/>
          <w:rtl w:val="0"/>
        </w:rPr>
        <w:t xml:space="preserve">Culture and Customs:</w:t>
      </w:r>
      <w:r w:rsidDel="00000000" w:rsidR="00000000" w:rsidRPr="00000000">
        <w:rPr>
          <w:rtl w:val="0"/>
        </w:rPr>
        <w:t xml:space="preserve"> England and Germany have distinct cultural differences despite sharing some similarities as Western European countries. In England, there are serious areas of strength for individualism and personal space, while in Germany, there's a harmony between individualism and collectivism, with a more prominent emphasis on community and having a place </w:t>
      </w:r>
      <w:r w:rsidDel="00000000" w:rsidR="00000000" w:rsidRPr="00000000">
        <w:rPr>
          <w:highlight w:val="white"/>
          <w:rtl w:val="0"/>
        </w:rPr>
        <w:t xml:space="preserve">(Ozbilgin, Tatli, and Jonsen, 2017). </w:t>
      </w:r>
      <w:r w:rsidDel="00000000" w:rsidR="00000000" w:rsidRPr="00000000">
        <w:rPr>
          <w:rtl w:val="0"/>
        </w:rPr>
        <w:t xml:space="preserve"> In England, it's not unexpected to welcome with a handshake, while in Germany, individuals could pick a more conventional handshake or gesture, especially in proficient settings. Punctuality is profoundly valued in Germany, while in England, there's a more loosened-up attitude towards time.</w:t>
      </w:r>
      <w:r w:rsidDel="00000000" w:rsidR="00000000" w:rsidRPr="00000000">
        <w:rPr>
          <w:rtl w:val="0"/>
        </w:rPr>
      </w:r>
    </w:p>
    <w:p w:rsidR="00000000" w:rsidDel="00000000" w:rsidP="00000000" w:rsidRDefault="00000000" w:rsidRPr="00000000" w14:paraId="0000001C">
      <w:pPr>
        <w:rPr>
          <w:highlight w:val="white"/>
        </w:rPr>
      </w:pPr>
      <w:r w:rsidDel="00000000" w:rsidR="00000000" w:rsidRPr="00000000">
        <w:rPr>
          <w:b w:val="1"/>
          <w:rtl w:val="0"/>
        </w:rPr>
        <w:t xml:space="preserve">Work Culture:</w:t>
      </w:r>
      <w:r w:rsidDel="00000000" w:rsidR="00000000" w:rsidRPr="00000000">
        <w:rPr>
          <w:rtl w:val="0"/>
        </w:rPr>
        <w:t xml:space="preserve"> In England, there's a more hierarchical construction in the workplace, where regard for power is significant. Germans likewise regard association yet will generally have a more straightforward communication style. Germans favour clear directions and will generally be very detail-oriented, while the English often value creativity and innovation </w:t>
      </w:r>
      <w:r w:rsidDel="00000000" w:rsidR="00000000" w:rsidRPr="00000000">
        <w:rPr>
          <w:highlight w:val="white"/>
          <w:rtl w:val="0"/>
        </w:rPr>
        <w:t xml:space="preserve">(Köllen, 2021). </w:t>
      </w:r>
    </w:p>
    <w:p w:rsidR="00000000" w:rsidDel="00000000" w:rsidP="00000000" w:rsidRDefault="00000000" w:rsidRPr="00000000" w14:paraId="0000001D">
      <w:pPr>
        <w:pStyle w:val="Heading2"/>
        <w:ind w:left="0" w:firstLine="0"/>
        <w:rPr/>
      </w:pPr>
      <w:bookmarkStart w:colFirst="0" w:colLast="0" w:name="_heading=h.2et92p0" w:id="4"/>
      <w:bookmarkEnd w:id="4"/>
      <w:r w:rsidDel="00000000" w:rsidR="00000000" w:rsidRPr="00000000">
        <w:rPr>
          <w:rtl w:val="0"/>
        </w:rPr>
        <w:t xml:space="preserve">Analysis and Comparison Using the GLOBE Project's Culture and Leadership Study</w:t>
      </w:r>
    </w:p>
    <w:p w:rsidR="00000000" w:rsidDel="00000000" w:rsidP="00000000" w:rsidRDefault="00000000" w:rsidRPr="00000000" w14:paraId="0000001E">
      <w:pPr>
        <w:rPr>
          <w:highlight w:val="white"/>
        </w:rPr>
      </w:pPr>
      <w:r w:rsidDel="00000000" w:rsidR="00000000" w:rsidRPr="00000000">
        <w:rPr>
          <w:b w:val="1"/>
          <w:rtl w:val="0"/>
        </w:rPr>
        <w:t xml:space="preserve">Power Distance: </w:t>
      </w:r>
      <w:r w:rsidDel="00000000" w:rsidR="00000000" w:rsidRPr="00000000">
        <w:rPr>
          <w:rtl w:val="0"/>
        </w:rPr>
        <w:t xml:space="preserve">Germany tends to have a lower power distance compared to England. This means that Germans are more comfortable with questioning authority and expect leaders to consult with subordinates. In England, there's a higher power distance where employees might be more reluctant to challenge their superiors </w:t>
      </w:r>
      <w:r w:rsidDel="00000000" w:rsidR="00000000" w:rsidRPr="00000000">
        <w:rPr>
          <w:highlight w:val="white"/>
          <w:rtl w:val="0"/>
        </w:rPr>
        <w:t xml:space="preserve">(Hunt et al., 2018). </w:t>
      </w:r>
    </w:p>
    <w:p w:rsidR="00000000" w:rsidDel="00000000" w:rsidP="00000000" w:rsidRDefault="00000000" w:rsidRPr="00000000" w14:paraId="0000001F">
      <w:pPr>
        <w:spacing w:after="0" w:lineRule="auto"/>
        <w:rPr/>
      </w:pPr>
      <w:r w:rsidDel="00000000" w:rsidR="00000000" w:rsidRPr="00000000">
        <w:rPr>
          <w:b w:val="1"/>
          <w:rtl w:val="0"/>
        </w:rPr>
        <w:t xml:space="preserve">Uncertainty Avoidance: </w:t>
      </w:r>
      <w:r w:rsidDel="00000000" w:rsidR="00000000" w:rsidRPr="00000000">
        <w:rPr>
          <w:rtl w:val="0"/>
        </w:rPr>
        <w:t xml:space="preserve">Germany typically has a higher uncertainty avoidance compared to England. Germans prefer clear rules and guidelines, and they tend to be more risk-averse. On the other hand, England has a lower uncertainty avoidance, allowing for more flexibility and adaptability. People are urged by this cultural characteristic to welcome change, take chances, and seize fresh chances (</w:t>
      </w:r>
      <w:r w:rsidDel="00000000" w:rsidR="00000000" w:rsidRPr="00000000">
        <w:rPr>
          <w:highlight w:val="white"/>
          <w:rtl w:val="0"/>
        </w:rPr>
        <w:t xml:space="preserve">Temmer, 2023)</w:t>
      </w:r>
      <w:r w:rsidDel="00000000" w:rsidR="00000000" w:rsidRPr="00000000">
        <w:rPr>
          <w:rtl w:val="0"/>
        </w:rPr>
        <w:t xml:space="preserve">. In the hotel business, this might show up as cutting-edge services, original problem-solving techniques, and a readiness to test out novel concepts. Workers are more prone to adjust to unforeseen circumstances and rise to difficulties with optimism. But this reduced avoidance of uncertainty might also result in a tolerance for ambiguity, in which case procedures and processes might be loosely defined. In such a situation, effective leadership is giving direction while fostering independence and originality.</w:t>
      </w:r>
    </w:p>
    <w:p w:rsidR="00000000" w:rsidDel="00000000" w:rsidP="00000000" w:rsidRDefault="00000000" w:rsidRPr="00000000" w14:paraId="00000020">
      <w:pPr>
        <w:rPr>
          <w:highlight w:val="white"/>
        </w:rPr>
      </w:pPr>
      <w:r w:rsidDel="00000000" w:rsidR="00000000" w:rsidRPr="00000000">
        <w:rPr>
          <w:b w:val="1"/>
          <w:rtl w:val="0"/>
        </w:rPr>
        <w:t xml:space="preserve">Collectivism vs. Individualism: </w:t>
      </w:r>
      <w:r w:rsidDel="00000000" w:rsidR="00000000" w:rsidRPr="00000000">
        <w:rPr>
          <w:rtl w:val="0"/>
        </w:rPr>
        <w:t xml:space="preserve">Germany tends toward collectivism, giving group harmony and consensus decision-making priority. Labourers regard collaboration and teamwork and go for the gold. England, then again, values individualism, giving one's own accomplishments and targets first concern. Representatives are pushed to prevail all alone, which as often as possible creates a cutthroat work environment. In the lodging industry, this cultural dissimilarity can influence leadership styles and group communications. Group points might mean a lot more to German workers than individual objectives to English representatives. To establish a durable and useful workplace, viable</w:t>
      </w:r>
      <w:r w:rsidDel="00000000" w:rsidR="00000000" w:rsidRPr="00000000">
        <w:rPr>
          <w:b w:val="1"/>
          <w:rtl w:val="0"/>
        </w:rPr>
        <w:t xml:space="preserve"> </w:t>
      </w:r>
      <w:r w:rsidDel="00000000" w:rsidR="00000000" w:rsidRPr="00000000">
        <w:rPr>
          <w:rtl w:val="0"/>
        </w:rPr>
        <w:t xml:space="preserve">multicultural leadership should have the option to perceive and adjust different cultural interests </w:t>
      </w:r>
      <w:r w:rsidDel="00000000" w:rsidR="00000000" w:rsidRPr="00000000">
        <w:rPr>
          <w:highlight w:val="white"/>
          <w:rtl w:val="0"/>
        </w:rPr>
        <w:t xml:space="preserve">(Frijns, Dodd, and Cimerova, 2016). </w:t>
      </w:r>
    </w:p>
    <w:p w:rsidR="00000000" w:rsidDel="00000000" w:rsidP="00000000" w:rsidRDefault="00000000" w:rsidRPr="00000000" w14:paraId="00000021">
      <w:pPr>
        <w:pStyle w:val="Heading2"/>
        <w:ind w:left="0" w:firstLine="0"/>
        <w:rPr/>
      </w:pPr>
      <w:bookmarkStart w:colFirst="0" w:colLast="0" w:name="_heading=h.tyjcwt" w:id="5"/>
      <w:bookmarkEnd w:id="5"/>
      <w:r w:rsidDel="00000000" w:rsidR="00000000" w:rsidRPr="00000000">
        <w:rPr>
          <w:rtl w:val="0"/>
        </w:rPr>
        <w:t xml:space="preserve">Challenges of Intercultural Leadership in the Hospitality Industry</w:t>
      </w:r>
    </w:p>
    <w:p w:rsidR="00000000" w:rsidDel="00000000" w:rsidP="00000000" w:rsidRDefault="00000000" w:rsidRPr="00000000" w14:paraId="00000022">
      <w:pPr>
        <w:rPr>
          <w:highlight w:val="white"/>
        </w:rPr>
      </w:pPr>
      <w:r w:rsidDel="00000000" w:rsidR="00000000" w:rsidRPr="00000000">
        <w:rPr>
          <w:b w:val="1"/>
          <w:rtl w:val="0"/>
        </w:rPr>
        <w:t xml:space="preserve">Communication Styles: </w:t>
      </w:r>
      <w:r w:rsidDel="00000000" w:rsidR="00000000" w:rsidRPr="00000000">
        <w:rPr>
          <w:rtl w:val="0"/>
        </w:rPr>
        <w:t xml:space="preserve">A seamless operation and happy guests in the hospitality sector depend on good communication. However, the different communication patterns of German and English-speaking staff individuals present one of the challenges for intercultural leadership. English speakers generally convey indirect communication, focusing on context and nuances, while Germans favour immediate and straightforward communication. Ignorance of this distinction can bring about miscommunication or questions </w:t>
      </w:r>
      <w:r w:rsidDel="00000000" w:rsidR="00000000" w:rsidRPr="00000000">
        <w:rPr>
          <w:highlight w:val="white"/>
          <w:rtl w:val="0"/>
        </w:rPr>
        <w:t xml:space="preserve">(Kalargyrou and Costen, 2017). </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3">
      <w:pPr>
        <w:rPr>
          <w:highlight w:val="white"/>
        </w:rPr>
      </w:pPr>
      <w:r w:rsidDel="00000000" w:rsidR="00000000" w:rsidRPr="00000000">
        <w:rPr>
          <w:b w:val="1"/>
          <w:rtl w:val="0"/>
        </w:rPr>
        <w:t xml:space="preserve">Work Ethic and Time Management: </w:t>
      </w:r>
      <w:r w:rsidDel="00000000" w:rsidR="00000000" w:rsidRPr="00000000">
        <w:rPr>
          <w:rtl w:val="0"/>
        </w:rPr>
        <w:t xml:space="preserve">Work ethic and time management give still another trouble. While the work culture in England is sometimes viewed as additionally laid back, Germans are notable for their strong work ethic and punctuality. Particularly on the off chance that deadlines are missed or on the other hand assuming expectations about working hours are unique, this disparity can lead to pressure. An English colleague's adaptable attitude to time management, for instance, can irritate a German worker used to unbending timetables (</w:t>
      </w:r>
      <w:r w:rsidDel="00000000" w:rsidR="00000000" w:rsidRPr="00000000">
        <w:rPr>
          <w:highlight w:val="white"/>
          <w:rtl w:val="0"/>
        </w:rPr>
        <w:t xml:space="preserve">Jones-Carmack and Criscione-Naylor, 2022).</w:t>
      </w:r>
      <w:r w:rsidDel="00000000" w:rsidR="00000000" w:rsidRPr="00000000">
        <w:rPr>
          <w:rtl w:val="0"/>
        </w:rPr>
        <w:t xml:space="preserve"> On the other hand, the English worker can find the German's inflexibility to be severe or unyielding. To assure yield while honouring different working styles, compelling leadership needs to define common targets, create clear expectations, and promote an accountability culture </w:t>
      </w:r>
      <w:r w:rsidDel="00000000" w:rsidR="00000000" w:rsidRPr="00000000">
        <w:rPr>
          <w:highlight w:val="white"/>
          <w:rtl w:val="0"/>
        </w:rPr>
        <w:t xml:space="preserve">(Sharma, 2016).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widowControl w:val="1"/>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heading=h.3dy6vkm" w:id="6"/>
      <w:bookmarkEnd w:id="6"/>
      <w:r w:rsidDel="00000000" w:rsidR="00000000" w:rsidRPr="00000000">
        <w:rPr>
          <w:rtl w:val="0"/>
        </w:rPr>
        <w:t xml:space="preserve">Recommendations</w:t>
      </w:r>
    </w:p>
    <w:p w:rsidR="00000000" w:rsidDel="00000000" w:rsidP="00000000" w:rsidRDefault="00000000" w:rsidRPr="00000000" w14:paraId="00000027">
      <w:pPr>
        <w:rPr/>
      </w:pPr>
      <w:r w:rsidDel="00000000" w:rsidR="00000000" w:rsidRPr="00000000">
        <w:rPr>
          <w:rtl w:val="0"/>
        </w:rPr>
        <w:t xml:space="preserve">Germany and England have different decision-making methods. Making decisions in Germany usually follows broad research and consultation, giving precision and consensus-building top needs. On the other hand, in England decisions may be taken all the more quickly, stressing flexibility and agility.</w:t>
      </w:r>
    </w:p>
    <w:p w:rsidR="00000000" w:rsidDel="00000000" w:rsidP="00000000" w:rsidRDefault="00000000" w:rsidRPr="00000000" w14:paraId="00000028">
      <w:pPr>
        <w:rPr/>
      </w:pPr>
      <w:r w:rsidDel="00000000" w:rsidR="00000000" w:rsidRPr="00000000">
        <w:rPr>
          <w:rtl w:val="0"/>
        </w:rPr>
        <w:t xml:space="preserve">Combining these strategies may be troublesome, especially in the Hotel sector where brief reactions are often required. The English approach could appear to be too rushed or insufficiently extensive to German management, whereas the German system could appear to be administrative or time-consuming to an English manager (</w:t>
      </w:r>
      <w:r w:rsidDel="00000000" w:rsidR="00000000" w:rsidRPr="00000000">
        <w:rPr>
          <w:highlight w:val="white"/>
          <w:rtl w:val="0"/>
        </w:rPr>
        <w:t xml:space="preserve">Brown et al., 2017)</w:t>
      </w:r>
      <w:r w:rsidDel="00000000" w:rsidR="00000000" w:rsidRPr="00000000">
        <w:rPr>
          <w:rtl w:val="0"/>
        </w:rPr>
        <w:t xml:space="preserve">. </w:t>
      </w:r>
    </w:p>
    <w:p w:rsidR="00000000" w:rsidDel="00000000" w:rsidP="00000000" w:rsidRDefault="00000000" w:rsidRPr="00000000" w14:paraId="00000029">
      <w:pPr>
        <w:rPr>
          <w:highlight w:val="white"/>
        </w:rPr>
      </w:pPr>
      <w:r w:rsidDel="00000000" w:rsidR="00000000" w:rsidRPr="00000000">
        <w:rPr>
          <w:rtl w:val="0"/>
        </w:rPr>
        <w:t xml:space="preserve">To guarantee the best outcomes, powerful leadership means recognising and valuing the advantages of each strategy, encouraging a collaborative decision-making culture, and modifying plans in response to changing circumstances </w:t>
      </w:r>
      <w:r w:rsidDel="00000000" w:rsidR="00000000" w:rsidRPr="00000000">
        <w:rPr>
          <w:highlight w:val="white"/>
          <w:rtl w:val="0"/>
        </w:rPr>
        <w:t xml:space="preserve">(Brown, Brown, and Nandedkar, 2019). </w:t>
      </w:r>
    </w:p>
    <w:p w:rsidR="00000000" w:rsidDel="00000000" w:rsidP="00000000" w:rsidRDefault="00000000" w:rsidRPr="00000000" w14:paraId="0000002A">
      <w:pPr>
        <w:rPr>
          <w:highlight w:val="white"/>
        </w:rPr>
      </w:pPr>
      <w:r w:rsidDel="00000000" w:rsidR="00000000" w:rsidRPr="00000000">
        <w:rPr>
          <w:rtl w:val="0"/>
        </w:rPr>
        <w:t xml:space="preserve">At the point when an English representative responds vaguely, for example, a German manager may consider it to be incompetence or uncertainty, yet the English worker may see the German management's straightforwardness as harsh or horrible. To further develop comprehension and teamwork, leaders need to help open lines of communication, clarity, and cultural responsiveness training.</w:t>
      </w:r>
      <w:r w:rsidDel="00000000" w:rsidR="00000000" w:rsidRPr="00000000">
        <w:rPr>
          <w:rtl w:val="0"/>
        </w:rPr>
      </w:r>
    </w:p>
    <w:p w:rsidR="00000000" w:rsidDel="00000000" w:rsidP="00000000" w:rsidRDefault="00000000" w:rsidRPr="00000000" w14:paraId="0000002B">
      <w:pPr>
        <w:rPr>
          <w:highlight w:val="white"/>
        </w:rPr>
      </w:pPr>
      <w:r w:rsidDel="00000000" w:rsidR="00000000" w:rsidRPr="00000000">
        <w:rPr>
          <w:rtl w:val="0"/>
        </w:rPr>
      </w:r>
    </w:p>
    <w:p w:rsidR="00000000" w:rsidDel="00000000" w:rsidP="00000000" w:rsidRDefault="00000000" w:rsidRPr="00000000" w14:paraId="0000002C">
      <w:pPr>
        <w:widowControl w:val="1"/>
        <w:spacing w:after="160" w:before="0" w:line="259" w:lineRule="auto"/>
        <w:jc w:val="left"/>
        <w:rPr>
          <w:b w:val="1"/>
          <w:color w:val="000000"/>
          <w:sz w:val="32"/>
          <w:szCs w:val="32"/>
        </w:rPr>
      </w:pPr>
      <w:bookmarkStart w:colFirst="0" w:colLast="0" w:name="_heading=h.1t3h5sf" w:id="7"/>
      <w:bookmarkEnd w:id="7"/>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heading=h.4d34og8" w:id="8"/>
      <w:bookmarkEnd w:id="8"/>
      <w:r w:rsidDel="00000000" w:rsidR="00000000" w:rsidRPr="00000000">
        <w:rPr>
          <w:rtl w:val="0"/>
        </w:rPr>
        <w:t xml:space="preserve">Conclusion </w:t>
      </w:r>
    </w:p>
    <w:p w:rsidR="00000000" w:rsidDel="00000000" w:rsidP="00000000" w:rsidRDefault="00000000" w:rsidRPr="00000000" w14:paraId="0000002E">
      <w:pPr>
        <w:rPr/>
      </w:pPr>
      <w:r w:rsidDel="00000000" w:rsidR="00000000" w:rsidRPr="00000000">
        <w:rPr>
          <w:rtl w:val="0"/>
        </w:rPr>
        <w:t xml:space="preserve">In conclusion, managing an international team in the hospitality sector requires a deep understanding of cultural differences, skilful communication, and adaptability. Leaders who understand and appreciate these variances can create a useful and peaceful climate where individuals from all cultural origins flourish. Open lines of communication and a dedication to diversity allow leaders to close cultural partitions, advance regard amongst individuals, and establish a collaborative and innovative atmosphere. Ultimately, in a globalised market, hospitality management can improve team performance, improve guest experiences, and propel company success by seeing ethnic diversity as a strength.</w:t>
      </w:r>
    </w:p>
    <w:p w:rsidR="00000000" w:rsidDel="00000000" w:rsidP="00000000" w:rsidRDefault="00000000" w:rsidRPr="00000000" w14:paraId="0000002F">
      <w:pPr>
        <w:rPr>
          <w:highlight w:val="white"/>
        </w:rPr>
      </w:pPr>
      <w:r w:rsidDel="00000000" w:rsidR="00000000" w:rsidRPr="00000000">
        <w:rPr>
          <w:highlight w:val="white"/>
          <w:rtl w:val="0"/>
        </w:rPr>
        <w:t xml:space="preserve">  </w:t>
      </w:r>
    </w:p>
    <w:p w:rsidR="00000000" w:rsidDel="00000000" w:rsidP="00000000" w:rsidRDefault="00000000" w:rsidRPr="00000000" w14:paraId="00000030">
      <w:pPr>
        <w:widowControl w:val="1"/>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pPr>
      <w:bookmarkStart w:colFirst="0" w:colLast="0" w:name="_heading=h.2s8eyo1" w:id="9"/>
      <w:bookmarkEnd w:id="9"/>
      <w:r w:rsidDel="00000000" w:rsidR="00000000" w:rsidRPr="00000000">
        <w:rPr>
          <w:rtl w:val="0"/>
        </w:rPr>
        <w:t xml:space="preserve">References </w:t>
      </w:r>
    </w:p>
    <w:p w:rsidR="00000000" w:rsidDel="00000000" w:rsidP="00000000" w:rsidRDefault="00000000" w:rsidRPr="00000000" w14:paraId="00000032">
      <w:pPr>
        <w:rPr>
          <w:highlight w:val="white"/>
        </w:rPr>
      </w:pPr>
      <w:r w:rsidDel="00000000" w:rsidR="00000000" w:rsidRPr="00000000">
        <w:rPr>
          <w:highlight w:val="white"/>
          <w:rtl w:val="0"/>
        </w:rPr>
        <w:t xml:space="preserve">Brown, M., Brown, R.S. and Nandedkar, A., (2019). Transformational leadership theory and exploring the perceptions of diversity management in higher education. </w:t>
      </w:r>
      <w:r w:rsidDel="00000000" w:rsidR="00000000" w:rsidRPr="00000000">
        <w:rPr>
          <w:i w:val="1"/>
          <w:highlight w:val="white"/>
          <w:rtl w:val="0"/>
        </w:rPr>
        <w:t xml:space="preserve">Journal of Higher Education Theory &amp; Practice</w:t>
      </w:r>
      <w:r w:rsidDel="00000000" w:rsidR="00000000" w:rsidRPr="00000000">
        <w:rPr>
          <w:highlight w:val="white"/>
          <w:rtl w:val="0"/>
        </w:rPr>
        <w:t xml:space="preserve">, </w:t>
      </w:r>
      <w:r w:rsidDel="00000000" w:rsidR="00000000" w:rsidRPr="00000000">
        <w:rPr>
          <w:i w:val="1"/>
          <w:highlight w:val="white"/>
          <w:rtl w:val="0"/>
        </w:rPr>
        <w:t xml:space="preserve">19</w:t>
      </w:r>
      <w:r w:rsidDel="00000000" w:rsidR="00000000" w:rsidRPr="00000000">
        <w:rPr>
          <w:highlight w:val="white"/>
          <w:rtl w:val="0"/>
        </w:rPr>
        <w:t xml:space="preserve">(7).</w:t>
      </w:r>
    </w:p>
    <w:p w:rsidR="00000000" w:rsidDel="00000000" w:rsidP="00000000" w:rsidRDefault="00000000" w:rsidRPr="00000000" w14:paraId="00000033">
      <w:pPr>
        <w:rPr>
          <w:highlight w:val="white"/>
        </w:rPr>
      </w:pPr>
      <w:r w:rsidDel="00000000" w:rsidR="00000000" w:rsidRPr="00000000">
        <w:rPr>
          <w:highlight w:val="white"/>
          <w:rtl w:val="0"/>
        </w:rPr>
        <w:t xml:space="preserve">Brown, N.A., Rovins, J.E., Feldmann-Jensen, S., Orchiston, C. and Johnston, D., (2017). Exploring disaster resilience within the hotel sector: A systematic review of the literature. </w:t>
      </w:r>
      <w:r w:rsidDel="00000000" w:rsidR="00000000" w:rsidRPr="00000000">
        <w:rPr>
          <w:i w:val="1"/>
          <w:highlight w:val="white"/>
          <w:rtl w:val="0"/>
        </w:rPr>
        <w:t xml:space="preserve">International Journal of Disaster Risk Reduction</w:t>
      </w:r>
      <w:r w:rsidDel="00000000" w:rsidR="00000000" w:rsidRPr="00000000">
        <w:rPr>
          <w:highlight w:val="white"/>
          <w:rtl w:val="0"/>
        </w:rPr>
        <w:t xml:space="preserve">, </w:t>
      </w:r>
      <w:r w:rsidDel="00000000" w:rsidR="00000000" w:rsidRPr="00000000">
        <w:rPr>
          <w:i w:val="1"/>
          <w:highlight w:val="white"/>
          <w:rtl w:val="0"/>
        </w:rPr>
        <w:t xml:space="preserve">22</w:t>
      </w:r>
      <w:r w:rsidDel="00000000" w:rsidR="00000000" w:rsidRPr="00000000">
        <w:rPr>
          <w:highlight w:val="white"/>
          <w:rtl w:val="0"/>
        </w:rPr>
        <w:t xml:space="preserve">, pp.362-370.</w:t>
      </w:r>
    </w:p>
    <w:p w:rsidR="00000000" w:rsidDel="00000000" w:rsidP="00000000" w:rsidRDefault="00000000" w:rsidRPr="00000000" w14:paraId="00000034">
      <w:pPr>
        <w:rPr>
          <w:highlight w:val="white"/>
        </w:rPr>
      </w:pPr>
      <w:r w:rsidDel="00000000" w:rsidR="00000000" w:rsidRPr="00000000">
        <w:rPr>
          <w:highlight w:val="white"/>
          <w:rtl w:val="0"/>
        </w:rPr>
        <w:t xml:space="preserve">Frijns, B., Dodd, O. and Cimerova, H., (2016). The impact of cultural diversity in corporate boards on firm performance. </w:t>
      </w:r>
      <w:r w:rsidDel="00000000" w:rsidR="00000000" w:rsidRPr="00000000">
        <w:rPr>
          <w:i w:val="1"/>
          <w:highlight w:val="white"/>
          <w:rtl w:val="0"/>
        </w:rPr>
        <w:t xml:space="preserve">Journal of Corporate Finance</w:t>
      </w:r>
      <w:r w:rsidDel="00000000" w:rsidR="00000000" w:rsidRPr="00000000">
        <w:rPr>
          <w:highlight w:val="white"/>
          <w:rtl w:val="0"/>
        </w:rPr>
        <w:t xml:space="preserve">, </w:t>
      </w:r>
      <w:r w:rsidDel="00000000" w:rsidR="00000000" w:rsidRPr="00000000">
        <w:rPr>
          <w:i w:val="1"/>
          <w:highlight w:val="white"/>
          <w:rtl w:val="0"/>
        </w:rPr>
        <w:t xml:space="preserve">41</w:t>
      </w:r>
      <w:r w:rsidDel="00000000" w:rsidR="00000000" w:rsidRPr="00000000">
        <w:rPr>
          <w:highlight w:val="white"/>
          <w:rtl w:val="0"/>
        </w:rPr>
        <w:t xml:space="preserve">, pp.521-541.</w:t>
      </w:r>
    </w:p>
    <w:p w:rsidR="00000000" w:rsidDel="00000000" w:rsidP="00000000" w:rsidRDefault="00000000" w:rsidRPr="00000000" w14:paraId="00000035">
      <w:pPr>
        <w:rPr>
          <w:highlight w:val="white"/>
        </w:rPr>
      </w:pPr>
      <w:r w:rsidDel="00000000" w:rsidR="00000000" w:rsidRPr="00000000">
        <w:rPr>
          <w:highlight w:val="white"/>
          <w:rtl w:val="0"/>
        </w:rPr>
        <w:t xml:space="preserve">Hunt, V., Prince, S., Dixon-Fyle, S. and Yee, L., (2018). Delivering through diversity.</w:t>
      </w:r>
    </w:p>
    <w:p w:rsidR="00000000" w:rsidDel="00000000" w:rsidP="00000000" w:rsidRDefault="00000000" w:rsidRPr="00000000" w14:paraId="00000036">
      <w:pPr>
        <w:rPr>
          <w:highlight w:val="white"/>
        </w:rPr>
      </w:pPr>
      <w:r w:rsidDel="00000000" w:rsidR="00000000" w:rsidRPr="00000000">
        <w:rPr>
          <w:highlight w:val="white"/>
          <w:rtl w:val="0"/>
        </w:rPr>
        <w:t xml:space="preserve">Jones-Carmack, J. and Criscione-Naylor, N., (2022). The impact of relational demography and communication apprehension on follower perceptions of leader–follower relationships in the hospitality industry. </w:t>
      </w:r>
      <w:r w:rsidDel="00000000" w:rsidR="00000000" w:rsidRPr="00000000">
        <w:rPr>
          <w:i w:val="1"/>
          <w:highlight w:val="white"/>
          <w:rtl w:val="0"/>
        </w:rPr>
        <w:t xml:space="preserve">International Hospitality Review</w:t>
      </w:r>
      <w:r w:rsidDel="00000000" w:rsidR="00000000" w:rsidRPr="00000000">
        <w:rPr>
          <w:highlight w:val="white"/>
          <w:rtl w:val="0"/>
        </w:rPr>
        <w:t xml:space="preserve">, </w:t>
      </w:r>
      <w:r w:rsidDel="00000000" w:rsidR="00000000" w:rsidRPr="00000000">
        <w:rPr>
          <w:i w:val="1"/>
          <w:highlight w:val="white"/>
          <w:rtl w:val="0"/>
        </w:rPr>
        <w:t xml:space="preserve">36</w:t>
      </w:r>
      <w:r w:rsidDel="00000000" w:rsidR="00000000" w:rsidRPr="00000000">
        <w:rPr>
          <w:highlight w:val="white"/>
          <w:rtl w:val="0"/>
        </w:rPr>
        <w:t xml:space="preserve">(1), pp.83-103.</w:t>
      </w:r>
    </w:p>
    <w:p w:rsidR="00000000" w:rsidDel="00000000" w:rsidP="00000000" w:rsidRDefault="00000000" w:rsidRPr="00000000" w14:paraId="00000037">
      <w:pPr>
        <w:rPr>
          <w:highlight w:val="white"/>
        </w:rPr>
      </w:pPr>
      <w:r w:rsidDel="00000000" w:rsidR="00000000" w:rsidRPr="00000000">
        <w:rPr>
          <w:highlight w:val="white"/>
          <w:rtl w:val="0"/>
        </w:rPr>
        <w:t xml:space="preserve">Kalargyrou, V. and Costen, W., (2017). Diversity management research in hospitality and tourism: past, present and future. </w:t>
      </w:r>
      <w:r w:rsidDel="00000000" w:rsidR="00000000" w:rsidRPr="00000000">
        <w:rPr>
          <w:i w:val="1"/>
          <w:highlight w:val="white"/>
          <w:rtl w:val="0"/>
        </w:rPr>
        <w:t xml:space="preserve">International Journal of Contemporary Hospitality Management</w:t>
      </w:r>
      <w:r w:rsidDel="00000000" w:rsidR="00000000" w:rsidRPr="00000000">
        <w:rPr>
          <w:highlight w:val="white"/>
          <w:rtl w:val="0"/>
        </w:rPr>
        <w:t xml:space="preserve">, </w:t>
      </w:r>
      <w:r w:rsidDel="00000000" w:rsidR="00000000" w:rsidRPr="00000000">
        <w:rPr>
          <w:i w:val="1"/>
          <w:highlight w:val="white"/>
          <w:rtl w:val="0"/>
        </w:rPr>
        <w:t xml:space="preserve">29</w:t>
      </w:r>
      <w:r w:rsidDel="00000000" w:rsidR="00000000" w:rsidRPr="00000000">
        <w:rPr>
          <w:highlight w:val="white"/>
          <w:rtl w:val="0"/>
        </w:rPr>
        <w:t xml:space="preserve">(1), pp.68-114.</w:t>
      </w:r>
    </w:p>
    <w:p w:rsidR="00000000" w:rsidDel="00000000" w:rsidP="00000000" w:rsidRDefault="00000000" w:rsidRPr="00000000" w14:paraId="00000038">
      <w:pPr>
        <w:rPr>
          <w:highlight w:val="white"/>
        </w:rPr>
      </w:pPr>
      <w:r w:rsidDel="00000000" w:rsidR="00000000" w:rsidRPr="00000000">
        <w:rPr>
          <w:highlight w:val="white"/>
          <w:rtl w:val="0"/>
        </w:rPr>
        <w:t xml:space="preserve">Köllen, T., (2021). Diversity management: A critical review and agenda for the future. </w:t>
      </w:r>
      <w:r w:rsidDel="00000000" w:rsidR="00000000" w:rsidRPr="00000000">
        <w:rPr>
          <w:i w:val="1"/>
          <w:highlight w:val="white"/>
          <w:rtl w:val="0"/>
        </w:rPr>
        <w:t xml:space="preserve">Journal of Management Inquiry</w:t>
      </w:r>
      <w:r w:rsidDel="00000000" w:rsidR="00000000" w:rsidRPr="00000000">
        <w:rPr>
          <w:highlight w:val="white"/>
          <w:rtl w:val="0"/>
        </w:rPr>
        <w:t xml:space="preserve">, </w:t>
      </w:r>
      <w:r w:rsidDel="00000000" w:rsidR="00000000" w:rsidRPr="00000000">
        <w:rPr>
          <w:i w:val="1"/>
          <w:highlight w:val="white"/>
          <w:rtl w:val="0"/>
        </w:rPr>
        <w:t xml:space="preserve">30</w:t>
      </w:r>
      <w:r w:rsidDel="00000000" w:rsidR="00000000" w:rsidRPr="00000000">
        <w:rPr>
          <w:highlight w:val="white"/>
          <w:rtl w:val="0"/>
        </w:rPr>
        <w:t xml:space="preserve">(3), pp.259-272.</w:t>
      </w:r>
    </w:p>
    <w:p w:rsidR="00000000" w:rsidDel="00000000" w:rsidP="00000000" w:rsidRDefault="00000000" w:rsidRPr="00000000" w14:paraId="00000039">
      <w:pPr>
        <w:rPr>
          <w:highlight w:val="white"/>
        </w:rPr>
      </w:pPr>
      <w:r w:rsidDel="00000000" w:rsidR="00000000" w:rsidRPr="00000000">
        <w:rPr>
          <w:highlight w:val="white"/>
          <w:rtl w:val="0"/>
        </w:rPr>
        <w:t xml:space="preserve">Ozbilgin, M., Tatli, A. and Jonsen, K., (2017). </w:t>
      </w:r>
      <w:r w:rsidDel="00000000" w:rsidR="00000000" w:rsidRPr="00000000">
        <w:rPr>
          <w:i w:val="1"/>
          <w:highlight w:val="white"/>
          <w:rtl w:val="0"/>
        </w:rPr>
        <w:t xml:space="preserve">Global diversity management: An evidence-based approach</w:t>
      </w:r>
      <w:r w:rsidDel="00000000" w:rsidR="00000000" w:rsidRPr="00000000">
        <w:rPr>
          <w:highlight w:val="white"/>
          <w:rtl w:val="0"/>
        </w:rPr>
        <w:t xml:space="preserve">. Bloomsbury Publishing.</w:t>
      </w:r>
    </w:p>
    <w:p w:rsidR="00000000" w:rsidDel="00000000" w:rsidP="00000000" w:rsidRDefault="00000000" w:rsidRPr="00000000" w14:paraId="0000003A">
      <w:pPr>
        <w:rPr>
          <w:highlight w:val="white"/>
        </w:rPr>
      </w:pPr>
      <w:r w:rsidDel="00000000" w:rsidR="00000000" w:rsidRPr="00000000">
        <w:rPr>
          <w:highlight w:val="white"/>
          <w:rtl w:val="0"/>
        </w:rPr>
        <w:t xml:space="preserve">Sharma, U., (2016). Managing diversity and cultural differences at the workplace. </w:t>
      </w:r>
      <w:r w:rsidDel="00000000" w:rsidR="00000000" w:rsidRPr="00000000">
        <w:rPr>
          <w:i w:val="1"/>
          <w:highlight w:val="white"/>
          <w:rtl w:val="0"/>
        </w:rPr>
        <w:t xml:space="preserve">IPE Journal of Management</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(2), p.63.</w:t>
      </w:r>
    </w:p>
    <w:p w:rsidR="00000000" w:rsidDel="00000000" w:rsidP="00000000" w:rsidRDefault="00000000" w:rsidRPr="00000000" w14:paraId="0000003B">
      <w:pPr>
        <w:rPr>
          <w:highlight w:val="white"/>
        </w:rPr>
      </w:pPr>
      <w:r w:rsidDel="00000000" w:rsidR="00000000" w:rsidRPr="00000000">
        <w:rPr>
          <w:highlight w:val="white"/>
          <w:rtl w:val="0"/>
        </w:rPr>
        <w:t xml:space="preserve">Temmer, J., (2023). From risk-seeking to risk-averse behavior: Differences in making private financial decisions among socio-demo-graphic groups.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Nun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120" w:before="12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120" w:before="12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widowControl w:val="0"/>
        <w:spacing w:after="12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b w:val="1"/>
      <w:color w:val="000000"/>
      <w:sz w:val="32"/>
      <w:szCs w:val="32"/>
    </w:rPr>
  </w:style>
  <w:style w:type="paragraph" w:styleId="Heading2">
    <w:name w:val="heading 2"/>
    <w:basedOn w:val="Normal"/>
    <w:next w:val="Normal"/>
    <w:pPr>
      <w:ind w:left="720"/>
    </w:pPr>
    <w:rPr>
      <w:b w:val="1"/>
      <w:color w:val="000000"/>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04844"/>
    <w:pPr>
      <w:widowControl w:val="0"/>
      <w:autoSpaceDE w:val="0"/>
      <w:autoSpaceDN w:val="0"/>
      <w:spacing w:after="120" w:before="120" w:line="360" w:lineRule="auto"/>
      <w:jc w:val="both"/>
    </w:pPr>
    <w:rPr>
      <w:rFonts w:ascii="Times New Roman" w:cs="Arial MT" w:eastAsia="Arial MT" w:hAnsi="Times New Roman"/>
      <w:kern w:val="0"/>
      <w:sz w:val="24"/>
      <w:lang w:val="en-US"/>
    </w:rPr>
  </w:style>
  <w:style w:type="paragraph" w:styleId="Heading1">
    <w:name w:val="heading 1"/>
    <w:basedOn w:val="Normal"/>
    <w:next w:val="Normal"/>
    <w:link w:val="Heading1Char"/>
    <w:uiPriority w:val="9"/>
    <w:qFormat w:val="1"/>
    <w:rsid w:val="00A867A1"/>
    <w:pPr>
      <w:keepNext w:val="1"/>
      <w:keepLines w:val="1"/>
      <w:spacing w:before="240"/>
      <w:outlineLvl w:val="0"/>
    </w:pPr>
    <w:rPr>
      <w:rFonts w:cstheme="majorBidi" w:eastAsiaTheme="majorEastAsia"/>
      <w:b w:val="1"/>
      <w:color w:val="000000" w:themeColor="text1"/>
      <w:sz w:val="32"/>
      <w:szCs w:val="32"/>
    </w:rPr>
  </w:style>
  <w:style w:type="paragraph" w:styleId="Heading2">
    <w:name w:val="heading 2"/>
    <w:basedOn w:val="Normal"/>
    <w:link w:val="Heading2Char"/>
    <w:uiPriority w:val="9"/>
    <w:unhideWhenUsed w:val="1"/>
    <w:qFormat w:val="1"/>
    <w:rsid w:val="00953777"/>
    <w:pPr>
      <w:ind w:left="720"/>
      <w:outlineLvl w:val="1"/>
    </w:pPr>
    <w:rPr>
      <w:rFonts w:cs="Arial" w:eastAsia="Arial"/>
      <w:b w:val="1"/>
      <w:bCs w:val="1"/>
      <w:color w:val="000000" w:themeColor="text1"/>
      <w:sz w:val="28"/>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953777"/>
    <w:rPr>
      <w:rFonts w:ascii="Times New Roman" w:cs="Arial" w:eastAsia="Arial" w:hAnsi="Times New Roman"/>
      <w:b w:val="1"/>
      <w:bCs w:val="1"/>
      <w:color w:val="000000" w:themeColor="text1"/>
      <w:kern w:val="0"/>
      <w:sz w:val="28"/>
      <w:szCs w:val="24"/>
      <w:lang w:val="en-US"/>
    </w:rPr>
  </w:style>
  <w:style w:type="paragraph" w:styleId="BodyText">
    <w:name w:val="Body Text"/>
    <w:basedOn w:val="Normal"/>
    <w:link w:val="BodyTextChar"/>
    <w:uiPriority w:val="1"/>
    <w:qFormat w:val="1"/>
    <w:rsid w:val="00504BD1"/>
    <w:rPr>
      <w:szCs w:val="24"/>
    </w:rPr>
  </w:style>
  <w:style w:type="character" w:styleId="BodyTextChar" w:customStyle="1">
    <w:name w:val="Body Text Char"/>
    <w:basedOn w:val="DefaultParagraphFont"/>
    <w:link w:val="BodyText"/>
    <w:uiPriority w:val="1"/>
    <w:rsid w:val="00504BD1"/>
    <w:rPr>
      <w:rFonts w:ascii="Arial MT" w:cs="Arial MT" w:eastAsia="Arial MT" w:hAnsi="Arial MT"/>
      <w:kern w:val="0"/>
      <w:sz w:val="24"/>
      <w:szCs w:val="24"/>
      <w:lang w:val="en-US"/>
    </w:rPr>
  </w:style>
  <w:style w:type="paragraph" w:styleId="ListParagraph">
    <w:name w:val="List Paragraph"/>
    <w:basedOn w:val="Normal"/>
    <w:uiPriority w:val="1"/>
    <w:qFormat w:val="1"/>
    <w:rsid w:val="00504BD1"/>
    <w:pPr>
      <w:ind w:left="962" w:hanging="360"/>
    </w:pPr>
  </w:style>
  <w:style w:type="character" w:styleId="Heading1Char" w:customStyle="1">
    <w:name w:val="Heading 1 Char"/>
    <w:basedOn w:val="DefaultParagraphFont"/>
    <w:link w:val="Heading1"/>
    <w:uiPriority w:val="9"/>
    <w:rsid w:val="00A867A1"/>
    <w:rPr>
      <w:rFonts w:ascii="Times New Roman" w:hAnsi="Times New Roman" w:cstheme="majorBidi" w:eastAsiaTheme="majorEastAsia"/>
      <w:b w:val="1"/>
      <w:color w:val="000000" w:themeColor="text1"/>
      <w:kern w:val="0"/>
      <w:sz w:val="32"/>
      <w:szCs w:val="32"/>
      <w:lang w:val="en-US"/>
    </w:rPr>
  </w:style>
  <w:style w:type="paragraph" w:styleId="NoSpacing">
    <w:name w:val="No Spacing"/>
    <w:uiPriority w:val="1"/>
    <w:qFormat w:val="1"/>
    <w:rsid w:val="0083352C"/>
    <w:pPr>
      <w:widowControl w:val="0"/>
      <w:autoSpaceDE w:val="0"/>
      <w:autoSpaceDN w:val="0"/>
      <w:spacing w:after="0" w:line="240" w:lineRule="auto"/>
      <w:jc w:val="both"/>
    </w:pPr>
    <w:rPr>
      <w:rFonts w:ascii="Times New Roman" w:cs="Arial MT" w:eastAsia="Arial MT" w:hAnsi="Times New Roman"/>
      <w:kern w:val="0"/>
      <w:sz w:val="24"/>
      <w:lang w:val="en-US"/>
    </w:rPr>
  </w:style>
  <w:style w:type="paragraph" w:styleId="TOCHeading">
    <w:name w:val="TOC Heading"/>
    <w:basedOn w:val="Heading1"/>
    <w:next w:val="Normal"/>
    <w:uiPriority w:val="39"/>
    <w:unhideWhenUsed w:val="1"/>
    <w:qFormat w:val="1"/>
    <w:rsid w:val="0099292F"/>
    <w:pPr>
      <w:widowControl w:val="1"/>
      <w:autoSpaceDE w:val="1"/>
      <w:autoSpaceDN w:val="1"/>
      <w:spacing w:line="259" w:lineRule="auto"/>
      <w:jc w:val="left"/>
      <w:outlineLvl w:val="9"/>
    </w:pPr>
    <w:rPr>
      <w:rFonts w:asciiTheme="majorHAnsi" w:hAnsiTheme="majorHAnsi"/>
      <w:b w:val="0"/>
      <w:color w:val="2f5496" w:themeColor="accent1" w:themeShade="0000BF"/>
    </w:rPr>
  </w:style>
  <w:style w:type="paragraph" w:styleId="TOC1">
    <w:name w:val="toc 1"/>
    <w:basedOn w:val="Normal"/>
    <w:next w:val="Normal"/>
    <w:autoRedefine w:val="1"/>
    <w:uiPriority w:val="39"/>
    <w:unhideWhenUsed w:val="1"/>
    <w:rsid w:val="0099292F"/>
    <w:pPr>
      <w:spacing w:after="100"/>
    </w:pPr>
  </w:style>
  <w:style w:type="paragraph" w:styleId="TOC2">
    <w:name w:val="toc 2"/>
    <w:basedOn w:val="Normal"/>
    <w:next w:val="Normal"/>
    <w:autoRedefine w:val="1"/>
    <w:uiPriority w:val="39"/>
    <w:unhideWhenUsed w:val="1"/>
    <w:rsid w:val="0099292F"/>
    <w:pPr>
      <w:spacing w:after="100"/>
      <w:ind w:left="240"/>
    </w:pPr>
  </w:style>
  <w:style w:type="character" w:styleId="Hyperlink">
    <w:name w:val="Hyperlink"/>
    <w:basedOn w:val="DefaultParagraphFont"/>
    <w:uiPriority w:val="99"/>
    <w:unhideWhenUsed w:val="1"/>
    <w:rsid w:val="0099292F"/>
    <w:rPr>
      <w:color w:val="0563c1" w:themeColor="hyperlink"/>
      <w:u w:val="single"/>
    </w:rPr>
  </w:style>
  <w:style w:type="paragraph" w:styleId="Header">
    <w:name w:val="header"/>
    <w:basedOn w:val="Normal"/>
    <w:link w:val="HeaderChar"/>
    <w:uiPriority w:val="99"/>
    <w:unhideWhenUsed w:val="1"/>
    <w:rsid w:val="00F21795"/>
    <w:pPr>
      <w:tabs>
        <w:tab w:val="center" w:pos="4513"/>
        <w:tab w:val="right" w:pos="9026"/>
      </w:tabs>
      <w:spacing w:line="240" w:lineRule="auto"/>
    </w:pPr>
  </w:style>
  <w:style w:type="character" w:styleId="HeaderChar" w:customStyle="1">
    <w:name w:val="Header Char"/>
    <w:basedOn w:val="DefaultParagraphFont"/>
    <w:link w:val="Header"/>
    <w:uiPriority w:val="99"/>
    <w:rsid w:val="00F21795"/>
    <w:rPr>
      <w:rFonts w:ascii="Times New Roman" w:cs="Arial MT" w:eastAsia="Arial MT" w:hAnsi="Times New Roman"/>
      <w:kern w:val="0"/>
      <w:sz w:val="24"/>
      <w:lang w:val="en-US"/>
    </w:rPr>
  </w:style>
  <w:style w:type="paragraph" w:styleId="Footer">
    <w:name w:val="footer"/>
    <w:basedOn w:val="Normal"/>
    <w:link w:val="FooterChar"/>
    <w:uiPriority w:val="99"/>
    <w:unhideWhenUsed w:val="1"/>
    <w:rsid w:val="00F21795"/>
    <w:pPr>
      <w:tabs>
        <w:tab w:val="center" w:pos="4513"/>
        <w:tab w:val="right" w:pos="9026"/>
      </w:tabs>
      <w:spacing w:line="240" w:lineRule="auto"/>
    </w:pPr>
  </w:style>
  <w:style w:type="character" w:styleId="FooterChar" w:customStyle="1">
    <w:name w:val="Footer Char"/>
    <w:basedOn w:val="DefaultParagraphFont"/>
    <w:link w:val="Footer"/>
    <w:uiPriority w:val="99"/>
    <w:rsid w:val="00F21795"/>
    <w:rPr>
      <w:rFonts w:ascii="Times New Roman" w:cs="Arial MT" w:eastAsia="Arial MT" w:hAnsi="Times New Roman"/>
      <w:kern w:val="0"/>
      <w:sz w:val="24"/>
      <w:lang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JRzq11A1TLkGGIrenk7Zz+TZ+Q==">CgMxLjAyCGguZ2pkZ3hzMgloLjMwajB6bGwyCWguMWZvYjl0ZTIJaC4zem55c2g3MgloLjJldDkycDAyCGgudHlqY3d0MgloLjNkeTZ2a20yCWguMXQzaDVzZjIJaC40ZDM0b2c4MgloLjJzOGV5bzE4AHIhMTBVT3hJdE82c3pXYVlmNnd6dkJGSGRNZnUzVUxENkQx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2024-05-06T17:57:00Z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e38fe36970f025c3662a32ffd5aea4f5c39b8cb13945467d63d62cfa101b7c2a</vt:lpwstr>
  </property>
</Properties>
</file>