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4D8A7" w14:textId="2353EB3E" w:rsidR="00752B35" w:rsidRDefault="00752B35" w:rsidP="00752B35">
      <w:pPr>
        <w:rPr>
          <w:b/>
        </w:rPr>
      </w:pPr>
      <w:r>
        <w:rPr>
          <w:b/>
          <w:noProof/>
        </w:rPr>
        <w:drawing>
          <wp:inline distT="0" distB="0" distL="0" distR="0" wp14:anchorId="1E37A86D" wp14:editId="4C998694">
            <wp:extent cx="1302589" cy="130258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05022" cy="1305022"/>
                    </a:xfrm>
                    <a:prstGeom prst="rect">
                      <a:avLst/>
                    </a:prstGeom>
                    <a:noFill/>
                  </pic:spPr>
                </pic:pic>
              </a:graphicData>
            </a:graphic>
          </wp:inline>
        </w:drawing>
      </w:r>
      <w:r>
        <w:rPr>
          <w:b/>
        </w:rPr>
        <w:t xml:space="preserve">                      BSc Professional investigation</w:t>
      </w:r>
    </w:p>
    <w:p w14:paraId="0C901ACA" w14:textId="65747CEB" w:rsidR="0033020F" w:rsidRDefault="00752B35" w:rsidP="0033020F">
      <w:pPr>
        <w:jc w:val="center"/>
        <w:rPr>
          <w:b/>
        </w:rPr>
      </w:pPr>
      <w:r>
        <w:rPr>
          <w:b/>
        </w:rPr>
        <w:t xml:space="preserve">Module BMPI6000 - </w:t>
      </w:r>
      <w:r w:rsidR="00276282">
        <w:rPr>
          <w:b/>
        </w:rPr>
        <w:t>Project Proposal</w:t>
      </w:r>
    </w:p>
    <w:p w14:paraId="0F605F53" w14:textId="7E876A78" w:rsidR="008B718C" w:rsidRDefault="008B718C" w:rsidP="008B718C">
      <w:pPr>
        <w:rPr>
          <w:b/>
        </w:rPr>
      </w:pPr>
      <w:r>
        <w:rPr>
          <w:b/>
        </w:rPr>
        <w:t xml:space="preserve">Student Name: </w:t>
      </w:r>
      <w:r w:rsidR="005B6723" w:rsidRPr="005B6723">
        <w:rPr>
          <w:bCs/>
        </w:rPr>
        <w:t>Stuart McLaren</w:t>
      </w:r>
    </w:p>
    <w:p w14:paraId="7F359F82" w14:textId="406408CC" w:rsidR="008B718C" w:rsidRDefault="008B718C" w:rsidP="008B718C">
      <w:pPr>
        <w:rPr>
          <w:b/>
        </w:rPr>
      </w:pPr>
      <w:r>
        <w:rPr>
          <w:b/>
        </w:rPr>
        <w:t xml:space="preserve">Supervisor Name: </w:t>
      </w:r>
      <w:r w:rsidR="005B6723" w:rsidRPr="005B6723">
        <w:rPr>
          <w:bCs/>
        </w:rPr>
        <w:t>Alison Cooke</w:t>
      </w:r>
    </w:p>
    <w:p w14:paraId="47352C72" w14:textId="77777777" w:rsidR="005F5411" w:rsidRDefault="005F5411" w:rsidP="005F5411">
      <w:pPr>
        <w:rPr>
          <w:b/>
        </w:rPr>
      </w:pPr>
    </w:p>
    <w:p w14:paraId="5DF6F2BF" w14:textId="2C877322" w:rsidR="0033020F" w:rsidRPr="005F5411" w:rsidRDefault="005F5411" w:rsidP="007D4D75">
      <w:pPr>
        <w:pStyle w:val="Heading2"/>
      </w:pPr>
      <w:r w:rsidRPr="0033020F">
        <w:t>Research Question</w:t>
      </w:r>
      <w:r>
        <w:t xml:space="preserve"> (</w:t>
      </w:r>
      <w:r w:rsidR="00276282">
        <w:t>1 sentence</w:t>
      </w:r>
      <w:r>
        <w:t xml:space="preserve"> max.)</w:t>
      </w:r>
    </w:p>
    <w:p w14:paraId="65CB615A" w14:textId="66D30341" w:rsidR="0033020F" w:rsidRPr="00463900" w:rsidRDefault="00821030">
      <w:pPr>
        <w:rPr>
          <w:rFonts w:ascii="Arial" w:hAnsi="Arial" w:cs="Arial"/>
          <w:bCs/>
          <w:sz w:val="24"/>
          <w:szCs w:val="24"/>
        </w:rPr>
      </w:pPr>
      <w:r w:rsidRPr="00463900">
        <w:rPr>
          <w:rFonts w:ascii="Arial" w:hAnsi="Arial" w:cs="Arial"/>
          <w:bCs/>
          <w:sz w:val="24"/>
          <w:szCs w:val="24"/>
        </w:rPr>
        <w:t>The effectiveness of Digital Forensic Triage (DFT) in reducing demand on Digital Forensics, whilst improving the efficiency and outcomes of criminal investigations. A critical analysis in Dyfed Powys Police.</w:t>
      </w:r>
    </w:p>
    <w:p w14:paraId="46629CFA" w14:textId="1BE5A590" w:rsidR="005F5411" w:rsidRPr="005F5411" w:rsidRDefault="0033020F" w:rsidP="007D4D75">
      <w:pPr>
        <w:pStyle w:val="Heading1"/>
      </w:pPr>
      <w:r w:rsidRPr="0033020F">
        <w:t>Literature Review</w:t>
      </w:r>
      <w:r w:rsidR="005F5411">
        <w:t xml:space="preserve"> (</w:t>
      </w:r>
      <w:r w:rsidR="00752B35">
        <w:t>700</w:t>
      </w:r>
      <w:r w:rsidR="005F5411">
        <w:t xml:space="preserve"> words max)</w:t>
      </w:r>
    </w:p>
    <w:p w14:paraId="4458C2A0" w14:textId="34B9D036" w:rsidR="00D2390E" w:rsidRPr="00463900" w:rsidRDefault="00E0044F" w:rsidP="00D2390E">
      <w:pPr>
        <w:rPr>
          <w:rFonts w:ascii="Arial" w:hAnsi="Arial" w:cs="Arial"/>
          <w:sz w:val="24"/>
          <w:szCs w:val="24"/>
        </w:rPr>
      </w:pPr>
      <w:r w:rsidRPr="00463900">
        <w:rPr>
          <w:rFonts w:ascii="Arial" w:hAnsi="Arial" w:cs="Arial"/>
          <w:sz w:val="24"/>
          <w:szCs w:val="24"/>
        </w:rPr>
        <w:t>As</w:t>
      </w:r>
      <w:r w:rsidR="00C46137" w:rsidRPr="00463900">
        <w:rPr>
          <w:rFonts w:ascii="Arial" w:hAnsi="Arial" w:cs="Arial"/>
          <w:sz w:val="24"/>
          <w:szCs w:val="24"/>
        </w:rPr>
        <w:t xml:space="preserve"> new technology grows at a rapid pace, digital forensics plays a vital role in the vast majority of criminal investigations (The Police Foundation, 2021). The advancements in technology </w:t>
      </w:r>
      <w:r w:rsidR="002D008B" w:rsidRPr="00463900">
        <w:rPr>
          <w:rFonts w:ascii="Arial" w:hAnsi="Arial" w:cs="Arial"/>
          <w:sz w:val="24"/>
          <w:szCs w:val="24"/>
        </w:rPr>
        <w:t>have</w:t>
      </w:r>
      <w:r w:rsidR="00C46137" w:rsidRPr="00463900">
        <w:rPr>
          <w:rFonts w:ascii="Arial" w:hAnsi="Arial" w:cs="Arial"/>
          <w:sz w:val="24"/>
          <w:szCs w:val="24"/>
        </w:rPr>
        <w:t xml:space="preserve"> enabled the rapid growth of the internet in the last decade, in turn amplifying the manner in which </w:t>
      </w:r>
      <w:r w:rsidR="00646223" w:rsidRPr="00463900">
        <w:rPr>
          <w:rFonts w:ascii="Arial" w:hAnsi="Arial" w:cs="Arial"/>
          <w:sz w:val="24"/>
          <w:szCs w:val="24"/>
        </w:rPr>
        <w:t xml:space="preserve">victims are exploited online </w:t>
      </w:r>
      <w:r w:rsidR="00C46137" w:rsidRPr="00463900">
        <w:rPr>
          <w:rFonts w:ascii="Arial" w:hAnsi="Arial" w:cs="Arial"/>
          <w:sz w:val="24"/>
          <w:szCs w:val="24"/>
        </w:rPr>
        <w:t>(Lee et al, 2020, p.1). The Science and Technology Select Committee has stated that this growth presents challenges to the criminal justice system with no strategy to deal with the impact (House of Lords, 2019).</w:t>
      </w:r>
    </w:p>
    <w:p w14:paraId="51C2A545" w14:textId="15A2261D" w:rsidR="004047ED" w:rsidRPr="00463900" w:rsidRDefault="004047ED" w:rsidP="004047ED">
      <w:pPr>
        <w:rPr>
          <w:rFonts w:ascii="Arial" w:hAnsi="Arial" w:cs="Arial"/>
          <w:sz w:val="24"/>
          <w:szCs w:val="24"/>
        </w:rPr>
      </w:pPr>
      <w:r w:rsidRPr="00463900">
        <w:rPr>
          <w:rFonts w:ascii="Arial" w:hAnsi="Arial" w:cs="Arial"/>
          <w:sz w:val="24"/>
          <w:szCs w:val="24"/>
        </w:rPr>
        <w:t xml:space="preserve">The Transforming Forensics Programme, led by the National Police Chief’s Council, aims to improve the use of digital forensics in the criminal justice system. The programme's research report identified challenges including Demand and Capacity, Skills and Knowledge, System Weaknesses, Technology, and Law and Ethics (The Police Foundation, 2021). If not addressed </w:t>
      </w:r>
      <w:r w:rsidR="00EE75BA" w:rsidRPr="00463900">
        <w:rPr>
          <w:rFonts w:ascii="Arial" w:hAnsi="Arial" w:cs="Arial"/>
          <w:sz w:val="24"/>
          <w:szCs w:val="24"/>
        </w:rPr>
        <w:t xml:space="preserve">it </w:t>
      </w:r>
      <w:r w:rsidRPr="00463900">
        <w:rPr>
          <w:rFonts w:ascii="Arial" w:hAnsi="Arial" w:cs="Arial"/>
          <w:sz w:val="24"/>
          <w:szCs w:val="24"/>
        </w:rPr>
        <w:t xml:space="preserve">would lead to an ineffective criminal justice system and serious miscarriages of justice (House of Lords, 2019). The report subsequently influenced the development of the Digital Forensic Strategy, </w:t>
      </w:r>
      <w:r w:rsidR="000D5C8B" w:rsidRPr="00463900">
        <w:rPr>
          <w:rFonts w:ascii="Arial" w:hAnsi="Arial" w:cs="Arial"/>
          <w:sz w:val="24"/>
          <w:szCs w:val="24"/>
        </w:rPr>
        <w:t>with</w:t>
      </w:r>
      <w:r w:rsidRPr="00463900">
        <w:rPr>
          <w:rFonts w:ascii="Arial" w:hAnsi="Arial" w:cs="Arial"/>
          <w:sz w:val="24"/>
          <w:szCs w:val="24"/>
        </w:rPr>
        <w:t xml:space="preserve"> aims to address the opportunities and challenges faced in policing </w:t>
      </w:r>
      <w:r w:rsidR="000D5C8B" w:rsidRPr="00463900">
        <w:rPr>
          <w:rFonts w:ascii="Arial" w:hAnsi="Arial" w:cs="Arial"/>
          <w:sz w:val="24"/>
          <w:szCs w:val="24"/>
        </w:rPr>
        <w:t>by</w:t>
      </w:r>
      <w:r w:rsidR="006811DA" w:rsidRPr="00463900">
        <w:rPr>
          <w:rFonts w:ascii="Arial" w:hAnsi="Arial" w:cs="Arial"/>
          <w:sz w:val="24"/>
          <w:szCs w:val="24"/>
        </w:rPr>
        <w:t xml:space="preserve"> the emerging digital landscape in crime </w:t>
      </w:r>
      <w:r w:rsidRPr="00463900">
        <w:rPr>
          <w:rFonts w:ascii="Arial" w:hAnsi="Arial" w:cs="Arial"/>
          <w:sz w:val="24"/>
          <w:szCs w:val="24"/>
        </w:rPr>
        <w:t>(NPPC, 2020).</w:t>
      </w:r>
    </w:p>
    <w:p w14:paraId="0D1DAE8F" w14:textId="46953EF6" w:rsidR="005248C3" w:rsidRPr="00463900" w:rsidRDefault="00D66C9E" w:rsidP="004047ED">
      <w:pPr>
        <w:rPr>
          <w:rFonts w:ascii="Arial" w:hAnsi="Arial" w:cs="Arial"/>
          <w:sz w:val="24"/>
          <w:szCs w:val="24"/>
        </w:rPr>
      </w:pPr>
      <w:r w:rsidRPr="00463900">
        <w:rPr>
          <w:rFonts w:ascii="Arial" w:hAnsi="Arial" w:cs="Arial"/>
          <w:sz w:val="24"/>
          <w:szCs w:val="24"/>
        </w:rPr>
        <w:t>In a recent inspection by HMICFRS</w:t>
      </w:r>
      <w:r w:rsidRPr="00463900">
        <w:rPr>
          <w:rFonts w:ascii="Arial" w:hAnsi="Arial" w:cs="Arial"/>
          <w:sz w:val="24"/>
          <w:szCs w:val="24"/>
        </w:rPr>
        <w:t xml:space="preserve"> (2022)</w:t>
      </w:r>
      <w:r w:rsidRPr="00463900">
        <w:rPr>
          <w:rFonts w:ascii="Arial" w:hAnsi="Arial" w:cs="Arial"/>
          <w:sz w:val="24"/>
          <w:szCs w:val="24"/>
        </w:rPr>
        <w:t>, it was found that there are over 25,000 devices waiting to be examined in UK police forces. This backlog has led to delays of at least 18 months for device examinations, resulting in victim dissatisfaction</w:t>
      </w:r>
      <w:r w:rsidRPr="00463900">
        <w:rPr>
          <w:rFonts w:ascii="Arial" w:hAnsi="Arial" w:cs="Arial"/>
          <w:sz w:val="24"/>
          <w:szCs w:val="24"/>
        </w:rPr>
        <w:t xml:space="preserve">. </w:t>
      </w:r>
      <w:r w:rsidRPr="00463900">
        <w:rPr>
          <w:rFonts w:ascii="Arial" w:hAnsi="Arial" w:cs="Arial"/>
          <w:sz w:val="24"/>
          <w:szCs w:val="24"/>
        </w:rPr>
        <w:t>Backlogs and delays were found to be consistent across all forces and had a negative impact on criminal investigations and relationships with victims and witnesses</w:t>
      </w:r>
      <w:r w:rsidRPr="00463900">
        <w:rPr>
          <w:rFonts w:ascii="Arial" w:hAnsi="Arial" w:cs="Arial"/>
          <w:sz w:val="24"/>
          <w:szCs w:val="24"/>
        </w:rPr>
        <w:t>.</w:t>
      </w:r>
      <w:r w:rsidRPr="00463900">
        <w:rPr>
          <w:rFonts w:ascii="Arial" w:hAnsi="Arial" w:cs="Arial"/>
          <w:sz w:val="24"/>
          <w:szCs w:val="24"/>
        </w:rPr>
        <w:t xml:space="preserve"> The inspection also revealed that digital forensic triage was not being</w:t>
      </w:r>
      <w:r w:rsidR="006B6FA1" w:rsidRPr="00463900">
        <w:rPr>
          <w:rFonts w:ascii="Arial" w:hAnsi="Arial" w:cs="Arial"/>
          <w:sz w:val="24"/>
          <w:szCs w:val="24"/>
        </w:rPr>
        <w:t xml:space="preserve"> utilised to address the backlog or</w:t>
      </w:r>
      <w:r w:rsidRPr="00463900">
        <w:rPr>
          <w:rFonts w:ascii="Arial" w:hAnsi="Arial" w:cs="Arial"/>
          <w:sz w:val="24"/>
          <w:szCs w:val="24"/>
        </w:rPr>
        <w:t xml:space="preserve"> conducted by adequately </w:t>
      </w:r>
      <w:r w:rsidRPr="00463900">
        <w:rPr>
          <w:rFonts w:ascii="Arial" w:hAnsi="Arial" w:cs="Arial"/>
          <w:sz w:val="24"/>
          <w:szCs w:val="24"/>
        </w:rPr>
        <w:t xml:space="preserve">by </w:t>
      </w:r>
      <w:r w:rsidRPr="00463900">
        <w:rPr>
          <w:rFonts w:ascii="Arial" w:hAnsi="Arial" w:cs="Arial"/>
          <w:sz w:val="24"/>
          <w:szCs w:val="24"/>
        </w:rPr>
        <w:t>skilled personnel with the necessary tools and experience.</w:t>
      </w:r>
      <w:r w:rsidR="00DA64C0" w:rsidRPr="00463900">
        <w:rPr>
          <w:rFonts w:ascii="Arial" w:hAnsi="Arial" w:cs="Arial"/>
          <w:sz w:val="24"/>
          <w:szCs w:val="24"/>
        </w:rPr>
        <w:t xml:space="preserve"> </w:t>
      </w:r>
    </w:p>
    <w:p w14:paraId="2AA6FC1A" w14:textId="40951BE8" w:rsidR="00D66C9E" w:rsidRPr="00463900" w:rsidRDefault="00FC6881" w:rsidP="004047ED">
      <w:pPr>
        <w:rPr>
          <w:rFonts w:ascii="Arial" w:hAnsi="Arial" w:cs="Arial"/>
          <w:sz w:val="24"/>
          <w:szCs w:val="24"/>
        </w:rPr>
      </w:pPr>
      <w:r w:rsidRPr="00463900">
        <w:rPr>
          <w:rFonts w:ascii="Arial" w:hAnsi="Arial" w:cs="Arial"/>
          <w:sz w:val="24"/>
          <w:szCs w:val="24"/>
        </w:rPr>
        <w:lastRenderedPageBreak/>
        <w:t>Research by Quick</w:t>
      </w:r>
      <w:r w:rsidR="002006D8" w:rsidRPr="00463900">
        <w:rPr>
          <w:rFonts w:ascii="Arial" w:hAnsi="Arial" w:cs="Arial"/>
          <w:sz w:val="24"/>
          <w:szCs w:val="24"/>
        </w:rPr>
        <w:t xml:space="preserve"> &amp; Choo</w:t>
      </w:r>
      <w:r w:rsidRPr="00463900">
        <w:rPr>
          <w:rFonts w:ascii="Arial" w:hAnsi="Arial" w:cs="Arial"/>
          <w:sz w:val="24"/>
          <w:szCs w:val="24"/>
        </w:rPr>
        <w:t xml:space="preserve"> (2016) explored options </w:t>
      </w:r>
      <w:r w:rsidR="00595929" w:rsidRPr="00463900">
        <w:rPr>
          <w:rFonts w:ascii="Arial" w:hAnsi="Arial" w:cs="Arial"/>
          <w:sz w:val="24"/>
          <w:szCs w:val="24"/>
        </w:rPr>
        <w:t>to reduce volume</w:t>
      </w:r>
      <w:r w:rsidR="00340914">
        <w:rPr>
          <w:rFonts w:ascii="Arial" w:hAnsi="Arial" w:cs="Arial"/>
          <w:sz w:val="24"/>
          <w:szCs w:val="24"/>
        </w:rPr>
        <w:t>s</w:t>
      </w:r>
      <w:r w:rsidR="00595929" w:rsidRPr="00463900">
        <w:rPr>
          <w:rFonts w:ascii="Arial" w:hAnsi="Arial" w:cs="Arial"/>
          <w:sz w:val="24"/>
          <w:szCs w:val="24"/>
        </w:rPr>
        <w:t xml:space="preserve"> of data acquired in digital forensics at the collection stage</w:t>
      </w:r>
      <w:r w:rsidR="00340914">
        <w:rPr>
          <w:rFonts w:ascii="Arial" w:hAnsi="Arial" w:cs="Arial"/>
          <w:sz w:val="24"/>
          <w:szCs w:val="24"/>
        </w:rPr>
        <w:t>. H</w:t>
      </w:r>
      <w:r w:rsidR="00122490" w:rsidRPr="00463900">
        <w:rPr>
          <w:rFonts w:ascii="Arial" w:hAnsi="Arial" w:cs="Arial"/>
          <w:sz w:val="24"/>
          <w:szCs w:val="24"/>
        </w:rPr>
        <w:t>owever</w:t>
      </w:r>
      <w:r w:rsidR="00082E05" w:rsidRPr="00463900">
        <w:rPr>
          <w:rFonts w:ascii="Arial" w:hAnsi="Arial" w:cs="Arial"/>
          <w:sz w:val="24"/>
          <w:szCs w:val="24"/>
        </w:rPr>
        <w:t>, its use</w:t>
      </w:r>
      <w:r w:rsidR="00122490" w:rsidRPr="00463900">
        <w:rPr>
          <w:rFonts w:ascii="Arial" w:hAnsi="Arial" w:cs="Arial"/>
          <w:sz w:val="24"/>
          <w:szCs w:val="24"/>
        </w:rPr>
        <w:t xml:space="preserve"> is limited to </w:t>
      </w:r>
      <w:r w:rsidR="00082E05" w:rsidRPr="00463900">
        <w:rPr>
          <w:rFonts w:ascii="Arial" w:hAnsi="Arial" w:cs="Arial"/>
          <w:sz w:val="24"/>
          <w:szCs w:val="24"/>
        </w:rPr>
        <w:t>digital forensic units with the appropriate tools and training</w:t>
      </w:r>
      <w:r w:rsidR="009F0281" w:rsidRPr="00463900">
        <w:rPr>
          <w:rFonts w:ascii="Arial" w:hAnsi="Arial" w:cs="Arial"/>
          <w:sz w:val="24"/>
          <w:szCs w:val="24"/>
        </w:rPr>
        <w:t xml:space="preserve">, providing no scope for on scene DFT. </w:t>
      </w:r>
      <w:r w:rsidR="00595929" w:rsidRPr="00463900">
        <w:rPr>
          <w:rFonts w:ascii="Arial" w:hAnsi="Arial" w:cs="Arial"/>
          <w:sz w:val="24"/>
          <w:szCs w:val="24"/>
        </w:rPr>
        <w:t xml:space="preserve"> </w:t>
      </w:r>
    </w:p>
    <w:p w14:paraId="20E04FFA" w14:textId="72B85679" w:rsidR="00CB78FF" w:rsidRPr="00463900" w:rsidRDefault="00CB78FF" w:rsidP="00CB78FF">
      <w:pPr>
        <w:rPr>
          <w:rFonts w:ascii="Arial" w:hAnsi="Arial" w:cs="Arial"/>
          <w:sz w:val="24"/>
          <w:szCs w:val="24"/>
        </w:rPr>
      </w:pPr>
      <w:r w:rsidRPr="00463900">
        <w:rPr>
          <w:rFonts w:ascii="Arial" w:hAnsi="Arial" w:cs="Arial"/>
          <w:sz w:val="24"/>
          <w:szCs w:val="24"/>
        </w:rPr>
        <w:t>Casey (2013)</w:t>
      </w:r>
      <w:r w:rsidR="00F50DB3" w:rsidRPr="00463900">
        <w:rPr>
          <w:rFonts w:ascii="Arial" w:hAnsi="Arial" w:cs="Arial"/>
          <w:sz w:val="24"/>
          <w:szCs w:val="24"/>
        </w:rPr>
        <w:t xml:space="preserve"> highlights </w:t>
      </w:r>
      <w:r w:rsidR="00E618CC" w:rsidRPr="00463900">
        <w:rPr>
          <w:rFonts w:ascii="Arial" w:hAnsi="Arial" w:cs="Arial"/>
          <w:sz w:val="24"/>
          <w:szCs w:val="24"/>
        </w:rPr>
        <w:t>the</w:t>
      </w:r>
      <w:r w:rsidR="00F50DB3" w:rsidRPr="00463900">
        <w:rPr>
          <w:rFonts w:ascii="Arial" w:hAnsi="Arial" w:cs="Arial"/>
          <w:sz w:val="24"/>
          <w:szCs w:val="24"/>
        </w:rPr>
        <w:t xml:space="preserve"> positive impact </w:t>
      </w:r>
      <w:r w:rsidR="00E618CC" w:rsidRPr="00463900">
        <w:rPr>
          <w:rFonts w:ascii="Arial" w:hAnsi="Arial" w:cs="Arial"/>
          <w:sz w:val="24"/>
          <w:szCs w:val="24"/>
        </w:rPr>
        <w:t xml:space="preserve">of DFT </w:t>
      </w:r>
      <w:r w:rsidR="00F50DB3" w:rsidRPr="00463900">
        <w:rPr>
          <w:rFonts w:ascii="Arial" w:hAnsi="Arial" w:cs="Arial"/>
          <w:sz w:val="24"/>
          <w:szCs w:val="24"/>
        </w:rPr>
        <w:t>on investigation outcomes</w:t>
      </w:r>
      <w:r w:rsidR="00E618CC" w:rsidRPr="00463900">
        <w:rPr>
          <w:rFonts w:ascii="Arial" w:hAnsi="Arial" w:cs="Arial"/>
          <w:sz w:val="24"/>
          <w:szCs w:val="24"/>
        </w:rPr>
        <w:t>. W</w:t>
      </w:r>
      <w:r w:rsidRPr="00463900">
        <w:rPr>
          <w:rFonts w:ascii="Arial" w:hAnsi="Arial" w:cs="Arial"/>
          <w:sz w:val="24"/>
          <w:szCs w:val="24"/>
        </w:rPr>
        <w:t>hen performed prudently</w:t>
      </w:r>
      <w:r w:rsidR="00E618CC" w:rsidRPr="00463900">
        <w:rPr>
          <w:rFonts w:ascii="Arial" w:hAnsi="Arial" w:cs="Arial"/>
          <w:sz w:val="24"/>
          <w:szCs w:val="24"/>
        </w:rPr>
        <w:t xml:space="preserve"> </w:t>
      </w:r>
      <w:r w:rsidR="00F50DB3" w:rsidRPr="00463900">
        <w:rPr>
          <w:rFonts w:ascii="Arial" w:hAnsi="Arial" w:cs="Arial"/>
          <w:sz w:val="24"/>
          <w:szCs w:val="24"/>
        </w:rPr>
        <w:t>it</w:t>
      </w:r>
      <w:r w:rsidRPr="00463900">
        <w:rPr>
          <w:rFonts w:ascii="Arial" w:hAnsi="Arial" w:cs="Arial"/>
          <w:sz w:val="24"/>
          <w:szCs w:val="24"/>
        </w:rPr>
        <w:t xml:space="preserve"> can provide useful information in a timely manner, whilst being cost effective, maintaining the soundness of evidence, and supporting decision making.</w:t>
      </w:r>
      <w:r w:rsidR="00A76699">
        <w:rPr>
          <w:rFonts w:ascii="Arial" w:hAnsi="Arial" w:cs="Arial"/>
          <w:sz w:val="24"/>
          <w:szCs w:val="24"/>
        </w:rPr>
        <w:t xml:space="preserve"> Horsman, Laing and Vickers (2014) identified that DFT was not being utilised to its full capacity and explored </w:t>
      </w:r>
      <w:r w:rsidR="00DB5E69">
        <w:rPr>
          <w:rFonts w:ascii="Arial" w:hAnsi="Arial" w:cs="Arial"/>
          <w:sz w:val="24"/>
          <w:szCs w:val="24"/>
        </w:rPr>
        <w:t>a novel approach of case-based reasoning to guide investigators in their search for evidence.</w:t>
      </w:r>
      <w:r w:rsidR="008B2571" w:rsidRPr="00463900">
        <w:rPr>
          <w:rFonts w:ascii="Arial" w:hAnsi="Arial" w:cs="Arial"/>
          <w:sz w:val="24"/>
          <w:szCs w:val="24"/>
        </w:rPr>
        <w:t xml:space="preserve"> However</w:t>
      </w:r>
      <w:r w:rsidR="00966B5B" w:rsidRPr="00463900">
        <w:rPr>
          <w:rFonts w:ascii="Arial" w:hAnsi="Arial" w:cs="Arial"/>
          <w:sz w:val="24"/>
          <w:szCs w:val="24"/>
        </w:rPr>
        <w:t>, a study by Wilson-Kovacs</w:t>
      </w:r>
      <w:r w:rsidR="00617027" w:rsidRPr="00463900">
        <w:rPr>
          <w:rFonts w:ascii="Arial" w:hAnsi="Arial" w:cs="Arial"/>
          <w:sz w:val="24"/>
          <w:szCs w:val="24"/>
        </w:rPr>
        <w:t xml:space="preserve"> (</w:t>
      </w:r>
      <w:r w:rsidR="00B93253" w:rsidRPr="00463900">
        <w:rPr>
          <w:rFonts w:ascii="Arial" w:hAnsi="Arial" w:cs="Arial"/>
          <w:sz w:val="24"/>
          <w:szCs w:val="24"/>
        </w:rPr>
        <w:t>2020</w:t>
      </w:r>
      <w:r w:rsidR="00617027" w:rsidRPr="00463900">
        <w:rPr>
          <w:rFonts w:ascii="Arial" w:hAnsi="Arial" w:cs="Arial"/>
          <w:sz w:val="24"/>
          <w:szCs w:val="24"/>
        </w:rPr>
        <w:t>) warns that a</w:t>
      </w:r>
      <w:r w:rsidR="00617027" w:rsidRPr="00463900">
        <w:rPr>
          <w:rFonts w:ascii="Arial" w:hAnsi="Arial" w:cs="Arial"/>
          <w:sz w:val="24"/>
          <w:szCs w:val="24"/>
        </w:rPr>
        <w:t xml:space="preserve">n inadequate understanding of the limitations of triage can lead to conflicts between officers and digital forensics practitioners, resulting in failed evidence gathering and </w:t>
      </w:r>
      <w:r w:rsidR="00617027" w:rsidRPr="00463900">
        <w:rPr>
          <w:rFonts w:ascii="Arial" w:hAnsi="Arial" w:cs="Arial"/>
          <w:sz w:val="24"/>
          <w:szCs w:val="24"/>
        </w:rPr>
        <w:t xml:space="preserve">interpretation, ultimately impacting on the </w:t>
      </w:r>
      <w:r w:rsidR="007025C7" w:rsidRPr="00463900">
        <w:rPr>
          <w:rFonts w:ascii="Arial" w:hAnsi="Arial" w:cs="Arial"/>
          <w:sz w:val="24"/>
          <w:szCs w:val="24"/>
        </w:rPr>
        <w:t xml:space="preserve">admissibility </w:t>
      </w:r>
      <w:r w:rsidR="00617027" w:rsidRPr="00463900">
        <w:rPr>
          <w:rFonts w:ascii="Arial" w:hAnsi="Arial" w:cs="Arial"/>
          <w:sz w:val="24"/>
          <w:szCs w:val="24"/>
        </w:rPr>
        <w:t>of evidence in court.</w:t>
      </w:r>
      <w:r w:rsidR="00A6281B">
        <w:rPr>
          <w:rFonts w:ascii="Arial" w:hAnsi="Arial" w:cs="Arial"/>
          <w:sz w:val="24"/>
          <w:szCs w:val="24"/>
        </w:rPr>
        <w:t xml:space="preserve"> </w:t>
      </w:r>
    </w:p>
    <w:p w14:paraId="24DA00AC" w14:textId="425146E2" w:rsidR="00CB78FF" w:rsidRPr="00463900" w:rsidRDefault="008B7A1E" w:rsidP="00CB78FF">
      <w:pPr>
        <w:rPr>
          <w:rFonts w:ascii="Arial" w:hAnsi="Arial" w:cs="Arial"/>
          <w:sz w:val="24"/>
          <w:szCs w:val="24"/>
        </w:rPr>
      </w:pPr>
      <w:r w:rsidRPr="00463900">
        <w:rPr>
          <w:rFonts w:ascii="Arial" w:hAnsi="Arial" w:cs="Arial"/>
          <w:sz w:val="24"/>
          <w:szCs w:val="24"/>
        </w:rPr>
        <w:t xml:space="preserve">Advancements in technology </w:t>
      </w:r>
      <w:r w:rsidR="004345D2">
        <w:rPr>
          <w:rFonts w:ascii="Arial" w:hAnsi="Arial" w:cs="Arial"/>
          <w:sz w:val="24"/>
          <w:szCs w:val="24"/>
        </w:rPr>
        <w:t>including</w:t>
      </w:r>
      <w:r w:rsidRPr="00463900">
        <w:rPr>
          <w:rFonts w:ascii="Arial" w:hAnsi="Arial" w:cs="Arial"/>
          <w:sz w:val="24"/>
          <w:szCs w:val="24"/>
        </w:rPr>
        <w:t xml:space="preserve"> the use of cloud data</w:t>
      </w:r>
      <w:r w:rsidR="007025C7" w:rsidRPr="00463900">
        <w:rPr>
          <w:rFonts w:ascii="Arial" w:hAnsi="Arial" w:cs="Arial"/>
          <w:sz w:val="24"/>
          <w:szCs w:val="24"/>
        </w:rPr>
        <w:t>,</w:t>
      </w:r>
      <w:r w:rsidRPr="00463900">
        <w:rPr>
          <w:rFonts w:ascii="Arial" w:hAnsi="Arial" w:cs="Arial"/>
          <w:sz w:val="24"/>
          <w:szCs w:val="24"/>
        </w:rPr>
        <w:t xml:space="preserve"> presents issues around the current use of digital forensics. A study by Garfinkel (2010) argues that the use of </w:t>
      </w:r>
      <w:r w:rsidR="004345D2">
        <w:rPr>
          <w:rFonts w:ascii="Arial" w:hAnsi="Arial" w:cs="Arial"/>
          <w:sz w:val="24"/>
          <w:szCs w:val="24"/>
        </w:rPr>
        <w:t>c</w:t>
      </w:r>
      <w:r w:rsidRPr="00463900">
        <w:rPr>
          <w:rFonts w:ascii="Arial" w:hAnsi="Arial" w:cs="Arial"/>
          <w:sz w:val="24"/>
          <w:szCs w:val="24"/>
        </w:rPr>
        <w:t xml:space="preserve">loud data restricts investigator’s ability to access evidence. This is supported by </w:t>
      </w:r>
      <w:r w:rsidR="007A5560" w:rsidRPr="00B60FA5">
        <w:rPr>
          <w:rFonts w:ascii="Arial" w:eastAsia="Arial" w:hAnsi="Arial" w:cs="Arial"/>
          <w:sz w:val="24"/>
          <w:szCs w:val="24"/>
        </w:rPr>
        <w:t>Grispo</w:t>
      </w:r>
      <w:r w:rsidR="007A5560">
        <w:rPr>
          <w:rFonts w:ascii="Arial" w:eastAsia="Arial" w:hAnsi="Arial" w:cs="Arial"/>
          <w:sz w:val="24"/>
          <w:szCs w:val="24"/>
        </w:rPr>
        <w:t>s,</w:t>
      </w:r>
      <w:r w:rsidR="007A5560" w:rsidRPr="00B60FA5">
        <w:rPr>
          <w:rFonts w:ascii="Arial" w:eastAsia="Arial" w:hAnsi="Arial" w:cs="Arial"/>
          <w:sz w:val="24"/>
          <w:szCs w:val="24"/>
        </w:rPr>
        <w:t xml:space="preserve"> Glisson</w:t>
      </w:r>
      <w:r w:rsidR="007A5560">
        <w:rPr>
          <w:rFonts w:ascii="Arial" w:eastAsia="Arial" w:hAnsi="Arial" w:cs="Arial"/>
          <w:sz w:val="24"/>
          <w:szCs w:val="24"/>
        </w:rPr>
        <w:t xml:space="preserve"> and </w:t>
      </w:r>
      <w:r w:rsidR="007A5560" w:rsidRPr="00B60FA5">
        <w:rPr>
          <w:rFonts w:ascii="Arial" w:eastAsia="Arial" w:hAnsi="Arial" w:cs="Arial"/>
          <w:sz w:val="24"/>
          <w:szCs w:val="24"/>
        </w:rPr>
        <w:t xml:space="preserve">Storer </w:t>
      </w:r>
      <w:r w:rsidRPr="00463900">
        <w:rPr>
          <w:rFonts w:ascii="Arial" w:hAnsi="Arial" w:cs="Arial"/>
          <w:sz w:val="24"/>
          <w:szCs w:val="24"/>
        </w:rPr>
        <w:t>(201</w:t>
      </w:r>
      <w:r w:rsidR="007A5560">
        <w:rPr>
          <w:rFonts w:ascii="Arial" w:hAnsi="Arial" w:cs="Arial"/>
          <w:sz w:val="24"/>
          <w:szCs w:val="24"/>
        </w:rPr>
        <w:t>3</w:t>
      </w:r>
      <w:r w:rsidRPr="00463900">
        <w:rPr>
          <w:rFonts w:ascii="Arial" w:hAnsi="Arial" w:cs="Arial"/>
          <w:sz w:val="24"/>
          <w:szCs w:val="24"/>
        </w:rPr>
        <w:t>) who argue that established digital forensic procedures will be invalidated</w:t>
      </w:r>
      <w:r w:rsidR="00FB23F4" w:rsidRPr="00463900">
        <w:rPr>
          <w:rFonts w:ascii="Arial" w:hAnsi="Arial" w:cs="Arial"/>
          <w:sz w:val="24"/>
          <w:szCs w:val="24"/>
        </w:rPr>
        <w:t xml:space="preserve"> and restrict investigator’s ability to acquire evidence</w:t>
      </w:r>
      <w:r w:rsidRPr="00463900">
        <w:rPr>
          <w:rFonts w:ascii="Arial" w:hAnsi="Arial" w:cs="Arial"/>
          <w:sz w:val="24"/>
          <w:szCs w:val="24"/>
        </w:rPr>
        <w:t xml:space="preserve">. This </w:t>
      </w:r>
      <w:r w:rsidRPr="00463900">
        <w:rPr>
          <w:rFonts w:ascii="Arial" w:hAnsi="Arial" w:cs="Arial"/>
          <w:sz w:val="24"/>
          <w:szCs w:val="24"/>
        </w:rPr>
        <w:t xml:space="preserve">further </w:t>
      </w:r>
      <w:r w:rsidRPr="00463900">
        <w:rPr>
          <w:rFonts w:ascii="Arial" w:hAnsi="Arial" w:cs="Arial"/>
          <w:sz w:val="24"/>
          <w:szCs w:val="24"/>
        </w:rPr>
        <w:t xml:space="preserve">supports the </w:t>
      </w:r>
      <w:r w:rsidRPr="00463900">
        <w:rPr>
          <w:rFonts w:ascii="Arial" w:hAnsi="Arial" w:cs="Arial"/>
          <w:sz w:val="24"/>
          <w:szCs w:val="24"/>
        </w:rPr>
        <w:t>need for the effective and strategic use of DFT</w:t>
      </w:r>
      <w:r w:rsidRPr="00463900">
        <w:rPr>
          <w:rFonts w:ascii="Arial" w:hAnsi="Arial" w:cs="Arial"/>
          <w:sz w:val="24"/>
          <w:szCs w:val="24"/>
        </w:rPr>
        <w:t>.</w:t>
      </w:r>
      <w:r w:rsidR="004C5C28" w:rsidRPr="00463900">
        <w:rPr>
          <w:rFonts w:ascii="Arial" w:hAnsi="Arial" w:cs="Arial"/>
          <w:sz w:val="24"/>
          <w:szCs w:val="24"/>
        </w:rPr>
        <w:t xml:space="preserve"> However, Casey (2013) highlights the </w:t>
      </w:r>
      <w:r w:rsidR="00194889" w:rsidRPr="00463900">
        <w:rPr>
          <w:rFonts w:ascii="Arial" w:hAnsi="Arial" w:cs="Arial"/>
          <w:sz w:val="24"/>
          <w:szCs w:val="24"/>
        </w:rPr>
        <w:t>importance of not substituting DFT for more thorough digital forensic extraction</w:t>
      </w:r>
      <w:r w:rsidR="008B2639">
        <w:rPr>
          <w:rFonts w:ascii="Arial" w:hAnsi="Arial" w:cs="Arial"/>
          <w:sz w:val="24"/>
          <w:szCs w:val="24"/>
        </w:rPr>
        <w:t>s;</w:t>
      </w:r>
      <w:r w:rsidR="008A4E70" w:rsidRPr="00463900">
        <w:rPr>
          <w:rFonts w:ascii="Arial" w:hAnsi="Arial" w:cs="Arial"/>
          <w:sz w:val="24"/>
          <w:szCs w:val="24"/>
        </w:rPr>
        <w:t xml:space="preserve"> even if investigators </w:t>
      </w:r>
      <w:r w:rsidR="00A10E87" w:rsidRPr="00463900">
        <w:rPr>
          <w:rFonts w:ascii="Arial" w:hAnsi="Arial" w:cs="Arial"/>
          <w:sz w:val="24"/>
          <w:szCs w:val="24"/>
        </w:rPr>
        <w:t xml:space="preserve">secure </w:t>
      </w:r>
      <w:r w:rsidR="00A4104B" w:rsidRPr="00463900">
        <w:rPr>
          <w:rFonts w:ascii="Arial" w:hAnsi="Arial" w:cs="Arial"/>
          <w:sz w:val="24"/>
          <w:szCs w:val="24"/>
        </w:rPr>
        <w:t xml:space="preserve">crucial </w:t>
      </w:r>
      <w:r w:rsidR="008A4E70" w:rsidRPr="00463900">
        <w:rPr>
          <w:rFonts w:ascii="Arial" w:hAnsi="Arial" w:cs="Arial"/>
          <w:sz w:val="24"/>
          <w:szCs w:val="24"/>
        </w:rPr>
        <w:t>evidence</w:t>
      </w:r>
      <w:r w:rsidR="00A4104B" w:rsidRPr="00463900">
        <w:rPr>
          <w:rFonts w:ascii="Arial" w:hAnsi="Arial" w:cs="Arial"/>
          <w:sz w:val="24"/>
          <w:szCs w:val="24"/>
        </w:rPr>
        <w:t xml:space="preserve">, additional relevant </w:t>
      </w:r>
      <w:r w:rsidR="00707CDC" w:rsidRPr="00463900">
        <w:rPr>
          <w:rFonts w:ascii="Arial" w:hAnsi="Arial" w:cs="Arial"/>
          <w:sz w:val="24"/>
          <w:szCs w:val="24"/>
        </w:rPr>
        <w:t>information</w:t>
      </w:r>
      <w:r w:rsidR="00A4104B" w:rsidRPr="00463900">
        <w:rPr>
          <w:rFonts w:ascii="Arial" w:hAnsi="Arial" w:cs="Arial"/>
          <w:sz w:val="24"/>
          <w:szCs w:val="24"/>
        </w:rPr>
        <w:t xml:space="preserve"> </w:t>
      </w:r>
      <w:r w:rsidR="00707CDC" w:rsidRPr="00463900">
        <w:rPr>
          <w:rFonts w:ascii="Arial" w:hAnsi="Arial" w:cs="Arial"/>
          <w:sz w:val="24"/>
          <w:szCs w:val="24"/>
        </w:rPr>
        <w:t>may be available</w:t>
      </w:r>
      <w:r w:rsidR="00A4104B" w:rsidRPr="00463900">
        <w:rPr>
          <w:rFonts w:ascii="Arial" w:hAnsi="Arial" w:cs="Arial"/>
          <w:sz w:val="24"/>
          <w:szCs w:val="24"/>
        </w:rPr>
        <w:t xml:space="preserve">. </w:t>
      </w:r>
    </w:p>
    <w:p w14:paraId="7EADC0BA" w14:textId="71FFF4CD" w:rsidR="0010493E" w:rsidRPr="00463900" w:rsidRDefault="006F7FAD" w:rsidP="004047ED">
      <w:pPr>
        <w:rPr>
          <w:rFonts w:ascii="Arial" w:hAnsi="Arial" w:cs="Arial"/>
          <w:sz w:val="24"/>
          <w:szCs w:val="24"/>
          <w:highlight w:val="green"/>
        </w:rPr>
      </w:pPr>
      <w:r>
        <w:rPr>
          <w:rFonts w:ascii="Arial" w:hAnsi="Arial" w:cs="Arial"/>
          <w:sz w:val="24"/>
          <w:szCs w:val="24"/>
        </w:rPr>
        <w:t>DFT</w:t>
      </w:r>
      <w:r w:rsidR="0010493E" w:rsidRPr="00463900">
        <w:rPr>
          <w:rFonts w:ascii="Arial" w:hAnsi="Arial" w:cs="Arial"/>
          <w:sz w:val="24"/>
          <w:szCs w:val="24"/>
        </w:rPr>
        <w:t xml:space="preserve"> has the potential to improve investigation outcomes and reduce demand on digital forensics. However, its effectiveness depends on suitable tools, trained staff, and </w:t>
      </w:r>
      <w:r w:rsidR="008714AD" w:rsidRPr="00463900">
        <w:rPr>
          <w:rFonts w:ascii="Arial" w:hAnsi="Arial" w:cs="Arial"/>
          <w:sz w:val="24"/>
          <w:szCs w:val="24"/>
        </w:rPr>
        <w:t>its method of implementation</w:t>
      </w:r>
      <w:r w:rsidR="0010493E" w:rsidRPr="00463900">
        <w:rPr>
          <w:rFonts w:ascii="Arial" w:hAnsi="Arial" w:cs="Arial"/>
          <w:sz w:val="24"/>
          <w:szCs w:val="24"/>
        </w:rPr>
        <w:t>. Inconsistent approaches to digital device recovery and examination were found in a recent HMIC inspection, and senior leaders may not fully understand the demand for digital forensics and its impact on investigations</w:t>
      </w:r>
      <w:r w:rsidR="0010493E" w:rsidRPr="00463900">
        <w:rPr>
          <w:rFonts w:ascii="Arial" w:hAnsi="Arial" w:cs="Arial"/>
          <w:sz w:val="24"/>
          <w:szCs w:val="24"/>
        </w:rPr>
        <w:t xml:space="preserve"> (HMICFRS, 2022)</w:t>
      </w:r>
      <w:r w:rsidR="0010493E" w:rsidRPr="00463900">
        <w:rPr>
          <w:rFonts w:ascii="Arial" w:hAnsi="Arial" w:cs="Arial"/>
          <w:sz w:val="24"/>
          <w:szCs w:val="24"/>
        </w:rPr>
        <w:t>. Initial research suggests a lack of consistency in DFT, particularly at the scene</w:t>
      </w:r>
      <w:r w:rsidR="00FD1B66" w:rsidRPr="00463900">
        <w:rPr>
          <w:rFonts w:ascii="Arial" w:hAnsi="Arial" w:cs="Arial"/>
          <w:sz w:val="24"/>
          <w:szCs w:val="24"/>
        </w:rPr>
        <w:t>, restricting its effectiveness in reducing demand on digital forensics in investigations</w:t>
      </w:r>
      <w:r w:rsidR="0010493E" w:rsidRPr="00463900">
        <w:rPr>
          <w:rFonts w:ascii="Arial" w:hAnsi="Arial" w:cs="Arial"/>
          <w:sz w:val="24"/>
          <w:szCs w:val="24"/>
        </w:rPr>
        <w:t>. Further research is needed to identify best practices and ensure reliable and consistent implementation of digital forensic triage within Dyfed Powys Police.</w:t>
      </w:r>
      <w:r w:rsidR="0010493E" w:rsidRPr="00463900">
        <w:rPr>
          <w:rFonts w:ascii="Arial" w:hAnsi="Arial" w:cs="Arial"/>
          <w:sz w:val="24"/>
          <w:szCs w:val="24"/>
          <w:highlight w:val="green"/>
        </w:rPr>
        <w:t xml:space="preserve"> </w:t>
      </w:r>
    </w:p>
    <w:p w14:paraId="131CCBA5" w14:textId="35C60C40" w:rsidR="00982A3E" w:rsidRPr="00463900" w:rsidRDefault="00982A3E" w:rsidP="004047ED">
      <w:pPr>
        <w:rPr>
          <w:rFonts w:ascii="Arial" w:hAnsi="Arial" w:cs="Arial"/>
          <w:sz w:val="24"/>
          <w:szCs w:val="24"/>
        </w:rPr>
      </w:pPr>
      <w:r w:rsidRPr="00463900">
        <w:rPr>
          <w:rFonts w:ascii="Arial" w:hAnsi="Arial" w:cs="Arial"/>
          <w:sz w:val="24"/>
          <w:szCs w:val="24"/>
        </w:rPr>
        <w:t xml:space="preserve">(Words </w:t>
      </w:r>
      <w:r w:rsidR="00034B2F" w:rsidRPr="00463900">
        <w:rPr>
          <w:rFonts w:ascii="Arial" w:hAnsi="Arial" w:cs="Arial"/>
          <w:sz w:val="24"/>
          <w:szCs w:val="24"/>
        </w:rPr>
        <w:t>6</w:t>
      </w:r>
      <w:r w:rsidR="00A247F4">
        <w:rPr>
          <w:rFonts w:ascii="Arial" w:hAnsi="Arial" w:cs="Arial"/>
          <w:sz w:val="24"/>
          <w:szCs w:val="24"/>
        </w:rPr>
        <w:t>5</w:t>
      </w:r>
      <w:r w:rsidR="008B2639">
        <w:rPr>
          <w:rFonts w:ascii="Arial" w:hAnsi="Arial" w:cs="Arial"/>
          <w:sz w:val="24"/>
          <w:szCs w:val="24"/>
        </w:rPr>
        <w:t>4</w:t>
      </w:r>
      <w:r w:rsidRPr="00463900">
        <w:rPr>
          <w:rFonts w:ascii="Arial" w:hAnsi="Arial" w:cs="Arial"/>
          <w:sz w:val="24"/>
          <w:szCs w:val="24"/>
        </w:rPr>
        <w:t>)</w:t>
      </w:r>
    </w:p>
    <w:p w14:paraId="5ED79ED3" w14:textId="25D31CF3" w:rsidR="0033020F" w:rsidRPr="005F5411" w:rsidRDefault="0033020F" w:rsidP="007D4D75">
      <w:pPr>
        <w:pStyle w:val="Heading1"/>
      </w:pPr>
      <w:r w:rsidRPr="0033020F">
        <w:rPr>
          <w:b/>
        </w:rPr>
        <w:t>Method</w:t>
      </w:r>
      <w:r w:rsidR="005F5411">
        <w:rPr>
          <w:b/>
        </w:rPr>
        <w:t xml:space="preserve"> </w:t>
      </w:r>
      <w:r w:rsidR="00C42086">
        <w:t>(</w:t>
      </w:r>
      <w:r w:rsidR="00752B35">
        <w:t>500</w:t>
      </w:r>
      <w:r w:rsidR="005F5411">
        <w:t xml:space="preserve"> words max)</w:t>
      </w:r>
    </w:p>
    <w:p w14:paraId="10F4E10B" w14:textId="007FECF4" w:rsidR="005F5411" w:rsidRPr="005F5411" w:rsidRDefault="005F5411" w:rsidP="007D4D75">
      <w:pPr>
        <w:pStyle w:val="Heading2"/>
      </w:pPr>
      <w:r w:rsidRPr="0033020F">
        <w:rPr>
          <w:i/>
          <w:iCs/>
        </w:rPr>
        <w:t>Aim(s):</w:t>
      </w:r>
      <w:r w:rsidRPr="0033020F">
        <w:rPr>
          <w:b/>
          <w:bCs/>
        </w:rPr>
        <w:t xml:space="preserve"> </w:t>
      </w:r>
      <w:r w:rsidRPr="0033020F">
        <w:t>Identify the key aim(s) of this study in a sentence or two.</w:t>
      </w:r>
    </w:p>
    <w:p w14:paraId="1D6A150D" w14:textId="19F6262C" w:rsidR="005F5411" w:rsidRPr="00463900" w:rsidRDefault="00AF423A" w:rsidP="005F5411">
      <w:pPr>
        <w:rPr>
          <w:rFonts w:ascii="Arial" w:hAnsi="Arial" w:cs="Arial"/>
          <w:sz w:val="24"/>
          <w:szCs w:val="24"/>
        </w:rPr>
      </w:pPr>
      <w:r w:rsidRPr="00463900">
        <w:rPr>
          <w:rFonts w:ascii="Arial" w:hAnsi="Arial" w:cs="Arial"/>
          <w:sz w:val="24"/>
          <w:szCs w:val="24"/>
        </w:rPr>
        <w:t>The research aims to evaluate the effectiveness of Digital Forensic Triage (DFT) in Dyfed Powys Police, with a specific focus on reducing the demand on digital forensics, improving the efficiency of criminal investigations, and assessing the outcomes of cases using DFT. The study will critically analyse the implementation of DFT and identify any barriers to its successful adoption in the organisation.</w:t>
      </w:r>
    </w:p>
    <w:p w14:paraId="5FD522C9" w14:textId="46F31A40" w:rsidR="00F90D22" w:rsidRPr="00463900" w:rsidRDefault="00F90D22" w:rsidP="005F5411">
      <w:pPr>
        <w:rPr>
          <w:rFonts w:ascii="Arial" w:hAnsi="Arial" w:cs="Arial"/>
          <w:sz w:val="24"/>
          <w:szCs w:val="24"/>
        </w:rPr>
      </w:pPr>
      <w:r w:rsidRPr="00463900">
        <w:rPr>
          <w:rFonts w:ascii="Arial" w:hAnsi="Arial" w:cs="Arial"/>
          <w:sz w:val="24"/>
          <w:szCs w:val="24"/>
        </w:rPr>
        <w:t>(Words 6</w:t>
      </w:r>
      <w:r w:rsidR="0024226B" w:rsidRPr="00463900">
        <w:rPr>
          <w:rFonts w:ascii="Arial" w:hAnsi="Arial" w:cs="Arial"/>
          <w:sz w:val="24"/>
          <w:szCs w:val="24"/>
        </w:rPr>
        <w:t>1</w:t>
      </w:r>
      <w:r w:rsidRPr="00463900">
        <w:rPr>
          <w:rFonts w:ascii="Arial" w:hAnsi="Arial" w:cs="Arial"/>
          <w:sz w:val="24"/>
          <w:szCs w:val="24"/>
        </w:rPr>
        <w:t>)</w:t>
      </w:r>
    </w:p>
    <w:p w14:paraId="09B65417" w14:textId="5F5EF97F" w:rsidR="005F5411" w:rsidRPr="0033020F" w:rsidRDefault="0033020F" w:rsidP="007D4D75">
      <w:pPr>
        <w:pStyle w:val="Heading2"/>
      </w:pPr>
      <w:r w:rsidRPr="005F5411">
        <w:rPr>
          <w:b/>
          <w:bCs/>
          <w:i/>
          <w:iCs/>
        </w:rPr>
        <w:lastRenderedPageBreak/>
        <w:t xml:space="preserve"> </w:t>
      </w:r>
      <w:r w:rsidRPr="005F5411">
        <w:rPr>
          <w:i/>
          <w:iCs/>
        </w:rPr>
        <w:t>Objective(s):</w:t>
      </w:r>
      <w:r w:rsidRPr="005F5411">
        <w:rPr>
          <w:b/>
          <w:bCs/>
        </w:rPr>
        <w:t xml:space="preserve">  </w:t>
      </w:r>
      <w:r w:rsidRPr="0033020F">
        <w:t>Bullet points of what you need to achieve to succeed in your aims</w:t>
      </w:r>
    </w:p>
    <w:p w14:paraId="0204C1C7" w14:textId="1EDB9227" w:rsidR="000520E6" w:rsidRPr="00463900" w:rsidRDefault="000520E6" w:rsidP="002D79A2">
      <w:pPr>
        <w:pStyle w:val="ListParagraph"/>
        <w:numPr>
          <w:ilvl w:val="0"/>
          <w:numId w:val="3"/>
        </w:numPr>
        <w:rPr>
          <w:rFonts w:ascii="Arial" w:hAnsi="Arial" w:cs="Arial"/>
          <w:sz w:val="24"/>
          <w:szCs w:val="24"/>
        </w:rPr>
      </w:pPr>
      <w:r w:rsidRPr="00463900">
        <w:rPr>
          <w:rFonts w:ascii="Arial" w:hAnsi="Arial" w:cs="Arial"/>
          <w:sz w:val="24"/>
          <w:szCs w:val="24"/>
        </w:rPr>
        <w:t>Conduct a systematic review of existing literature on Digital Forensic Triage.</w:t>
      </w:r>
    </w:p>
    <w:p w14:paraId="0B8AA8FE" w14:textId="630ECBBB" w:rsidR="000520E6" w:rsidRPr="00463900" w:rsidRDefault="000520E6" w:rsidP="002D79A2">
      <w:pPr>
        <w:pStyle w:val="ListParagraph"/>
        <w:numPr>
          <w:ilvl w:val="0"/>
          <w:numId w:val="3"/>
        </w:numPr>
        <w:rPr>
          <w:rFonts w:ascii="Arial" w:hAnsi="Arial" w:cs="Arial"/>
          <w:sz w:val="24"/>
          <w:szCs w:val="24"/>
        </w:rPr>
      </w:pPr>
      <w:r w:rsidRPr="00463900">
        <w:rPr>
          <w:rFonts w:ascii="Arial" w:hAnsi="Arial" w:cs="Arial"/>
          <w:sz w:val="24"/>
          <w:szCs w:val="24"/>
        </w:rPr>
        <w:t>Establish the extent to which Digital Forensic Triage is currently used in investigations by Dyfed Powys Police, through a survey of digital investigation units, specialised units, and criminal investigation units.</w:t>
      </w:r>
    </w:p>
    <w:p w14:paraId="6181C681" w14:textId="0891F0FB" w:rsidR="000520E6" w:rsidRPr="00463900" w:rsidRDefault="000520E6" w:rsidP="002D79A2">
      <w:pPr>
        <w:pStyle w:val="ListParagraph"/>
        <w:numPr>
          <w:ilvl w:val="0"/>
          <w:numId w:val="3"/>
        </w:numPr>
        <w:rPr>
          <w:rFonts w:ascii="Arial" w:hAnsi="Arial" w:cs="Arial"/>
          <w:sz w:val="24"/>
          <w:szCs w:val="24"/>
        </w:rPr>
      </w:pPr>
      <w:r w:rsidRPr="00463900">
        <w:rPr>
          <w:rFonts w:ascii="Arial" w:hAnsi="Arial" w:cs="Arial"/>
          <w:sz w:val="24"/>
          <w:szCs w:val="24"/>
        </w:rPr>
        <w:t xml:space="preserve">Critically analyse the data collected to assess the impact of Digital Forensic Triage on the efficiency and effectiveness of digital investigation units. This will include an analysis and comparison of the quality of the evidence obtained using traditional forensic processes against evidence obtained through Digital Forensic Triage. </w:t>
      </w:r>
    </w:p>
    <w:p w14:paraId="4AA93678" w14:textId="1247EE33" w:rsidR="000520E6" w:rsidRPr="00463900" w:rsidRDefault="000520E6" w:rsidP="002D79A2">
      <w:pPr>
        <w:pStyle w:val="ListParagraph"/>
        <w:numPr>
          <w:ilvl w:val="0"/>
          <w:numId w:val="3"/>
        </w:numPr>
        <w:rPr>
          <w:rFonts w:ascii="Arial" w:hAnsi="Arial" w:cs="Arial"/>
          <w:sz w:val="24"/>
          <w:szCs w:val="24"/>
        </w:rPr>
      </w:pPr>
      <w:r w:rsidRPr="00463900">
        <w:rPr>
          <w:rFonts w:ascii="Arial" w:hAnsi="Arial" w:cs="Arial"/>
          <w:sz w:val="24"/>
          <w:szCs w:val="24"/>
        </w:rPr>
        <w:t xml:space="preserve">Identify the challenges associated with the use of Digital Forensic Triage in digital investigation units and at scene, through surveys </w:t>
      </w:r>
      <w:r w:rsidR="0024226B" w:rsidRPr="00463900">
        <w:rPr>
          <w:rFonts w:ascii="Arial" w:hAnsi="Arial" w:cs="Arial"/>
          <w:sz w:val="24"/>
          <w:szCs w:val="24"/>
        </w:rPr>
        <w:t>and</w:t>
      </w:r>
      <w:r w:rsidRPr="00463900">
        <w:rPr>
          <w:rFonts w:ascii="Arial" w:hAnsi="Arial" w:cs="Arial"/>
          <w:sz w:val="24"/>
          <w:szCs w:val="24"/>
        </w:rPr>
        <w:t xml:space="preserve"> interviews with digital investigators, forensic examiners, and traditional investigators.</w:t>
      </w:r>
    </w:p>
    <w:p w14:paraId="32C4AAF5" w14:textId="40A4FC11" w:rsidR="005F5411" w:rsidRPr="00463900" w:rsidRDefault="000520E6" w:rsidP="002D79A2">
      <w:pPr>
        <w:pStyle w:val="ListParagraph"/>
        <w:numPr>
          <w:ilvl w:val="0"/>
          <w:numId w:val="3"/>
        </w:numPr>
        <w:rPr>
          <w:rFonts w:ascii="Arial" w:hAnsi="Arial" w:cs="Arial"/>
          <w:sz w:val="24"/>
          <w:szCs w:val="24"/>
        </w:rPr>
      </w:pPr>
      <w:r w:rsidRPr="00463900">
        <w:rPr>
          <w:rFonts w:ascii="Arial" w:hAnsi="Arial" w:cs="Arial"/>
          <w:sz w:val="24"/>
          <w:szCs w:val="24"/>
        </w:rPr>
        <w:t>Provide recommendations for the effective use of Digital Forensic Triage in digital investigation units based on the findings of the study, whilst considering opportunities to expand any recommended use to other investigation departments within Dyfed Powys Police</w:t>
      </w:r>
      <w:r w:rsidR="009E6C0D" w:rsidRPr="00463900">
        <w:rPr>
          <w:rFonts w:ascii="Arial" w:hAnsi="Arial" w:cs="Arial"/>
          <w:sz w:val="24"/>
          <w:szCs w:val="24"/>
        </w:rPr>
        <w:t xml:space="preserve"> and other police forces</w:t>
      </w:r>
      <w:r w:rsidRPr="00463900">
        <w:rPr>
          <w:rFonts w:ascii="Arial" w:hAnsi="Arial" w:cs="Arial"/>
          <w:sz w:val="24"/>
          <w:szCs w:val="24"/>
        </w:rPr>
        <w:t>.</w:t>
      </w:r>
    </w:p>
    <w:p w14:paraId="4AD9E958" w14:textId="0921B891" w:rsidR="00F90D22" w:rsidRPr="00463900" w:rsidRDefault="00F90D22" w:rsidP="000520E6">
      <w:pPr>
        <w:rPr>
          <w:rFonts w:ascii="Arial" w:hAnsi="Arial" w:cs="Arial"/>
          <w:sz w:val="24"/>
          <w:szCs w:val="24"/>
        </w:rPr>
      </w:pPr>
      <w:r w:rsidRPr="00463900">
        <w:rPr>
          <w:rFonts w:ascii="Arial" w:hAnsi="Arial" w:cs="Arial"/>
          <w:sz w:val="24"/>
          <w:szCs w:val="24"/>
        </w:rPr>
        <w:t>(Words 1</w:t>
      </w:r>
      <w:r w:rsidR="009E6C0D" w:rsidRPr="00463900">
        <w:rPr>
          <w:rFonts w:ascii="Arial" w:hAnsi="Arial" w:cs="Arial"/>
          <w:sz w:val="24"/>
          <w:szCs w:val="24"/>
        </w:rPr>
        <w:t>59</w:t>
      </w:r>
      <w:r w:rsidRPr="00463900">
        <w:rPr>
          <w:rFonts w:ascii="Arial" w:hAnsi="Arial" w:cs="Arial"/>
          <w:sz w:val="24"/>
          <w:szCs w:val="24"/>
        </w:rPr>
        <w:t>)</w:t>
      </w:r>
    </w:p>
    <w:p w14:paraId="3DDF401C" w14:textId="673CE57E" w:rsidR="005F5411" w:rsidRPr="0033020F" w:rsidRDefault="0033020F" w:rsidP="007D4D75">
      <w:pPr>
        <w:pStyle w:val="Heading2"/>
      </w:pPr>
      <w:r w:rsidRPr="0033020F">
        <w:rPr>
          <w:i/>
          <w:iCs/>
        </w:rPr>
        <w:t> Design:</w:t>
      </w:r>
      <w:r w:rsidRPr="0033020F">
        <w:t xml:space="preserve"> Quantitative or qualitative? Survey or secondary data approach? </w:t>
      </w:r>
    </w:p>
    <w:p w14:paraId="71959CA2" w14:textId="77777777" w:rsidR="00D5731A" w:rsidRPr="003F4D9A" w:rsidRDefault="00D5731A" w:rsidP="00D5731A">
      <w:pPr>
        <w:rPr>
          <w:rFonts w:ascii="Arial" w:hAnsi="Arial" w:cs="Arial"/>
          <w:sz w:val="24"/>
          <w:szCs w:val="24"/>
        </w:rPr>
      </w:pPr>
      <w:r w:rsidRPr="003F4D9A">
        <w:rPr>
          <w:rFonts w:ascii="Arial" w:hAnsi="Arial" w:cs="Arial"/>
          <w:sz w:val="24"/>
          <w:szCs w:val="24"/>
        </w:rPr>
        <w:t>The research design for this study will involve a mixed-methods approach to gather both quantitative and qualitative data. The study will involve the following steps:</w:t>
      </w:r>
    </w:p>
    <w:p w14:paraId="1E31378B" w14:textId="22609845" w:rsidR="001F2DE1" w:rsidRPr="003F4D9A" w:rsidRDefault="001F2DE1" w:rsidP="00D5731A">
      <w:pPr>
        <w:rPr>
          <w:rFonts w:ascii="Arial" w:hAnsi="Arial" w:cs="Arial"/>
          <w:sz w:val="24"/>
          <w:szCs w:val="24"/>
        </w:rPr>
      </w:pPr>
      <w:r w:rsidRPr="003F4D9A">
        <w:rPr>
          <w:rFonts w:ascii="Arial" w:hAnsi="Arial" w:cs="Arial"/>
          <w:sz w:val="24"/>
          <w:szCs w:val="24"/>
        </w:rPr>
        <w:t xml:space="preserve">The researcher will conduct a </w:t>
      </w:r>
      <w:r w:rsidRPr="003F4D9A">
        <w:rPr>
          <w:rFonts w:ascii="Arial" w:hAnsi="Arial" w:cs="Arial"/>
          <w:sz w:val="24"/>
          <w:szCs w:val="24"/>
        </w:rPr>
        <w:t xml:space="preserve">systematic literature review on Digital Forensic Triage (DFT) to evaluate the current knowledge on the subject, including best practices, challenges, and limitations faced in digital investigation units. </w:t>
      </w:r>
      <w:r w:rsidRPr="003F4D9A">
        <w:rPr>
          <w:rFonts w:ascii="Arial" w:hAnsi="Arial" w:cs="Arial"/>
          <w:sz w:val="24"/>
          <w:szCs w:val="24"/>
        </w:rPr>
        <w:t>The</w:t>
      </w:r>
      <w:r w:rsidRPr="003F4D9A">
        <w:rPr>
          <w:rFonts w:ascii="Arial" w:hAnsi="Arial" w:cs="Arial"/>
          <w:sz w:val="24"/>
          <w:szCs w:val="24"/>
        </w:rPr>
        <w:t xml:space="preserve"> literature sources will be sourced from the University library, National Police library, and Google Scholar.</w:t>
      </w:r>
    </w:p>
    <w:p w14:paraId="6EBE4CBB" w14:textId="04410D49" w:rsidR="004675F7" w:rsidRPr="003F4D9A" w:rsidRDefault="004675F7" w:rsidP="00D5731A">
      <w:pPr>
        <w:rPr>
          <w:rFonts w:ascii="Arial" w:hAnsi="Arial" w:cs="Arial"/>
          <w:sz w:val="24"/>
          <w:szCs w:val="24"/>
        </w:rPr>
      </w:pPr>
      <w:r w:rsidRPr="003F4D9A">
        <w:rPr>
          <w:rFonts w:ascii="Arial" w:hAnsi="Arial" w:cs="Arial"/>
          <w:sz w:val="24"/>
          <w:szCs w:val="24"/>
        </w:rPr>
        <w:t xml:space="preserve">An </w:t>
      </w:r>
      <w:r w:rsidRPr="003F4D9A">
        <w:rPr>
          <w:rFonts w:ascii="Arial" w:hAnsi="Arial" w:cs="Arial"/>
          <w:sz w:val="24"/>
          <w:szCs w:val="24"/>
        </w:rPr>
        <w:t>electronic</w:t>
      </w:r>
      <w:r w:rsidRPr="003F4D9A">
        <w:rPr>
          <w:rFonts w:ascii="Arial" w:hAnsi="Arial" w:cs="Arial"/>
          <w:sz w:val="24"/>
          <w:szCs w:val="24"/>
        </w:rPr>
        <w:t xml:space="preserve"> survey will gather data on the current usage of DFT in both internal and external digital investigations units. It will be conducted among investigative units in </w:t>
      </w:r>
      <w:r w:rsidRPr="003F4D9A">
        <w:rPr>
          <w:rFonts w:ascii="Arial" w:hAnsi="Arial" w:cs="Arial"/>
          <w:sz w:val="24"/>
          <w:szCs w:val="24"/>
        </w:rPr>
        <w:t>Dyfed Powys and</w:t>
      </w:r>
      <w:r w:rsidRPr="003F4D9A">
        <w:rPr>
          <w:rFonts w:ascii="Arial" w:hAnsi="Arial" w:cs="Arial"/>
          <w:sz w:val="24"/>
          <w:szCs w:val="24"/>
        </w:rPr>
        <w:t xml:space="preserve"> aims to collect information on the effectiveness of DFT in investigations, the types of cases where it is most useful, and its impact on the workload of digital investigators and units. Microsoft Forms will be used to administer the survey, which will have a sample size of at least 20 participants, with at least </w:t>
      </w:r>
      <w:r w:rsidR="004125B2" w:rsidRPr="003F4D9A">
        <w:rPr>
          <w:rFonts w:ascii="Arial" w:hAnsi="Arial" w:cs="Arial"/>
          <w:sz w:val="24"/>
          <w:szCs w:val="24"/>
        </w:rPr>
        <w:t>three</w:t>
      </w:r>
      <w:r w:rsidRPr="003F4D9A">
        <w:rPr>
          <w:rFonts w:ascii="Arial" w:hAnsi="Arial" w:cs="Arial"/>
          <w:sz w:val="24"/>
          <w:szCs w:val="24"/>
        </w:rPr>
        <w:t xml:space="preserve"> participants from each department specialism.</w:t>
      </w:r>
      <w:r w:rsidR="00DF3FA7" w:rsidRPr="003F4D9A">
        <w:rPr>
          <w:rFonts w:ascii="Arial" w:hAnsi="Arial" w:cs="Arial"/>
          <w:sz w:val="24"/>
          <w:szCs w:val="24"/>
        </w:rPr>
        <w:t xml:space="preserve"> Interviews with business leads from each department specialism will be conducted in the event of </w:t>
      </w:r>
      <w:r w:rsidR="00997121" w:rsidRPr="003F4D9A">
        <w:rPr>
          <w:rFonts w:ascii="Arial" w:hAnsi="Arial" w:cs="Arial"/>
          <w:sz w:val="24"/>
          <w:szCs w:val="24"/>
        </w:rPr>
        <w:t xml:space="preserve">an unsatisfactory </w:t>
      </w:r>
      <w:r w:rsidR="00DF3FA7" w:rsidRPr="003F4D9A">
        <w:rPr>
          <w:rFonts w:ascii="Arial" w:hAnsi="Arial" w:cs="Arial"/>
          <w:sz w:val="24"/>
          <w:szCs w:val="24"/>
        </w:rPr>
        <w:t xml:space="preserve">participation in the survey. </w:t>
      </w:r>
    </w:p>
    <w:p w14:paraId="6B7A4C7E" w14:textId="15E6C7D2" w:rsidR="004125B2" w:rsidRPr="003F4D9A" w:rsidRDefault="004125B2" w:rsidP="00D5731A">
      <w:pPr>
        <w:rPr>
          <w:rFonts w:ascii="Arial" w:hAnsi="Arial" w:cs="Arial"/>
          <w:sz w:val="24"/>
          <w:szCs w:val="24"/>
        </w:rPr>
      </w:pPr>
      <w:r w:rsidRPr="003F4D9A">
        <w:rPr>
          <w:rFonts w:ascii="Arial" w:hAnsi="Arial" w:cs="Arial"/>
          <w:sz w:val="24"/>
          <w:szCs w:val="24"/>
        </w:rPr>
        <w:t xml:space="preserve">To </w:t>
      </w:r>
      <w:r w:rsidRPr="003F4D9A">
        <w:rPr>
          <w:rFonts w:ascii="Arial" w:hAnsi="Arial" w:cs="Arial"/>
          <w:sz w:val="24"/>
          <w:szCs w:val="24"/>
        </w:rPr>
        <w:t>analyse</w:t>
      </w:r>
      <w:r w:rsidRPr="003F4D9A">
        <w:rPr>
          <w:rFonts w:ascii="Arial" w:hAnsi="Arial" w:cs="Arial"/>
          <w:sz w:val="24"/>
          <w:szCs w:val="24"/>
        </w:rPr>
        <w:t xml:space="preserve"> the impact of DFT on the efficiency and effectiveness of digital investigation units and on-scene departments,</w:t>
      </w:r>
      <w:r w:rsidRPr="003F4D9A">
        <w:rPr>
          <w:rFonts w:ascii="Arial" w:hAnsi="Arial" w:cs="Arial"/>
          <w:sz w:val="24"/>
          <w:szCs w:val="24"/>
        </w:rPr>
        <w:t xml:space="preserve"> the researcher</w:t>
      </w:r>
      <w:r w:rsidRPr="003F4D9A">
        <w:rPr>
          <w:rFonts w:ascii="Arial" w:hAnsi="Arial" w:cs="Arial"/>
          <w:sz w:val="24"/>
          <w:szCs w:val="24"/>
        </w:rPr>
        <w:t xml:space="preserve"> will use a case study approach. </w:t>
      </w:r>
      <w:r w:rsidRPr="003F4D9A">
        <w:rPr>
          <w:rFonts w:ascii="Arial" w:hAnsi="Arial" w:cs="Arial"/>
          <w:sz w:val="24"/>
          <w:szCs w:val="24"/>
        </w:rPr>
        <w:t>At</w:t>
      </w:r>
      <w:r w:rsidRPr="003F4D9A">
        <w:rPr>
          <w:rFonts w:ascii="Arial" w:hAnsi="Arial" w:cs="Arial"/>
          <w:sz w:val="24"/>
          <w:szCs w:val="24"/>
        </w:rPr>
        <w:t xml:space="preserve"> least </w:t>
      </w:r>
      <w:r w:rsidRPr="003F4D9A">
        <w:rPr>
          <w:rFonts w:ascii="Arial" w:hAnsi="Arial" w:cs="Arial"/>
          <w:sz w:val="24"/>
          <w:szCs w:val="24"/>
        </w:rPr>
        <w:t>three</w:t>
      </w:r>
      <w:r w:rsidRPr="003F4D9A">
        <w:rPr>
          <w:rFonts w:ascii="Arial" w:hAnsi="Arial" w:cs="Arial"/>
          <w:sz w:val="24"/>
          <w:szCs w:val="24"/>
        </w:rPr>
        <w:t xml:space="preserve"> case studies </w:t>
      </w:r>
      <w:r w:rsidRPr="003F4D9A">
        <w:rPr>
          <w:rFonts w:ascii="Arial" w:hAnsi="Arial" w:cs="Arial"/>
          <w:sz w:val="24"/>
          <w:szCs w:val="24"/>
        </w:rPr>
        <w:t xml:space="preserve">will be identified </w:t>
      </w:r>
      <w:r w:rsidRPr="003F4D9A">
        <w:rPr>
          <w:rFonts w:ascii="Arial" w:hAnsi="Arial" w:cs="Arial"/>
          <w:sz w:val="24"/>
          <w:szCs w:val="24"/>
        </w:rPr>
        <w:t xml:space="preserve">from survey responses that showcase investigations where DFT was instrumental in identifying critical evidence. These case studies will focus solely on </w:t>
      </w:r>
      <w:r w:rsidRPr="003F4D9A">
        <w:rPr>
          <w:rFonts w:ascii="Arial" w:hAnsi="Arial" w:cs="Arial"/>
          <w:sz w:val="24"/>
          <w:szCs w:val="24"/>
        </w:rPr>
        <w:t>analysing</w:t>
      </w:r>
      <w:r w:rsidRPr="003F4D9A">
        <w:rPr>
          <w:rFonts w:ascii="Arial" w:hAnsi="Arial" w:cs="Arial"/>
          <w:sz w:val="24"/>
          <w:szCs w:val="24"/>
        </w:rPr>
        <w:t xml:space="preserve"> the number and type of devices </w:t>
      </w:r>
      <w:r w:rsidRPr="003F4D9A">
        <w:rPr>
          <w:rFonts w:ascii="Arial" w:hAnsi="Arial" w:cs="Arial"/>
          <w:sz w:val="24"/>
          <w:szCs w:val="24"/>
        </w:rPr>
        <w:lastRenderedPageBreak/>
        <w:t>examined, the time and resources expended during the investigation, and the influence of DFT on the quality of evidence obtained.</w:t>
      </w:r>
    </w:p>
    <w:p w14:paraId="7297D3D3" w14:textId="03E78F66" w:rsidR="00ED6FA7" w:rsidRPr="003F4D9A" w:rsidRDefault="004125B2" w:rsidP="00D5731A">
      <w:pPr>
        <w:rPr>
          <w:rFonts w:ascii="Arial" w:hAnsi="Arial" w:cs="Arial"/>
          <w:sz w:val="24"/>
          <w:szCs w:val="24"/>
        </w:rPr>
      </w:pPr>
      <w:r w:rsidRPr="003F4D9A">
        <w:rPr>
          <w:rFonts w:ascii="Arial" w:hAnsi="Arial" w:cs="Arial"/>
          <w:sz w:val="24"/>
          <w:szCs w:val="24"/>
        </w:rPr>
        <w:t xml:space="preserve"> </w:t>
      </w:r>
      <w:r w:rsidR="00ED6FA7" w:rsidRPr="003F4D9A">
        <w:rPr>
          <w:rFonts w:ascii="Arial" w:hAnsi="Arial" w:cs="Arial"/>
          <w:sz w:val="24"/>
          <w:szCs w:val="24"/>
        </w:rPr>
        <w:t xml:space="preserve">(Words </w:t>
      </w:r>
      <w:r w:rsidR="004675F7" w:rsidRPr="003F4D9A">
        <w:rPr>
          <w:rFonts w:ascii="Arial" w:hAnsi="Arial" w:cs="Arial"/>
          <w:sz w:val="24"/>
          <w:szCs w:val="24"/>
        </w:rPr>
        <w:t>2</w:t>
      </w:r>
      <w:r w:rsidRPr="003F4D9A">
        <w:rPr>
          <w:rFonts w:ascii="Arial" w:hAnsi="Arial" w:cs="Arial"/>
          <w:sz w:val="24"/>
          <w:szCs w:val="24"/>
        </w:rPr>
        <w:t>67</w:t>
      </w:r>
      <w:r w:rsidR="00ED6FA7" w:rsidRPr="003F4D9A">
        <w:rPr>
          <w:rFonts w:ascii="Arial" w:hAnsi="Arial" w:cs="Arial"/>
          <w:sz w:val="24"/>
          <w:szCs w:val="24"/>
        </w:rPr>
        <w:t>)</w:t>
      </w:r>
    </w:p>
    <w:p w14:paraId="20BAA7CE" w14:textId="72FBA381" w:rsidR="005F5411" w:rsidRPr="0033020F" w:rsidRDefault="0033020F" w:rsidP="007D4D75">
      <w:pPr>
        <w:pStyle w:val="Heading2"/>
      </w:pPr>
      <w:r w:rsidRPr="0033020F">
        <w:rPr>
          <w:i/>
          <w:iCs/>
        </w:rPr>
        <w:t>Sample:</w:t>
      </w:r>
      <w:r w:rsidRPr="0033020F">
        <w:t xml:space="preserve"> Who/what, how many, where from, sampling method. </w:t>
      </w:r>
    </w:p>
    <w:p w14:paraId="573B27F2" w14:textId="04B4E34F" w:rsidR="00A3554B" w:rsidRPr="00A3554B" w:rsidRDefault="00A3554B" w:rsidP="00A3554B">
      <w:pPr>
        <w:rPr>
          <w:rFonts w:ascii="Arial" w:hAnsi="Arial" w:cs="Arial"/>
          <w:sz w:val="24"/>
          <w:szCs w:val="24"/>
        </w:rPr>
      </w:pPr>
      <w:r w:rsidRPr="00A3554B">
        <w:rPr>
          <w:rFonts w:ascii="Arial" w:hAnsi="Arial" w:cs="Arial"/>
          <w:sz w:val="24"/>
          <w:szCs w:val="24"/>
        </w:rPr>
        <w:t>20 or more participants will be sampled from different investigative units of Dyfed Powys Police, including digital investigations, specialist investigative departments, and criminal investigation departments, with at least three participants selected from each unit to ensure diversity.</w:t>
      </w:r>
    </w:p>
    <w:p w14:paraId="0C013DF5" w14:textId="71D47937" w:rsidR="00A3554B" w:rsidRPr="00A3554B" w:rsidRDefault="00A3554B" w:rsidP="00A3554B">
      <w:pPr>
        <w:rPr>
          <w:rFonts w:ascii="Arial" w:hAnsi="Arial" w:cs="Arial"/>
          <w:sz w:val="24"/>
          <w:szCs w:val="24"/>
        </w:rPr>
      </w:pPr>
      <w:r w:rsidRPr="00A3554B">
        <w:rPr>
          <w:rFonts w:ascii="Arial" w:hAnsi="Arial" w:cs="Arial"/>
          <w:sz w:val="24"/>
          <w:szCs w:val="24"/>
        </w:rPr>
        <w:t>If survey responses are insufficient, one-to-one interviews will be conducted with at least two business leaders from each investigative department.</w:t>
      </w:r>
    </w:p>
    <w:p w14:paraId="1A7B429A" w14:textId="77777777" w:rsidR="00A3554B" w:rsidRDefault="00A3554B" w:rsidP="00A3554B">
      <w:pPr>
        <w:rPr>
          <w:rFonts w:ascii="Arial" w:hAnsi="Arial" w:cs="Arial"/>
          <w:sz w:val="24"/>
          <w:szCs w:val="24"/>
        </w:rPr>
      </w:pPr>
      <w:r w:rsidRPr="00A3554B">
        <w:rPr>
          <w:rFonts w:ascii="Arial" w:hAnsi="Arial" w:cs="Arial"/>
          <w:sz w:val="24"/>
          <w:szCs w:val="24"/>
        </w:rPr>
        <w:t>For case studies, a minimum of three investigations in which digital forensics played a significant role and concluded within the last five years will be examined. The selection will include investigations with varying degrees of complexity and types of crime.</w:t>
      </w:r>
      <w:r w:rsidRPr="00A3554B">
        <w:rPr>
          <w:rFonts w:ascii="Arial" w:hAnsi="Arial" w:cs="Arial"/>
          <w:sz w:val="24"/>
          <w:szCs w:val="24"/>
        </w:rPr>
        <w:t xml:space="preserve"> </w:t>
      </w:r>
    </w:p>
    <w:p w14:paraId="10F0B606" w14:textId="1F58AD81" w:rsidR="00087F52" w:rsidRPr="003F4D9A" w:rsidRDefault="00087F52" w:rsidP="00A3554B">
      <w:pPr>
        <w:rPr>
          <w:rFonts w:ascii="Arial" w:hAnsi="Arial" w:cs="Arial"/>
          <w:sz w:val="24"/>
          <w:szCs w:val="24"/>
        </w:rPr>
      </w:pPr>
      <w:r w:rsidRPr="003F4D9A">
        <w:rPr>
          <w:rFonts w:ascii="Arial" w:hAnsi="Arial" w:cs="Arial"/>
          <w:sz w:val="24"/>
          <w:szCs w:val="24"/>
        </w:rPr>
        <w:t xml:space="preserve">(Words </w:t>
      </w:r>
      <w:r w:rsidR="00A3554B">
        <w:rPr>
          <w:rFonts w:ascii="Arial" w:hAnsi="Arial" w:cs="Arial"/>
          <w:sz w:val="24"/>
          <w:szCs w:val="24"/>
        </w:rPr>
        <w:t>97</w:t>
      </w:r>
      <w:r w:rsidR="00D61AEE" w:rsidRPr="003F4D9A">
        <w:rPr>
          <w:rFonts w:ascii="Arial" w:hAnsi="Arial" w:cs="Arial"/>
          <w:sz w:val="24"/>
          <w:szCs w:val="24"/>
        </w:rPr>
        <w:t>)</w:t>
      </w:r>
    </w:p>
    <w:p w14:paraId="0BE986CC" w14:textId="58889400" w:rsidR="005F5411" w:rsidRPr="0033020F" w:rsidRDefault="0033020F" w:rsidP="007D4D75">
      <w:pPr>
        <w:pStyle w:val="Heading2"/>
      </w:pPr>
      <w:r w:rsidRPr="0033020F">
        <w:rPr>
          <w:i/>
          <w:iCs/>
        </w:rPr>
        <w:t xml:space="preserve">Ethics: </w:t>
      </w:r>
      <w:r w:rsidRPr="0033020F">
        <w:t xml:space="preserve"> Briefly cover any ethical issues that you need to consider.  </w:t>
      </w:r>
    </w:p>
    <w:p w14:paraId="6DB7C55D" w14:textId="77777777" w:rsidR="00F61FC3" w:rsidRPr="003F4D9A" w:rsidRDefault="00F61FC3" w:rsidP="00754E66">
      <w:pPr>
        <w:rPr>
          <w:rFonts w:ascii="Arial" w:hAnsi="Arial" w:cs="Arial"/>
          <w:sz w:val="24"/>
          <w:szCs w:val="24"/>
          <w:highlight w:val="green"/>
        </w:rPr>
      </w:pPr>
      <w:r w:rsidRPr="003F4D9A">
        <w:rPr>
          <w:rFonts w:ascii="Arial" w:hAnsi="Arial" w:cs="Arial"/>
          <w:sz w:val="24"/>
          <w:szCs w:val="24"/>
        </w:rPr>
        <w:t>The proposed study on the effectiveness of Digital Forensic Triage raises ethical issues related to the collection of sensitive data. To minimize potential harm to participants, the principal researcher will store data securely and restrict access to authorized personnel only. Personal and private data will be sanitized, and any case studies will only use process data without sensitive information. Informed consent will be obtained from all participants, and conflicts of interest will be disclosed and addressed to ensure the study's independence. Validated research methods will be used to reduce bias and ensure objectivity, and participant privacy and confidentiality will be maintained. The researcher will take appropriate measures to protect participants and report the study's results accurately and objectively.</w:t>
      </w:r>
      <w:r w:rsidRPr="003F4D9A">
        <w:rPr>
          <w:rFonts w:ascii="Arial" w:hAnsi="Arial" w:cs="Arial"/>
          <w:sz w:val="24"/>
          <w:szCs w:val="24"/>
          <w:highlight w:val="green"/>
        </w:rPr>
        <w:t xml:space="preserve"> </w:t>
      </w:r>
    </w:p>
    <w:p w14:paraId="17C120D3" w14:textId="4F125D65" w:rsidR="00754E66" w:rsidRPr="003F4D9A" w:rsidRDefault="00754E66" w:rsidP="00754E66">
      <w:pPr>
        <w:rPr>
          <w:rFonts w:ascii="Arial" w:hAnsi="Arial" w:cs="Arial"/>
          <w:sz w:val="24"/>
          <w:szCs w:val="24"/>
        </w:rPr>
      </w:pPr>
      <w:r w:rsidRPr="003F4D9A">
        <w:rPr>
          <w:rFonts w:ascii="Arial" w:hAnsi="Arial" w:cs="Arial"/>
          <w:sz w:val="24"/>
          <w:szCs w:val="24"/>
        </w:rPr>
        <w:t xml:space="preserve">(Words </w:t>
      </w:r>
      <w:r w:rsidR="00F61FC3" w:rsidRPr="003F4D9A">
        <w:rPr>
          <w:rFonts w:ascii="Arial" w:hAnsi="Arial" w:cs="Arial"/>
          <w:sz w:val="24"/>
          <w:szCs w:val="24"/>
        </w:rPr>
        <w:t>118</w:t>
      </w:r>
      <w:r w:rsidRPr="003F4D9A">
        <w:rPr>
          <w:rFonts w:ascii="Arial" w:hAnsi="Arial" w:cs="Arial"/>
          <w:sz w:val="24"/>
          <w:szCs w:val="24"/>
        </w:rPr>
        <w:t>)</w:t>
      </w:r>
    </w:p>
    <w:p w14:paraId="21E5F8BA" w14:textId="6D58AF79" w:rsidR="005F5411" w:rsidRPr="0033020F" w:rsidRDefault="0033020F" w:rsidP="007D4D75">
      <w:pPr>
        <w:pStyle w:val="Heading2"/>
      </w:pPr>
      <w:r w:rsidRPr="0033020F">
        <w:t> </w:t>
      </w:r>
      <w:r w:rsidRPr="0033020F">
        <w:rPr>
          <w:i/>
          <w:iCs/>
        </w:rPr>
        <w:t xml:space="preserve">Analysis: </w:t>
      </w:r>
      <w:r w:rsidRPr="0033020F">
        <w:t>What will you do with the data when you have collected it and why?</w:t>
      </w:r>
    </w:p>
    <w:p w14:paraId="6C38C2B8" w14:textId="77777777" w:rsidR="00BC7835" w:rsidRPr="003F4D9A" w:rsidRDefault="00BC7835">
      <w:pPr>
        <w:rPr>
          <w:rFonts w:ascii="Arial" w:hAnsi="Arial" w:cs="Arial"/>
          <w:sz w:val="24"/>
          <w:szCs w:val="24"/>
          <w:highlight w:val="green"/>
        </w:rPr>
      </w:pPr>
      <w:r w:rsidRPr="003F4D9A">
        <w:rPr>
          <w:rFonts w:ascii="Arial" w:hAnsi="Arial" w:cs="Arial"/>
          <w:sz w:val="24"/>
          <w:szCs w:val="24"/>
        </w:rPr>
        <w:t>The survey, case studies, and interviews will yield data analyzed through quantitative and qualitative methods. These findings will inform recommendations for optimal DFT use in criminal investigations, drawing on best practices, challenges, and limitations from the literature review and data collected.</w:t>
      </w:r>
      <w:r w:rsidRPr="003F4D9A">
        <w:rPr>
          <w:rFonts w:ascii="Arial" w:hAnsi="Arial" w:cs="Arial"/>
          <w:sz w:val="24"/>
          <w:szCs w:val="24"/>
          <w:highlight w:val="green"/>
        </w:rPr>
        <w:t xml:space="preserve"> </w:t>
      </w:r>
    </w:p>
    <w:p w14:paraId="1E81F324" w14:textId="14326426" w:rsidR="00BD51DD" w:rsidRPr="003F4D9A" w:rsidRDefault="00BD51DD">
      <w:pPr>
        <w:rPr>
          <w:rFonts w:ascii="Arial" w:hAnsi="Arial" w:cs="Arial"/>
          <w:sz w:val="24"/>
          <w:szCs w:val="24"/>
        </w:rPr>
      </w:pPr>
      <w:r w:rsidRPr="003F4D9A">
        <w:rPr>
          <w:rFonts w:ascii="Arial" w:hAnsi="Arial" w:cs="Arial"/>
          <w:sz w:val="24"/>
          <w:szCs w:val="24"/>
        </w:rPr>
        <w:t xml:space="preserve">(Words </w:t>
      </w:r>
      <w:r w:rsidR="00BC7835" w:rsidRPr="003F4D9A">
        <w:rPr>
          <w:rFonts w:ascii="Arial" w:hAnsi="Arial" w:cs="Arial"/>
          <w:sz w:val="24"/>
          <w:szCs w:val="24"/>
        </w:rPr>
        <w:t>41</w:t>
      </w:r>
      <w:r w:rsidRPr="003F4D9A">
        <w:rPr>
          <w:rFonts w:ascii="Arial" w:hAnsi="Arial" w:cs="Arial"/>
          <w:sz w:val="24"/>
          <w:szCs w:val="24"/>
        </w:rPr>
        <w:t>)</w:t>
      </w:r>
    </w:p>
    <w:p w14:paraId="6FC3B4CF" w14:textId="77777777" w:rsidR="00276282" w:rsidRPr="00276282" w:rsidRDefault="0033020F" w:rsidP="007D4D75">
      <w:pPr>
        <w:pStyle w:val="Heading1"/>
      </w:pPr>
      <w:r w:rsidRPr="0033020F">
        <w:rPr>
          <w:b/>
        </w:rPr>
        <w:lastRenderedPageBreak/>
        <w:t>Proposed Timeline</w:t>
      </w:r>
      <w:r w:rsidR="005F5411">
        <w:rPr>
          <w:b/>
        </w:rPr>
        <w:t xml:space="preserve"> </w:t>
      </w:r>
      <w:r w:rsidR="00276282">
        <w:t>(not included in word count)</w:t>
      </w:r>
    </w:p>
    <w:p w14:paraId="41FC594B" w14:textId="25E9BE69" w:rsidR="0033020F" w:rsidRPr="005F5411" w:rsidRDefault="004D2590">
      <w:r w:rsidRPr="004D2590">
        <w:drawing>
          <wp:anchor distT="0" distB="0" distL="114300" distR="114300" simplePos="0" relativeHeight="251672576" behindDoc="0" locked="0" layoutInCell="1" allowOverlap="1" wp14:anchorId="65103B18" wp14:editId="051DA793">
            <wp:simplePos x="0" y="0"/>
            <wp:positionH relativeFrom="margin">
              <wp:align>center</wp:align>
            </wp:positionH>
            <wp:positionV relativeFrom="paragraph">
              <wp:posOffset>337820</wp:posOffset>
            </wp:positionV>
            <wp:extent cx="6537960" cy="1275080"/>
            <wp:effectExtent l="0" t="0" r="0" b="127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37960" cy="1275080"/>
                    </a:xfrm>
                    <a:prstGeom prst="rect">
                      <a:avLst/>
                    </a:prstGeom>
                    <a:noFill/>
                    <a:ln>
                      <a:noFill/>
                    </a:ln>
                  </pic:spPr>
                </pic:pic>
              </a:graphicData>
            </a:graphic>
            <wp14:sizeRelH relativeFrom="page">
              <wp14:pctWidth>0</wp14:pctWidth>
            </wp14:sizeRelH>
            <wp14:sizeRelV relativeFrom="page">
              <wp14:pctHeight>0</wp14:pctHeight>
            </wp14:sizeRelV>
          </wp:anchor>
        </w:drawing>
      </w:r>
      <w:r w:rsidR="00276282">
        <w:t>I</w:t>
      </w:r>
      <w:r w:rsidR="005F5411">
        <w:t xml:space="preserve">nsert table or figure/flow chart to depict your proposed </w:t>
      </w:r>
      <w:r w:rsidR="00276282">
        <w:t>project timeline of key events.</w:t>
      </w:r>
    </w:p>
    <w:p w14:paraId="08FA61E6" w14:textId="3C12523D" w:rsidR="005F5411" w:rsidRDefault="005F5411" w:rsidP="004D2590">
      <w:pPr>
        <w:rPr>
          <w:b/>
        </w:rPr>
      </w:pPr>
    </w:p>
    <w:p w14:paraId="088A6B42" w14:textId="5BC5BE6D" w:rsidR="005F5411" w:rsidRPr="00276282" w:rsidRDefault="0033020F" w:rsidP="007D4D75">
      <w:pPr>
        <w:pStyle w:val="Heading1"/>
      </w:pPr>
      <w:r w:rsidRPr="0033020F">
        <w:t>Anticipated Outcomes</w:t>
      </w:r>
      <w:r w:rsidR="005F5411">
        <w:t xml:space="preserve"> </w:t>
      </w:r>
      <w:r w:rsidR="00276282">
        <w:t>(</w:t>
      </w:r>
      <w:r w:rsidR="00752B35">
        <w:t>300</w:t>
      </w:r>
      <w:r w:rsidR="00276282">
        <w:t xml:space="preserve"> words max)</w:t>
      </w:r>
    </w:p>
    <w:p w14:paraId="41416704" w14:textId="5B9FF886" w:rsidR="00276282" w:rsidRPr="003F4D9A" w:rsidRDefault="00276282">
      <w:pPr>
        <w:rPr>
          <w:rFonts w:ascii="Arial" w:hAnsi="Arial" w:cs="Arial"/>
          <w:sz w:val="24"/>
          <w:szCs w:val="24"/>
        </w:rPr>
      </w:pPr>
      <w:r w:rsidRPr="003F4D9A">
        <w:rPr>
          <w:rFonts w:ascii="Arial" w:hAnsi="Arial" w:cs="Arial"/>
          <w:sz w:val="24"/>
          <w:szCs w:val="24"/>
        </w:rPr>
        <w:t xml:space="preserve">Briefly explain what you hope to achieve with this research project (i.e. could your findings influence practice, policy or training?).  </w:t>
      </w:r>
    </w:p>
    <w:p w14:paraId="0519EC75" w14:textId="595353BE" w:rsidR="0033020F" w:rsidRPr="003F4D9A" w:rsidRDefault="00F11933">
      <w:pPr>
        <w:rPr>
          <w:rFonts w:ascii="Arial" w:hAnsi="Arial" w:cs="Arial"/>
          <w:bCs/>
          <w:sz w:val="24"/>
          <w:szCs w:val="24"/>
        </w:rPr>
      </w:pPr>
      <w:r w:rsidRPr="003F4D9A">
        <w:rPr>
          <w:rFonts w:ascii="Arial" w:hAnsi="Arial" w:cs="Arial"/>
          <w:bCs/>
          <w:sz w:val="24"/>
          <w:szCs w:val="24"/>
        </w:rPr>
        <w:t xml:space="preserve">The research is expected to provide valuable insights into the potential benefits and limitations of Digital Forensic Triage (DFT) in criminal investigations, particularly in the context of law enforcement agencies. The findings may have implications for future research and policy decisions related to digital forensics and could contribute to the broader body of knowledge of digital forensic triage, not only in Dyfed Powys Police but regionally and nationally. Furthermore, the study is expected to enhance the capacity of Dyfed Powys Police to formulate a strategy for the effective use of DFT to improve their investigative processes and outcomes, ultimately benefiting the organisation, the criminal justice </w:t>
      </w:r>
      <w:r w:rsidR="00AF0649" w:rsidRPr="003F4D9A">
        <w:rPr>
          <w:rFonts w:ascii="Arial" w:hAnsi="Arial" w:cs="Arial"/>
          <w:bCs/>
          <w:sz w:val="24"/>
          <w:szCs w:val="24"/>
        </w:rPr>
        <w:t>system,</w:t>
      </w:r>
      <w:r w:rsidRPr="003F4D9A">
        <w:rPr>
          <w:rFonts w:ascii="Arial" w:hAnsi="Arial" w:cs="Arial"/>
          <w:bCs/>
          <w:sz w:val="24"/>
          <w:szCs w:val="24"/>
        </w:rPr>
        <w:t xml:space="preserve"> and communities they serve.</w:t>
      </w:r>
    </w:p>
    <w:p w14:paraId="2BC95D50" w14:textId="645F6137" w:rsidR="00192972" w:rsidRPr="003F4D9A" w:rsidRDefault="00192972">
      <w:pPr>
        <w:rPr>
          <w:rFonts w:ascii="Arial" w:hAnsi="Arial" w:cs="Arial"/>
          <w:bCs/>
          <w:sz w:val="24"/>
          <w:szCs w:val="24"/>
        </w:rPr>
      </w:pPr>
      <w:r w:rsidRPr="003F4D9A">
        <w:rPr>
          <w:rFonts w:ascii="Arial" w:hAnsi="Arial" w:cs="Arial"/>
          <w:bCs/>
          <w:sz w:val="24"/>
          <w:szCs w:val="24"/>
        </w:rPr>
        <w:t>(Words 110)</w:t>
      </w:r>
    </w:p>
    <w:p w14:paraId="4E90FC7A" w14:textId="77777777" w:rsidR="0033020F" w:rsidRPr="0033020F" w:rsidRDefault="0033020F">
      <w:pPr>
        <w:rPr>
          <w:b/>
        </w:rPr>
      </w:pPr>
      <w:r w:rsidRPr="0033020F">
        <w:rPr>
          <w:b/>
        </w:rPr>
        <w:t xml:space="preserve">References </w:t>
      </w:r>
    </w:p>
    <w:p w14:paraId="4AD9B372" w14:textId="1BBB034B" w:rsidR="00C12F17" w:rsidRDefault="00C12F17" w:rsidP="00C12F17">
      <w:pPr>
        <w:spacing w:line="256" w:lineRule="auto"/>
        <w:ind w:right="107"/>
        <w:rPr>
          <w:rFonts w:ascii="Arial" w:eastAsia="Arial" w:hAnsi="Arial" w:cs="Arial"/>
          <w:sz w:val="24"/>
          <w:szCs w:val="24"/>
        </w:rPr>
      </w:pPr>
      <w:r w:rsidRPr="0019097E">
        <w:rPr>
          <w:rFonts w:ascii="Arial" w:eastAsia="Arial" w:hAnsi="Arial" w:cs="Arial"/>
          <w:sz w:val="24"/>
          <w:szCs w:val="24"/>
        </w:rPr>
        <w:t>Casey, E. (2013) ‘Triage in digital forensics’</w:t>
      </w:r>
      <w:r>
        <w:rPr>
          <w:rFonts w:ascii="Arial" w:eastAsia="Arial" w:hAnsi="Arial" w:cs="Arial"/>
          <w:sz w:val="24"/>
          <w:szCs w:val="24"/>
        </w:rPr>
        <w:t>,</w:t>
      </w:r>
      <w:r w:rsidRPr="0019097E">
        <w:rPr>
          <w:rFonts w:ascii="Arial" w:eastAsia="Arial" w:hAnsi="Arial" w:cs="Arial"/>
          <w:i/>
          <w:iCs/>
          <w:sz w:val="24"/>
          <w:szCs w:val="24"/>
        </w:rPr>
        <w:t xml:space="preserve"> </w:t>
      </w:r>
      <w:r w:rsidRPr="00D807F3">
        <w:rPr>
          <w:rFonts w:ascii="Arial" w:eastAsia="Arial" w:hAnsi="Arial" w:cs="Arial"/>
          <w:i/>
          <w:iCs/>
          <w:color w:val="000000" w:themeColor="text1"/>
          <w:sz w:val="24"/>
          <w:szCs w:val="24"/>
        </w:rPr>
        <w:t>Forensic Science International: Digital Investigation</w:t>
      </w:r>
      <w:r w:rsidRPr="0019097E">
        <w:rPr>
          <w:rFonts w:ascii="Arial" w:eastAsia="Arial" w:hAnsi="Arial" w:cs="Arial"/>
          <w:sz w:val="24"/>
          <w:szCs w:val="24"/>
        </w:rPr>
        <w:t>, 10(2), pp. 85–86. Available at:</w:t>
      </w:r>
      <w:r>
        <w:rPr>
          <w:rFonts w:ascii="Arial" w:eastAsia="Arial" w:hAnsi="Arial" w:cs="Arial"/>
          <w:sz w:val="24"/>
          <w:szCs w:val="24"/>
        </w:rPr>
        <w:t xml:space="preserve"> </w:t>
      </w:r>
      <w:hyperlink r:id="rId10" w:history="1">
        <w:r w:rsidRPr="00044962">
          <w:rPr>
            <w:rStyle w:val="Hyperlink"/>
            <w:rFonts w:ascii="Arial" w:eastAsia="Arial" w:hAnsi="Arial" w:cs="Arial"/>
            <w:sz w:val="24"/>
            <w:szCs w:val="24"/>
          </w:rPr>
          <w:t>https://doi.org/10.1016/j.diin.2013.08.001</w:t>
        </w:r>
      </w:hyperlink>
      <w:r w:rsidR="00C33E2D">
        <w:rPr>
          <w:rFonts w:ascii="Arial" w:eastAsia="Arial" w:hAnsi="Arial" w:cs="Arial"/>
          <w:sz w:val="24"/>
          <w:szCs w:val="24"/>
        </w:rPr>
        <w:t xml:space="preserve"> (Accessed: </w:t>
      </w:r>
      <w:r w:rsidR="005E2F77">
        <w:rPr>
          <w:rFonts w:ascii="Arial" w:eastAsia="Arial" w:hAnsi="Arial" w:cs="Arial"/>
          <w:sz w:val="24"/>
          <w:szCs w:val="24"/>
        </w:rPr>
        <w:t>25</w:t>
      </w:r>
      <w:r w:rsidR="005E2F77" w:rsidRPr="005E2F77">
        <w:rPr>
          <w:rFonts w:ascii="Arial" w:eastAsia="Arial" w:hAnsi="Arial" w:cs="Arial"/>
          <w:sz w:val="24"/>
          <w:szCs w:val="24"/>
          <w:vertAlign w:val="superscript"/>
        </w:rPr>
        <w:t>th</w:t>
      </w:r>
      <w:r w:rsidR="005E2F77">
        <w:rPr>
          <w:rFonts w:ascii="Arial" w:eastAsia="Arial" w:hAnsi="Arial" w:cs="Arial"/>
          <w:sz w:val="24"/>
          <w:szCs w:val="24"/>
        </w:rPr>
        <w:t xml:space="preserve"> January 2023). </w:t>
      </w:r>
    </w:p>
    <w:p w14:paraId="1CC5EDB7" w14:textId="75F315C5" w:rsidR="00C12F17" w:rsidRDefault="00C12F17" w:rsidP="00C12F17">
      <w:pPr>
        <w:spacing w:line="256" w:lineRule="auto"/>
        <w:ind w:right="107"/>
        <w:rPr>
          <w:rFonts w:ascii="Arial" w:eastAsia="Arial" w:hAnsi="Arial" w:cs="Arial"/>
          <w:sz w:val="24"/>
          <w:szCs w:val="24"/>
        </w:rPr>
      </w:pPr>
      <w:r w:rsidRPr="002074D9">
        <w:rPr>
          <w:rFonts w:ascii="Arial" w:eastAsia="Arial" w:hAnsi="Arial" w:cs="Arial"/>
          <w:sz w:val="24"/>
          <w:szCs w:val="24"/>
        </w:rPr>
        <w:t xml:space="preserve">Garfinkel, S.L. (2010) ‘Digital forensics research: The next 10 years’, </w:t>
      </w:r>
      <w:r w:rsidRPr="00D807F3">
        <w:rPr>
          <w:rFonts w:ascii="Arial" w:eastAsia="Arial" w:hAnsi="Arial" w:cs="Arial"/>
          <w:i/>
          <w:iCs/>
          <w:color w:val="000000" w:themeColor="text1"/>
          <w:sz w:val="24"/>
          <w:szCs w:val="24"/>
        </w:rPr>
        <w:t>Forensic Science International: Digital Investigation</w:t>
      </w:r>
      <w:r w:rsidRPr="0019097E">
        <w:rPr>
          <w:rFonts w:ascii="Arial" w:eastAsia="Arial" w:hAnsi="Arial" w:cs="Arial"/>
          <w:sz w:val="24"/>
          <w:szCs w:val="24"/>
        </w:rPr>
        <w:t xml:space="preserve">, </w:t>
      </w:r>
      <w:r w:rsidRPr="002074D9">
        <w:rPr>
          <w:rFonts w:ascii="Arial" w:eastAsia="Arial" w:hAnsi="Arial" w:cs="Arial"/>
          <w:sz w:val="24"/>
          <w:szCs w:val="24"/>
        </w:rPr>
        <w:t xml:space="preserve">7, pp. S64–S73. Available at: </w:t>
      </w:r>
      <w:hyperlink r:id="rId11" w:history="1">
        <w:r w:rsidRPr="00044962">
          <w:rPr>
            <w:rStyle w:val="Hyperlink"/>
            <w:rFonts w:ascii="Arial" w:eastAsia="Arial" w:hAnsi="Arial" w:cs="Arial"/>
            <w:sz w:val="24"/>
            <w:szCs w:val="24"/>
          </w:rPr>
          <w:t>https://doi.org/10.1016/j.diin.2010.05.009</w:t>
        </w:r>
      </w:hyperlink>
      <w:r w:rsidR="00BF006C">
        <w:rPr>
          <w:rFonts w:ascii="Arial" w:eastAsia="Arial" w:hAnsi="Arial" w:cs="Arial"/>
          <w:sz w:val="24"/>
          <w:szCs w:val="24"/>
        </w:rPr>
        <w:t xml:space="preserve"> (</w:t>
      </w:r>
      <w:r w:rsidR="00BF006C">
        <w:rPr>
          <w:rFonts w:ascii="Arial" w:eastAsia="Arial" w:hAnsi="Arial" w:cs="Arial"/>
          <w:sz w:val="24"/>
          <w:szCs w:val="24"/>
        </w:rPr>
        <w:t>Accessed: 2</w:t>
      </w:r>
      <w:r w:rsidR="00BF006C">
        <w:rPr>
          <w:rFonts w:ascii="Arial" w:eastAsia="Arial" w:hAnsi="Arial" w:cs="Arial"/>
          <w:sz w:val="24"/>
          <w:szCs w:val="24"/>
        </w:rPr>
        <w:t>4</w:t>
      </w:r>
      <w:r w:rsidR="00BF006C" w:rsidRPr="005E2F77">
        <w:rPr>
          <w:rFonts w:ascii="Arial" w:eastAsia="Arial" w:hAnsi="Arial" w:cs="Arial"/>
          <w:sz w:val="24"/>
          <w:szCs w:val="24"/>
          <w:vertAlign w:val="superscript"/>
        </w:rPr>
        <w:t>th</w:t>
      </w:r>
      <w:r w:rsidR="00BF006C">
        <w:rPr>
          <w:rFonts w:ascii="Arial" w:eastAsia="Arial" w:hAnsi="Arial" w:cs="Arial"/>
          <w:sz w:val="24"/>
          <w:szCs w:val="24"/>
        </w:rPr>
        <w:t xml:space="preserve"> January 2023).</w:t>
      </w:r>
    </w:p>
    <w:p w14:paraId="703D3C07" w14:textId="22498A7F" w:rsidR="00C12F17" w:rsidRDefault="00B376C5" w:rsidP="00C12F17">
      <w:pPr>
        <w:spacing w:line="256" w:lineRule="auto"/>
        <w:ind w:right="107"/>
        <w:rPr>
          <w:rFonts w:ascii="Arial" w:eastAsia="Arial" w:hAnsi="Arial" w:cs="Arial"/>
          <w:sz w:val="24"/>
          <w:szCs w:val="24"/>
        </w:rPr>
      </w:pPr>
      <w:r w:rsidRPr="00B60FA5">
        <w:rPr>
          <w:rFonts w:ascii="Arial" w:eastAsia="Arial" w:hAnsi="Arial" w:cs="Arial"/>
          <w:sz w:val="24"/>
          <w:szCs w:val="24"/>
        </w:rPr>
        <w:t>Grispos, G</w:t>
      </w:r>
      <w:r w:rsidR="002911F9">
        <w:rPr>
          <w:rFonts w:ascii="Arial" w:eastAsia="Arial" w:hAnsi="Arial" w:cs="Arial"/>
          <w:sz w:val="24"/>
          <w:szCs w:val="24"/>
        </w:rPr>
        <w:t>.</w:t>
      </w:r>
      <w:r>
        <w:rPr>
          <w:rFonts w:ascii="Arial" w:eastAsia="Arial" w:hAnsi="Arial" w:cs="Arial"/>
          <w:sz w:val="24"/>
          <w:szCs w:val="24"/>
        </w:rPr>
        <w:t>,</w:t>
      </w:r>
      <w:r w:rsidRPr="00B60FA5">
        <w:rPr>
          <w:rFonts w:ascii="Arial" w:eastAsia="Arial" w:hAnsi="Arial" w:cs="Arial"/>
          <w:sz w:val="24"/>
          <w:szCs w:val="24"/>
        </w:rPr>
        <w:t xml:space="preserve"> </w:t>
      </w:r>
      <w:r w:rsidR="00C12F17" w:rsidRPr="00B60FA5">
        <w:rPr>
          <w:rFonts w:ascii="Arial" w:eastAsia="Arial" w:hAnsi="Arial" w:cs="Arial"/>
          <w:sz w:val="24"/>
          <w:szCs w:val="24"/>
        </w:rPr>
        <w:t>Glisson, W</w:t>
      </w:r>
      <w:r w:rsidR="002911F9">
        <w:rPr>
          <w:rFonts w:ascii="Arial" w:eastAsia="Arial" w:hAnsi="Arial" w:cs="Arial"/>
          <w:sz w:val="24"/>
          <w:szCs w:val="24"/>
        </w:rPr>
        <w:t>.</w:t>
      </w:r>
      <w:r w:rsidR="00C12F17" w:rsidRPr="00B60FA5">
        <w:rPr>
          <w:rFonts w:ascii="Arial" w:eastAsia="Arial" w:hAnsi="Arial" w:cs="Arial"/>
          <w:sz w:val="24"/>
          <w:szCs w:val="24"/>
        </w:rPr>
        <w:t xml:space="preserve">, and Storer, T. (2013) ‘Calm Before the Storm: The Challenges of Cloud Computing in Digital Forensics’, </w:t>
      </w:r>
      <w:r w:rsidR="00C12F17" w:rsidRPr="00AF4DC4">
        <w:rPr>
          <w:rFonts w:ascii="Arial" w:eastAsia="Arial" w:hAnsi="Arial" w:cs="Arial"/>
          <w:i/>
          <w:iCs/>
          <w:sz w:val="24"/>
          <w:szCs w:val="24"/>
        </w:rPr>
        <w:t>IGI Global: Emerging Digital Forensics Applications for Crime Detection, Prevention, and Securit</w:t>
      </w:r>
      <w:r w:rsidR="00C12F17">
        <w:rPr>
          <w:rFonts w:ascii="Arial" w:eastAsia="Arial" w:hAnsi="Arial" w:cs="Arial"/>
          <w:i/>
          <w:iCs/>
          <w:sz w:val="24"/>
          <w:szCs w:val="24"/>
        </w:rPr>
        <w:t>y</w:t>
      </w:r>
      <w:r w:rsidR="00C12F17" w:rsidRPr="00B60FA5">
        <w:rPr>
          <w:rFonts w:ascii="Arial" w:eastAsia="Arial" w:hAnsi="Arial" w:cs="Arial"/>
          <w:sz w:val="24"/>
          <w:szCs w:val="24"/>
        </w:rPr>
        <w:t xml:space="preserve">, pp. 211–233. Available at: </w:t>
      </w:r>
      <w:hyperlink r:id="rId12" w:history="1">
        <w:r w:rsidR="00C12F17" w:rsidRPr="00044962">
          <w:rPr>
            <w:rStyle w:val="Hyperlink"/>
            <w:rFonts w:ascii="Arial" w:eastAsia="Arial" w:hAnsi="Arial" w:cs="Arial"/>
            <w:sz w:val="24"/>
            <w:szCs w:val="24"/>
          </w:rPr>
          <w:t>https://doi.org/10.4018/978-1-4666-4006-1.ch015</w:t>
        </w:r>
      </w:hyperlink>
      <w:r w:rsidR="00694741">
        <w:rPr>
          <w:rFonts w:ascii="Arial" w:eastAsia="Arial" w:hAnsi="Arial" w:cs="Arial"/>
          <w:sz w:val="24"/>
          <w:szCs w:val="24"/>
        </w:rPr>
        <w:t xml:space="preserve"> </w:t>
      </w:r>
      <w:r w:rsidR="00694741">
        <w:rPr>
          <w:rFonts w:ascii="Arial" w:eastAsia="Arial" w:hAnsi="Arial" w:cs="Arial"/>
          <w:sz w:val="24"/>
          <w:szCs w:val="24"/>
        </w:rPr>
        <w:t>(Accessed: 25</w:t>
      </w:r>
      <w:r w:rsidR="00694741" w:rsidRPr="005E2F77">
        <w:rPr>
          <w:rFonts w:ascii="Arial" w:eastAsia="Arial" w:hAnsi="Arial" w:cs="Arial"/>
          <w:sz w:val="24"/>
          <w:szCs w:val="24"/>
          <w:vertAlign w:val="superscript"/>
        </w:rPr>
        <w:t>th</w:t>
      </w:r>
      <w:r w:rsidR="00694741">
        <w:rPr>
          <w:rFonts w:ascii="Arial" w:eastAsia="Arial" w:hAnsi="Arial" w:cs="Arial"/>
          <w:sz w:val="24"/>
          <w:szCs w:val="24"/>
        </w:rPr>
        <w:t xml:space="preserve"> January 2023).</w:t>
      </w:r>
    </w:p>
    <w:p w14:paraId="7834BB5F" w14:textId="77777777" w:rsidR="00C12F17" w:rsidRPr="006B7267" w:rsidRDefault="00C12F17" w:rsidP="00C12F17">
      <w:pPr>
        <w:spacing w:line="256" w:lineRule="auto"/>
        <w:ind w:right="107"/>
        <w:rPr>
          <w:rFonts w:ascii="Arial" w:eastAsia="Arial" w:hAnsi="Arial" w:cs="Arial"/>
          <w:sz w:val="24"/>
          <w:szCs w:val="24"/>
        </w:rPr>
      </w:pPr>
      <w:r w:rsidRPr="006B7267">
        <w:rPr>
          <w:rFonts w:ascii="Arial" w:eastAsia="Arial" w:hAnsi="Arial" w:cs="Arial"/>
          <w:sz w:val="24"/>
          <w:szCs w:val="24"/>
        </w:rPr>
        <w:t xml:space="preserve">His Majesty’s Inspectorate of Constabulary and Fire &amp; Rescue Services (2022) </w:t>
      </w:r>
      <w:r w:rsidRPr="006B7267">
        <w:rPr>
          <w:rFonts w:ascii="Arial" w:eastAsia="Arial" w:hAnsi="Arial" w:cs="Arial"/>
          <w:i/>
          <w:iCs/>
          <w:sz w:val="24"/>
          <w:szCs w:val="24"/>
        </w:rPr>
        <w:t>Digital forensics: An inspection into how well the police and other agencies use digital forensics in their investigations.</w:t>
      </w:r>
      <w:r w:rsidRPr="006B7267">
        <w:rPr>
          <w:rFonts w:ascii="Arial" w:eastAsia="Arial" w:hAnsi="Arial" w:cs="Arial"/>
          <w:sz w:val="24"/>
          <w:szCs w:val="24"/>
        </w:rPr>
        <w:t xml:space="preserve"> Available at: </w:t>
      </w:r>
      <w:hyperlink r:id="rId13" w:history="1">
        <w:r w:rsidRPr="006B7267">
          <w:rPr>
            <w:rStyle w:val="Hyperlink"/>
            <w:rFonts w:ascii="Arial" w:eastAsia="Arial" w:hAnsi="Arial" w:cs="Arial"/>
            <w:sz w:val="24"/>
            <w:szCs w:val="24"/>
          </w:rPr>
          <w:t>https://www.justiceinspectorates.gov.uk/hmicfrs/wp-content/uploads/inspection-police-other-agencies-digital-forensics-investigations.pdf</w:t>
        </w:r>
      </w:hyperlink>
      <w:r w:rsidRPr="006B7267">
        <w:rPr>
          <w:rFonts w:ascii="Arial" w:eastAsia="Arial" w:hAnsi="Arial" w:cs="Arial"/>
          <w:sz w:val="24"/>
          <w:szCs w:val="24"/>
        </w:rPr>
        <w:t xml:space="preserve"> (Accessed: </w:t>
      </w:r>
      <w:r>
        <w:rPr>
          <w:rFonts w:ascii="Arial" w:eastAsia="Arial" w:hAnsi="Arial" w:cs="Arial"/>
          <w:sz w:val="24"/>
          <w:szCs w:val="24"/>
        </w:rPr>
        <w:t>20</w:t>
      </w:r>
      <w:r w:rsidRPr="00C076E2">
        <w:rPr>
          <w:rFonts w:ascii="Arial" w:eastAsia="Arial" w:hAnsi="Arial" w:cs="Arial"/>
          <w:sz w:val="24"/>
          <w:szCs w:val="24"/>
          <w:vertAlign w:val="superscript"/>
        </w:rPr>
        <w:t>th</w:t>
      </w:r>
      <w:r>
        <w:rPr>
          <w:rFonts w:ascii="Arial" w:eastAsia="Arial" w:hAnsi="Arial" w:cs="Arial"/>
          <w:sz w:val="24"/>
          <w:szCs w:val="24"/>
        </w:rPr>
        <w:t xml:space="preserve"> February</w:t>
      </w:r>
      <w:r w:rsidRPr="006B7267">
        <w:rPr>
          <w:rFonts w:ascii="Arial" w:eastAsia="Arial" w:hAnsi="Arial" w:cs="Arial"/>
          <w:sz w:val="24"/>
          <w:szCs w:val="24"/>
        </w:rPr>
        <w:t xml:space="preserve"> 2023). </w:t>
      </w:r>
    </w:p>
    <w:p w14:paraId="615CE0C2" w14:textId="0B99B5A5" w:rsidR="00A60EBC" w:rsidRDefault="00A60EBC" w:rsidP="00A60EBC">
      <w:pPr>
        <w:spacing w:line="256" w:lineRule="auto"/>
        <w:ind w:right="107"/>
      </w:pPr>
      <w:r w:rsidRPr="00A60EBC">
        <w:rPr>
          <w:rFonts w:ascii="Arial" w:eastAsia="Arial" w:hAnsi="Arial" w:cs="Arial"/>
          <w:color w:val="000000" w:themeColor="text1"/>
          <w:sz w:val="24"/>
          <w:szCs w:val="24"/>
        </w:rPr>
        <w:lastRenderedPageBreak/>
        <w:t>Horsman, G</w:t>
      </w:r>
      <w:r w:rsidR="002911F9">
        <w:rPr>
          <w:rFonts w:ascii="Arial" w:eastAsia="Arial" w:hAnsi="Arial" w:cs="Arial"/>
          <w:color w:val="000000" w:themeColor="text1"/>
          <w:sz w:val="24"/>
          <w:szCs w:val="24"/>
        </w:rPr>
        <w:t>.</w:t>
      </w:r>
      <w:r w:rsidRPr="00A60EBC">
        <w:rPr>
          <w:rFonts w:ascii="Arial" w:eastAsia="Arial" w:hAnsi="Arial" w:cs="Arial"/>
          <w:color w:val="000000" w:themeColor="text1"/>
          <w:sz w:val="24"/>
          <w:szCs w:val="24"/>
        </w:rPr>
        <w:t>, Laing, C</w:t>
      </w:r>
      <w:r w:rsidR="002911F9">
        <w:rPr>
          <w:rFonts w:ascii="Arial" w:eastAsia="Arial" w:hAnsi="Arial" w:cs="Arial"/>
          <w:color w:val="000000" w:themeColor="text1"/>
          <w:sz w:val="24"/>
          <w:szCs w:val="24"/>
        </w:rPr>
        <w:t>.,</w:t>
      </w:r>
      <w:r w:rsidRPr="00A60EBC">
        <w:rPr>
          <w:rFonts w:ascii="Arial" w:eastAsia="Arial" w:hAnsi="Arial" w:cs="Arial"/>
          <w:color w:val="000000" w:themeColor="text1"/>
          <w:sz w:val="24"/>
          <w:szCs w:val="24"/>
        </w:rPr>
        <w:t xml:space="preserve"> and Vickers, P. (2014) ‘A case-based reasoning method for locating evidence during digital forensic device triage’, Decision Support Systems, 61, pp. 69–78</w:t>
      </w:r>
      <w:r>
        <w:rPr>
          <w:rFonts w:ascii="Arial" w:eastAsia="Arial" w:hAnsi="Arial" w:cs="Arial"/>
          <w:color w:val="000000" w:themeColor="text1"/>
          <w:sz w:val="24"/>
          <w:szCs w:val="24"/>
        </w:rPr>
        <w:t>. A</w:t>
      </w:r>
      <w:r w:rsidRPr="00A60EBC">
        <w:rPr>
          <w:rFonts w:ascii="Arial" w:eastAsia="Arial" w:hAnsi="Arial" w:cs="Arial"/>
          <w:color w:val="000000" w:themeColor="text1"/>
          <w:sz w:val="24"/>
          <w:szCs w:val="24"/>
        </w:rPr>
        <w:t>vailable at:</w:t>
      </w:r>
      <w:r>
        <w:rPr>
          <w:rFonts w:ascii="Arial" w:eastAsia="Arial" w:hAnsi="Arial" w:cs="Arial"/>
          <w:color w:val="000000" w:themeColor="text1"/>
          <w:sz w:val="24"/>
          <w:szCs w:val="24"/>
        </w:rPr>
        <w:t xml:space="preserve"> </w:t>
      </w:r>
      <w:hyperlink r:id="rId14" w:history="1">
        <w:r w:rsidR="0083509D" w:rsidRPr="00044962">
          <w:rPr>
            <w:rStyle w:val="Hyperlink"/>
            <w:rFonts w:ascii="Arial" w:eastAsia="Arial" w:hAnsi="Arial" w:cs="Arial"/>
            <w:sz w:val="24"/>
            <w:szCs w:val="24"/>
          </w:rPr>
          <w:t>https://doi.org/10.1016/j.dss.2014.01.007</w:t>
        </w:r>
      </w:hyperlink>
      <w:r w:rsidR="0083509D">
        <w:rPr>
          <w:rFonts w:ascii="Arial" w:eastAsia="Arial" w:hAnsi="Arial" w:cs="Arial"/>
          <w:color w:val="000000" w:themeColor="text1"/>
          <w:sz w:val="24"/>
          <w:szCs w:val="24"/>
        </w:rPr>
        <w:t xml:space="preserve"> </w:t>
      </w:r>
      <w:r w:rsidR="00DE17BE" w:rsidRPr="006B7267">
        <w:rPr>
          <w:rFonts w:ascii="Arial" w:eastAsia="Arial" w:hAnsi="Arial" w:cs="Arial"/>
          <w:sz w:val="24"/>
          <w:szCs w:val="24"/>
        </w:rPr>
        <w:t xml:space="preserve">(Accessed: </w:t>
      </w:r>
      <w:r w:rsidR="00DE17BE">
        <w:rPr>
          <w:rFonts w:ascii="Arial" w:eastAsia="Arial" w:hAnsi="Arial" w:cs="Arial"/>
          <w:sz w:val="24"/>
          <w:szCs w:val="24"/>
        </w:rPr>
        <w:t>20</w:t>
      </w:r>
      <w:r w:rsidR="00DE17BE" w:rsidRPr="00C076E2">
        <w:rPr>
          <w:rFonts w:ascii="Arial" w:eastAsia="Arial" w:hAnsi="Arial" w:cs="Arial"/>
          <w:sz w:val="24"/>
          <w:szCs w:val="24"/>
          <w:vertAlign w:val="superscript"/>
        </w:rPr>
        <w:t>th</w:t>
      </w:r>
      <w:r w:rsidR="00DE17BE">
        <w:rPr>
          <w:rFonts w:ascii="Arial" w:eastAsia="Arial" w:hAnsi="Arial" w:cs="Arial"/>
          <w:sz w:val="24"/>
          <w:szCs w:val="24"/>
        </w:rPr>
        <w:t xml:space="preserve"> February</w:t>
      </w:r>
      <w:r w:rsidR="00DE17BE" w:rsidRPr="006B7267">
        <w:rPr>
          <w:rFonts w:ascii="Arial" w:eastAsia="Arial" w:hAnsi="Arial" w:cs="Arial"/>
          <w:sz w:val="24"/>
          <w:szCs w:val="24"/>
        </w:rPr>
        <w:t xml:space="preserve"> 2023). </w:t>
      </w:r>
      <w:r w:rsidR="00DE17BE">
        <w:t xml:space="preserve"> </w:t>
      </w:r>
    </w:p>
    <w:p w14:paraId="510978A5" w14:textId="77777777" w:rsidR="00C12F17" w:rsidRPr="00D807F3" w:rsidRDefault="00C12F17" w:rsidP="00C12F17">
      <w:pPr>
        <w:spacing w:line="256" w:lineRule="auto"/>
        <w:ind w:right="107"/>
        <w:rPr>
          <w:rFonts w:ascii="Arial" w:eastAsia="Arial" w:hAnsi="Arial" w:cs="Arial"/>
          <w:color w:val="000000" w:themeColor="text1"/>
          <w:sz w:val="24"/>
          <w:szCs w:val="24"/>
        </w:rPr>
      </w:pPr>
      <w:r w:rsidRPr="00D807F3">
        <w:rPr>
          <w:rFonts w:ascii="Arial" w:eastAsia="Arial" w:hAnsi="Arial" w:cs="Arial"/>
          <w:color w:val="000000" w:themeColor="text1"/>
          <w:sz w:val="24"/>
          <w:szCs w:val="24"/>
        </w:rPr>
        <w:t xml:space="preserve">House of Lords (2019) </w:t>
      </w:r>
      <w:r w:rsidRPr="00D807F3">
        <w:rPr>
          <w:rFonts w:ascii="Arial" w:eastAsia="Arial" w:hAnsi="Arial" w:cs="Arial"/>
          <w:i/>
          <w:iCs/>
          <w:color w:val="000000" w:themeColor="text1"/>
          <w:sz w:val="24"/>
          <w:szCs w:val="24"/>
        </w:rPr>
        <w:t xml:space="preserve">Forensic science and the criminal justice system: a blueprint for change. </w:t>
      </w:r>
      <w:r w:rsidRPr="00D807F3">
        <w:rPr>
          <w:rFonts w:ascii="Arial" w:eastAsia="Arial" w:hAnsi="Arial" w:cs="Arial"/>
          <w:color w:val="000000" w:themeColor="text1"/>
          <w:sz w:val="24"/>
          <w:szCs w:val="24"/>
        </w:rPr>
        <w:t xml:space="preserve">Available at: </w:t>
      </w:r>
      <w:hyperlink r:id="rId15" w:history="1">
        <w:r w:rsidRPr="00D807F3">
          <w:rPr>
            <w:rStyle w:val="Hyperlink"/>
            <w:rFonts w:ascii="Arial" w:eastAsia="Arial" w:hAnsi="Arial" w:cs="Arial"/>
            <w:sz w:val="24"/>
            <w:szCs w:val="24"/>
          </w:rPr>
          <w:t>https://publications.parliament.uk/pa/ld201719/ldselect/ldsctech/333/333.pdf</w:t>
        </w:r>
      </w:hyperlink>
      <w:r w:rsidRPr="00D807F3">
        <w:rPr>
          <w:rFonts w:ascii="Arial" w:eastAsia="Arial" w:hAnsi="Arial" w:cs="Arial"/>
          <w:color w:val="000000" w:themeColor="text1"/>
          <w:sz w:val="24"/>
          <w:szCs w:val="24"/>
        </w:rPr>
        <w:t xml:space="preserve"> (Accessed: </w:t>
      </w:r>
      <w:r>
        <w:rPr>
          <w:rFonts w:ascii="Arial" w:eastAsia="Arial" w:hAnsi="Arial" w:cs="Arial"/>
          <w:color w:val="000000" w:themeColor="text1"/>
          <w:sz w:val="24"/>
          <w:szCs w:val="24"/>
        </w:rPr>
        <w:t>20</w:t>
      </w:r>
      <w:r>
        <w:rPr>
          <w:rFonts w:ascii="Arial" w:eastAsia="Arial" w:hAnsi="Arial" w:cs="Arial"/>
          <w:color w:val="000000" w:themeColor="text1"/>
          <w:sz w:val="24"/>
          <w:szCs w:val="24"/>
          <w:vertAlign w:val="superscript"/>
        </w:rPr>
        <w:t xml:space="preserve">th </w:t>
      </w:r>
      <w:r w:rsidRPr="00D807F3">
        <w:rPr>
          <w:rFonts w:ascii="Arial" w:eastAsia="Arial" w:hAnsi="Arial" w:cs="Arial"/>
          <w:color w:val="000000" w:themeColor="text1"/>
          <w:sz w:val="24"/>
          <w:szCs w:val="24"/>
        </w:rPr>
        <w:t xml:space="preserve">January 2023). </w:t>
      </w:r>
    </w:p>
    <w:p w14:paraId="7366299B" w14:textId="77777777" w:rsidR="00C12F17" w:rsidRDefault="00C12F17" w:rsidP="00C12F17">
      <w:pPr>
        <w:spacing w:line="256" w:lineRule="auto"/>
        <w:ind w:right="107"/>
        <w:rPr>
          <w:rFonts w:ascii="Arial" w:eastAsia="Arial" w:hAnsi="Arial" w:cs="Arial"/>
          <w:color w:val="000000" w:themeColor="text1"/>
          <w:sz w:val="24"/>
          <w:szCs w:val="24"/>
        </w:rPr>
      </w:pPr>
      <w:r w:rsidRPr="00D807F3">
        <w:rPr>
          <w:rFonts w:ascii="Arial" w:eastAsia="Arial" w:hAnsi="Arial" w:cs="Arial"/>
          <w:color w:val="000000" w:themeColor="text1"/>
          <w:sz w:val="24"/>
          <w:szCs w:val="24"/>
        </w:rPr>
        <w:t>Lee, H et al. (2020) ‘Detecting child sexual abuse material: A comprehensive survey’</w:t>
      </w:r>
      <w:r>
        <w:rPr>
          <w:rFonts w:ascii="Arial" w:eastAsia="Arial" w:hAnsi="Arial" w:cs="Arial"/>
          <w:color w:val="000000" w:themeColor="text1"/>
          <w:sz w:val="24"/>
          <w:szCs w:val="24"/>
        </w:rPr>
        <w:t>,</w:t>
      </w:r>
      <w:r w:rsidRPr="00D807F3">
        <w:rPr>
          <w:rFonts w:ascii="Arial" w:eastAsia="Arial" w:hAnsi="Arial" w:cs="Arial"/>
          <w:color w:val="000000" w:themeColor="text1"/>
          <w:sz w:val="24"/>
          <w:szCs w:val="24"/>
        </w:rPr>
        <w:t xml:space="preserve"> </w:t>
      </w:r>
      <w:r w:rsidRPr="00D807F3">
        <w:rPr>
          <w:rFonts w:ascii="Arial" w:eastAsia="Arial" w:hAnsi="Arial" w:cs="Arial"/>
          <w:i/>
          <w:iCs/>
          <w:color w:val="000000" w:themeColor="text1"/>
          <w:sz w:val="24"/>
          <w:szCs w:val="24"/>
        </w:rPr>
        <w:t xml:space="preserve">Forensic Science International: Digital Investigation, </w:t>
      </w:r>
      <w:r w:rsidRPr="00D807F3">
        <w:rPr>
          <w:rFonts w:ascii="Arial" w:eastAsia="Arial" w:hAnsi="Arial" w:cs="Arial"/>
          <w:color w:val="000000" w:themeColor="text1"/>
          <w:sz w:val="24"/>
          <w:szCs w:val="24"/>
        </w:rPr>
        <w:t>34, pp. 1-11. DOI: 10.1016/j.fsidi.2020.301022</w:t>
      </w:r>
    </w:p>
    <w:p w14:paraId="31570D14" w14:textId="77777777" w:rsidR="00C12F17" w:rsidRDefault="00C12F17" w:rsidP="00C12F17">
      <w:pPr>
        <w:spacing w:line="256" w:lineRule="auto"/>
        <w:ind w:right="107"/>
        <w:rPr>
          <w:rFonts w:ascii="Arial" w:eastAsia="Arial" w:hAnsi="Arial" w:cs="Arial"/>
          <w:color w:val="000000" w:themeColor="text1"/>
          <w:sz w:val="24"/>
          <w:szCs w:val="24"/>
        </w:rPr>
      </w:pPr>
      <w:r w:rsidRPr="00D807F3">
        <w:rPr>
          <w:rFonts w:ascii="Arial" w:eastAsia="Arial" w:hAnsi="Arial" w:cs="Arial"/>
          <w:color w:val="000000" w:themeColor="text1"/>
          <w:sz w:val="24"/>
          <w:szCs w:val="24"/>
        </w:rPr>
        <w:t xml:space="preserve">NPCC (2020) </w:t>
      </w:r>
      <w:r w:rsidRPr="00D807F3">
        <w:rPr>
          <w:rFonts w:ascii="Arial" w:eastAsia="Arial" w:hAnsi="Arial" w:cs="Arial"/>
          <w:i/>
          <w:iCs/>
          <w:color w:val="000000" w:themeColor="text1"/>
          <w:sz w:val="24"/>
          <w:szCs w:val="24"/>
        </w:rPr>
        <w:t xml:space="preserve">Digital Forensic Science Strategy. </w:t>
      </w:r>
      <w:r w:rsidRPr="00D807F3">
        <w:rPr>
          <w:rFonts w:ascii="Arial" w:eastAsia="Arial" w:hAnsi="Arial" w:cs="Arial"/>
          <w:color w:val="000000" w:themeColor="text1"/>
          <w:sz w:val="24"/>
          <w:szCs w:val="24"/>
        </w:rPr>
        <w:t xml:space="preserve">Available at: </w:t>
      </w:r>
      <w:hyperlink r:id="rId16" w:history="1">
        <w:r w:rsidRPr="00D807F3">
          <w:rPr>
            <w:rStyle w:val="Hyperlink"/>
            <w:rFonts w:ascii="Arial" w:eastAsia="Arial" w:hAnsi="Arial" w:cs="Arial"/>
            <w:sz w:val="24"/>
            <w:szCs w:val="24"/>
          </w:rPr>
          <w:t>https://www.npcc.police.uk/Digital%20Forensic%20Science%20Strategy%202020.pdf</w:t>
        </w:r>
      </w:hyperlink>
      <w:r w:rsidRPr="00D807F3">
        <w:rPr>
          <w:rFonts w:ascii="Arial" w:eastAsia="Arial" w:hAnsi="Arial" w:cs="Arial"/>
          <w:color w:val="000000" w:themeColor="text1"/>
          <w:sz w:val="24"/>
          <w:szCs w:val="24"/>
        </w:rPr>
        <w:t xml:space="preserve"> (Accessed on: </w:t>
      </w:r>
      <w:r>
        <w:rPr>
          <w:rFonts w:ascii="Arial" w:eastAsia="Arial" w:hAnsi="Arial" w:cs="Arial"/>
          <w:color w:val="000000" w:themeColor="text1"/>
          <w:sz w:val="24"/>
          <w:szCs w:val="24"/>
        </w:rPr>
        <w:t>28</w:t>
      </w:r>
      <w:r w:rsidRPr="005A2D5C">
        <w:rPr>
          <w:rFonts w:ascii="Arial" w:eastAsia="Arial" w:hAnsi="Arial" w:cs="Arial"/>
          <w:color w:val="000000" w:themeColor="text1"/>
          <w:sz w:val="24"/>
          <w:szCs w:val="24"/>
          <w:vertAlign w:val="superscript"/>
        </w:rPr>
        <w:t>th</w:t>
      </w:r>
      <w:r w:rsidRPr="00D807F3">
        <w:rPr>
          <w:rFonts w:ascii="Arial" w:eastAsia="Arial" w:hAnsi="Arial" w:cs="Arial"/>
          <w:color w:val="000000" w:themeColor="text1"/>
          <w:sz w:val="24"/>
          <w:szCs w:val="24"/>
        </w:rPr>
        <w:t xml:space="preserve"> January 2023). </w:t>
      </w:r>
    </w:p>
    <w:p w14:paraId="739D9626" w14:textId="77777777" w:rsidR="00C12F17" w:rsidRDefault="00C12F17" w:rsidP="00C12F17">
      <w:pPr>
        <w:spacing w:line="256" w:lineRule="auto"/>
        <w:ind w:right="107"/>
        <w:rPr>
          <w:rFonts w:ascii="Arial" w:eastAsia="Arial" w:hAnsi="Arial" w:cs="Arial"/>
          <w:color w:val="000000" w:themeColor="text1"/>
          <w:sz w:val="24"/>
          <w:szCs w:val="24"/>
        </w:rPr>
      </w:pPr>
      <w:r w:rsidRPr="00D807F3">
        <w:rPr>
          <w:rFonts w:ascii="Arial" w:eastAsia="Arial" w:hAnsi="Arial" w:cs="Arial"/>
          <w:color w:val="000000" w:themeColor="text1"/>
          <w:sz w:val="24"/>
          <w:szCs w:val="24"/>
        </w:rPr>
        <w:t xml:space="preserve">The Police Foundation (2021) </w:t>
      </w:r>
      <w:r w:rsidRPr="00D807F3">
        <w:rPr>
          <w:rFonts w:ascii="Arial" w:eastAsia="Arial" w:hAnsi="Arial" w:cs="Arial"/>
          <w:i/>
          <w:iCs/>
          <w:color w:val="000000" w:themeColor="text1"/>
          <w:sz w:val="24"/>
          <w:szCs w:val="24"/>
        </w:rPr>
        <w:t>Digital forensics: the next steps.</w:t>
      </w:r>
      <w:r w:rsidRPr="00D807F3">
        <w:rPr>
          <w:rFonts w:ascii="Arial" w:eastAsia="Arial" w:hAnsi="Arial" w:cs="Arial"/>
          <w:color w:val="000000" w:themeColor="text1"/>
          <w:sz w:val="24"/>
          <w:szCs w:val="24"/>
        </w:rPr>
        <w:t xml:space="preserve"> Available at: </w:t>
      </w:r>
      <w:hyperlink r:id="rId17" w:history="1">
        <w:r w:rsidRPr="00D807F3">
          <w:rPr>
            <w:rStyle w:val="Hyperlink"/>
            <w:rFonts w:ascii="Arial" w:eastAsia="Arial" w:hAnsi="Arial" w:cs="Arial"/>
            <w:sz w:val="24"/>
            <w:szCs w:val="24"/>
          </w:rPr>
          <w:t>https://www.police-foundation.org.uk/project/the-next-steps-for-digital-forensics/</w:t>
        </w:r>
      </w:hyperlink>
      <w:r w:rsidRPr="00D807F3">
        <w:rPr>
          <w:rFonts w:ascii="Arial" w:eastAsia="Arial" w:hAnsi="Arial" w:cs="Arial"/>
          <w:color w:val="000000" w:themeColor="text1"/>
          <w:sz w:val="24"/>
          <w:szCs w:val="24"/>
        </w:rPr>
        <w:t xml:space="preserve"> (Accessed: </w:t>
      </w:r>
      <w:r>
        <w:rPr>
          <w:rFonts w:ascii="Arial" w:eastAsia="Arial" w:hAnsi="Arial" w:cs="Arial"/>
          <w:color w:val="000000" w:themeColor="text1"/>
          <w:sz w:val="24"/>
          <w:szCs w:val="24"/>
        </w:rPr>
        <w:t>28</w:t>
      </w:r>
      <w:r w:rsidRPr="00804F3C">
        <w:rPr>
          <w:rFonts w:ascii="Arial" w:eastAsia="Arial" w:hAnsi="Arial" w:cs="Arial"/>
          <w:color w:val="000000" w:themeColor="text1"/>
          <w:sz w:val="24"/>
          <w:szCs w:val="24"/>
          <w:vertAlign w:val="superscript"/>
        </w:rPr>
        <w:t>th</w:t>
      </w:r>
      <w:r w:rsidRPr="00D807F3">
        <w:rPr>
          <w:rFonts w:ascii="Arial" w:eastAsia="Arial" w:hAnsi="Arial" w:cs="Arial"/>
          <w:color w:val="000000" w:themeColor="text1"/>
          <w:sz w:val="24"/>
          <w:szCs w:val="24"/>
        </w:rPr>
        <w:t xml:space="preserve"> January 2023). </w:t>
      </w:r>
    </w:p>
    <w:p w14:paraId="7F96207E" w14:textId="376AAFFD" w:rsidR="00C12F17" w:rsidRDefault="00C12F17" w:rsidP="00C12F17">
      <w:pPr>
        <w:spacing w:line="256" w:lineRule="auto"/>
        <w:ind w:right="107"/>
        <w:rPr>
          <w:rFonts w:ascii="Arial" w:eastAsia="Arial" w:hAnsi="Arial" w:cs="Arial"/>
          <w:sz w:val="24"/>
          <w:szCs w:val="24"/>
        </w:rPr>
      </w:pPr>
      <w:r w:rsidRPr="0019097E">
        <w:rPr>
          <w:rFonts w:ascii="Arial" w:eastAsia="Arial" w:hAnsi="Arial" w:cs="Arial"/>
          <w:sz w:val="24"/>
          <w:szCs w:val="24"/>
        </w:rPr>
        <w:t>Wilson-Kovacs, D. (20</w:t>
      </w:r>
      <w:r>
        <w:rPr>
          <w:rFonts w:ascii="Arial" w:eastAsia="Arial" w:hAnsi="Arial" w:cs="Arial"/>
          <w:sz w:val="24"/>
          <w:szCs w:val="24"/>
        </w:rPr>
        <w:t>20</w:t>
      </w:r>
      <w:r w:rsidRPr="0019097E">
        <w:rPr>
          <w:rFonts w:ascii="Arial" w:eastAsia="Arial" w:hAnsi="Arial" w:cs="Arial"/>
          <w:sz w:val="24"/>
          <w:szCs w:val="24"/>
        </w:rPr>
        <w:t>) ‘Effective resource management in digital forensics: An exploratory analysis of triage practices in four English constabularies’, </w:t>
      </w:r>
      <w:r w:rsidRPr="0019097E">
        <w:rPr>
          <w:rFonts w:ascii="Arial" w:eastAsia="Arial" w:hAnsi="Arial" w:cs="Arial"/>
          <w:i/>
          <w:iCs/>
          <w:sz w:val="24"/>
          <w:szCs w:val="24"/>
        </w:rPr>
        <w:t>Policing: an international journal of police strategies &amp; management</w:t>
      </w:r>
      <w:r w:rsidRPr="0019097E">
        <w:rPr>
          <w:rFonts w:ascii="Arial" w:eastAsia="Arial" w:hAnsi="Arial" w:cs="Arial"/>
          <w:sz w:val="24"/>
          <w:szCs w:val="24"/>
        </w:rPr>
        <w:t xml:space="preserve">, 43(1), pp. 77–90. Available at: </w:t>
      </w:r>
      <w:hyperlink r:id="rId18" w:history="1">
        <w:r w:rsidRPr="00044962">
          <w:rPr>
            <w:rStyle w:val="Hyperlink"/>
            <w:rFonts w:ascii="Arial" w:eastAsia="Arial" w:hAnsi="Arial" w:cs="Arial"/>
            <w:sz w:val="24"/>
            <w:szCs w:val="24"/>
          </w:rPr>
          <w:t>https://doi.org/10.1108/PIJPSM-07-2019-0126</w:t>
        </w:r>
      </w:hyperlink>
      <w:r w:rsidR="00B96D3B">
        <w:rPr>
          <w:rFonts w:ascii="Arial" w:eastAsia="Arial" w:hAnsi="Arial" w:cs="Arial"/>
          <w:sz w:val="24"/>
          <w:szCs w:val="24"/>
        </w:rPr>
        <w:t xml:space="preserve"> </w:t>
      </w:r>
      <w:r w:rsidR="00B96D3B" w:rsidRPr="006B7267">
        <w:rPr>
          <w:rFonts w:ascii="Arial" w:eastAsia="Arial" w:hAnsi="Arial" w:cs="Arial"/>
          <w:sz w:val="24"/>
          <w:szCs w:val="24"/>
        </w:rPr>
        <w:t xml:space="preserve">(Accessed: </w:t>
      </w:r>
      <w:r w:rsidR="00B96D3B">
        <w:rPr>
          <w:rFonts w:ascii="Arial" w:eastAsia="Arial" w:hAnsi="Arial" w:cs="Arial"/>
          <w:sz w:val="24"/>
          <w:szCs w:val="24"/>
        </w:rPr>
        <w:t>15</w:t>
      </w:r>
      <w:r w:rsidR="00B96D3B" w:rsidRPr="00C076E2">
        <w:rPr>
          <w:rFonts w:ascii="Arial" w:eastAsia="Arial" w:hAnsi="Arial" w:cs="Arial"/>
          <w:sz w:val="24"/>
          <w:szCs w:val="24"/>
          <w:vertAlign w:val="superscript"/>
        </w:rPr>
        <w:t>th</w:t>
      </w:r>
      <w:r w:rsidR="00B96D3B">
        <w:rPr>
          <w:rFonts w:ascii="Arial" w:eastAsia="Arial" w:hAnsi="Arial" w:cs="Arial"/>
          <w:sz w:val="24"/>
          <w:szCs w:val="24"/>
        </w:rPr>
        <w:t xml:space="preserve"> February</w:t>
      </w:r>
      <w:r w:rsidR="00B96D3B" w:rsidRPr="006B7267">
        <w:rPr>
          <w:rFonts w:ascii="Arial" w:eastAsia="Arial" w:hAnsi="Arial" w:cs="Arial"/>
          <w:sz w:val="24"/>
          <w:szCs w:val="24"/>
        </w:rPr>
        <w:t xml:space="preserve"> 2023). </w:t>
      </w:r>
      <w:r w:rsidR="00B96D3B">
        <w:t xml:space="preserve"> </w:t>
      </w:r>
    </w:p>
    <w:p w14:paraId="68701AE8" w14:textId="019EB76A" w:rsidR="00B96D3B" w:rsidRDefault="00C12F17" w:rsidP="00B96D3B">
      <w:pPr>
        <w:spacing w:line="256" w:lineRule="auto"/>
        <w:ind w:right="107"/>
        <w:rPr>
          <w:rFonts w:ascii="Arial" w:eastAsia="Arial" w:hAnsi="Arial" w:cs="Arial"/>
          <w:sz w:val="24"/>
          <w:szCs w:val="24"/>
        </w:rPr>
      </w:pPr>
      <w:r w:rsidRPr="0001555D">
        <w:rPr>
          <w:rFonts w:ascii="Arial" w:eastAsia="Arial" w:hAnsi="Arial" w:cs="Arial"/>
          <w:sz w:val="24"/>
          <w:szCs w:val="24"/>
        </w:rPr>
        <w:t>Quick, D. and Choo, K.-K.R. (2016) ‘Big forensic data reduction: digital forensic images and electronic evidence’, </w:t>
      </w:r>
      <w:r w:rsidRPr="00C34051">
        <w:rPr>
          <w:rFonts w:ascii="Arial" w:eastAsia="Arial" w:hAnsi="Arial" w:cs="Arial"/>
          <w:i/>
          <w:iCs/>
          <w:sz w:val="24"/>
          <w:szCs w:val="24"/>
        </w:rPr>
        <w:t>Cluster computing</w:t>
      </w:r>
      <w:r w:rsidRPr="0001555D">
        <w:rPr>
          <w:rFonts w:ascii="Arial" w:eastAsia="Arial" w:hAnsi="Arial" w:cs="Arial"/>
          <w:sz w:val="24"/>
          <w:szCs w:val="24"/>
        </w:rPr>
        <w:t xml:space="preserve">, 19(2), pp. 723–740. Available at: </w:t>
      </w:r>
      <w:hyperlink r:id="rId19" w:history="1">
        <w:r w:rsidR="00B96D3B" w:rsidRPr="00044962">
          <w:rPr>
            <w:rStyle w:val="Hyperlink"/>
            <w:rFonts w:ascii="Arial" w:eastAsia="Arial" w:hAnsi="Arial" w:cs="Arial"/>
            <w:sz w:val="24"/>
            <w:szCs w:val="24"/>
          </w:rPr>
          <w:t>https://doi.org/10.1007/s10586-016-0553-1</w:t>
        </w:r>
      </w:hyperlink>
      <w:r w:rsidR="00B96D3B">
        <w:rPr>
          <w:rFonts w:ascii="Arial" w:eastAsia="Arial" w:hAnsi="Arial" w:cs="Arial"/>
          <w:sz w:val="24"/>
          <w:szCs w:val="24"/>
        </w:rPr>
        <w:t xml:space="preserve"> </w:t>
      </w:r>
      <w:r w:rsidR="00B96D3B" w:rsidRPr="006B7267">
        <w:rPr>
          <w:rFonts w:ascii="Arial" w:eastAsia="Arial" w:hAnsi="Arial" w:cs="Arial"/>
          <w:sz w:val="24"/>
          <w:szCs w:val="24"/>
        </w:rPr>
        <w:t xml:space="preserve">(Accessed: </w:t>
      </w:r>
      <w:r w:rsidR="00B96D3B">
        <w:rPr>
          <w:rFonts w:ascii="Arial" w:eastAsia="Arial" w:hAnsi="Arial" w:cs="Arial"/>
          <w:sz w:val="24"/>
          <w:szCs w:val="24"/>
        </w:rPr>
        <w:t>1</w:t>
      </w:r>
      <w:r w:rsidR="00B96D3B">
        <w:rPr>
          <w:rFonts w:ascii="Arial" w:eastAsia="Arial" w:hAnsi="Arial" w:cs="Arial"/>
          <w:sz w:val="24"/>
          <w:szCs w:val="24"/>
        </w:rPr>
        <w:t>8</w:t>
      </w:r>
      <w:r w:rsidR="00B96D3B" w:rsidRPr="00C076E2">
        <w:rPr>
          <w:rFonts w:ascii="Arial" w:eastAsia="Arial" w:hAnsi="Arial" w:cs="Arial"/>
          <w:sz w:val="24"/>
          <w:szCs w:val="24"/>
          <w:vertAlign w:val="superscript"/>
        </w:rPr>
        <w:t>th</w:t>
      </w:r>
      <w:r w:rsidR="00B96D3B">
        <w:rPr>
          <w:rFonts w:ascii="Arial" w:eastAsia="Arial" w:hAnsi="Arial" w:cs="Arial"/>
          <w:sz w:val="24"/>
          <w:szCs w:val="24"/>
        </w:rPr>
        <w:t xml:space="preserve"> February</w:t>
      </w:r>
      <w:r w:rsidR="00B96D3B" w:rsidRPr="006B7267">
        <w:rPr>
          <w:rFonts w:ascii="Arial" w:eastAsia="Arial" w:hAnsi="Arial" w:cs="Arial"/>
          <w:sz w:val="24"/>
          <w:szCs w:val="24"/>
        </w:rPr>
        <w:t xml:space="preserve"> 2023). </w:t>
      </w:r>
      <w:r w:rsidR="00B96D3B">
        <w:t xml:space="preserve"> </w:t>
      </w:r>
    </w:p>
    <w:p w14:paraId="395ADD4F" w14:textId="6DE8FF75" w:rsidR="00752B35" w:rsidRDefault="00752B35"/>
    <w:p w14:paraId="6F036E6D" w14:textId="77777777" w:rsidR="0094574D" w:rsidRDefault="00752B35">
      <w:pPr>
        <w:rPr>
          <w:b/>
          <w:bCs/>
          <w:u w:val="single"/>
        </w:rPr>
      </w:pPr>
      <w:r w:rsidRPr="00752B35">
        <w:rPr>
          <w:b/>
          <w:bCs/>
          <w:u w:val="single"/>
        </w:rPr>
        <w:t xml:space="preserve">NOTE: </w:t>
      </w:r>
      <w:r w:rsidR="0094574D">
        <w:rPr>
          <w:b/>
          <w:bCs/>
          <w:u w:val="single"/>
        </w:rPr>
        <w:t>Overall word count is 1500 words.</w:t>
      </w:r>
    </w:p>
    <w:p w14:paraId="1E9D0A97" w14:textId="43BC3B32" w:rsidR="00752B35" w:rsidRPr="0094574D" w:rsidRDefault="0094574D">
      <w:r w:rsidRPr="0094574D">
        <w:t xml:space="preserve">The </w:t>
      </w:r>
      <w:r w:rsidR="00752B35" w:rsidRPr="0094574D">
        <w:t xml:space="preserve">word counts </w:t>
      </w:r>
      <w:r w:rsidRPr="0094574D">
        <w:t xml:space="preserve">above </w:t>
      </w:r>
      <w:r w:rsidR="00752B35" w:rsidRPr="0094574D">
        <w:t xml:space="preserve">are SUGGESTED amounts ONLY </w:t>
      </w:r>
    </w:p>
    <w:sectPr w:rsidR="00752B35" w:rsidRPr="0094574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88451" w14:textId="77777777" w:rsidR="00000000" w:rsidRDefault="00F678E6">
      <w:pPr>
        <w:spacing w:after="0" w:line="240" w:lineRule="auto"/>
      </w:pPr>
      <w:r>
        <w:separator/>
      </w:r>
    </w:p>
  </w:endnote>
  <w:endnote w:type="continuationSeparator" w:id="0">
    <w:p w14:paraId="4AF506BB" w14:textId="77777777" w:rsidR="00000000" w:rsidRDefault="00F678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1E6D6399" w14:textId="77777777" w:rsidTr="28767A1F">
      <w:tc>
        <w:tcPr>
          <w:tcW w:w="3005" w:type="dxa"/>
        </w:tcPr>
        <w:p w14:paraId="70333787" w14:textId="67824C5F" w:rsidR="28767A1F" w:rsidRDefault="28767A1F" w:rsidP="28767A1F">
          <w:pPr>
            <w:pStyle w:val="Header"/>
            <w:ind w:left="-115"/>
          </w:pPr>
          <w:r>
            <w:t>Adapted from UCLAN.ac.uk</w:t>
          </w:r>
        </w:p>
      </w:tc>
      <w:tc>
        <w:tcPr>
          <w:tcW w:w="3005" w:type="dxa"/>
        </w:tcPr>
        <w:p w14:paraId="0BF7D7D9" w14:textId="78A33699" w:rsidR="28767A1F" w:rsidRDefault="28767A1F" w:rsidP="28767A1F">
          <w:pPr>
            <w:pStyle w:val="Header"/>
            <w:jc w:val="center"/>
          </w:pPr>
        </w:p>
      </w:tc>
      <w:tc>
        <w:tcPr>
          <w:tcW w:w="3005" w:type="dxa"/>
        </w:tcPr>
        <w:p w14:paraId="0A0C4267" w14:textId="35FEA3FD" w:rsidR="28767A1F" w:rsidRDefault="28767A1F" w:rsidP="28767A1F">
          <w:pPr>
            <w:pStyle w:val="Header"/>
            <w:ind w:right="-115"/>
            <w:jc w:val="right"/>
          </w:pPr>
        </w:p>
      </w:tc>
    </w:tr>
  </w:tbl>
  <w:p w14:paraId="3926AFF9" w14:textId="6FA2424E" w:rsidR="28767A1F" w:rsidRDefault="28767A1F" w:rsidP="28767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BB52B" w14:textId="77777777" w:rsidR="00000000" w:rsidRDefault="00F678E6">
      <w:pPr>
        <w:spacing w:after="0" w:line="240" w:lineRule="auto"/>
      </w:pPr>
      <w:r>
        <w:separator/>
      </w:r>
    </w:p>
  </w:footnote>
  <w:footnote w:type="continuationSeparator" w:id="0">
    <w:p w14:paraId="26D29B45" w14:textId="77777777" w:rsidR="00000000" w:rsidRDefault="00F678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28767A1F" w14:paraId="6437ECEB" w14:textId="77777777" w:rsidTr="28767A1F">
      <w:tc>
        <w:tcPr>
          <w:tcW w:w="3005" w:type="dxa"/>
        </w:tcPr>
        <w:p w14:paraId="14B4F517" w14:textId="18BA55D1" w:rsidR="28767A1F" w:rsidRDefault="28767A1F" w:rsidP="28767A1F">
          <w:pPr>
            <w:pStyle w:val="Header"/>
            <w:ind w:left="-115"/>
          </w:pPr>
        </w:p>
      </w:tc>
      <w:tc>
        <w:tcPr>
          <w:tcW w:w="3005" w:type="dxa"/>
        </w:tcPr>
        <w:p w14:paraId="58C2542B" w14:textId="6C1B75C2" w:rsidR="28767A1F" w:rsidRDefault="28767A1F" w:rsidP="28767A1F">
          <w:pPr>
            <w:pStyle w:val="Header"/>
            <w:jc w:val="center"/>
          </w:pPr>
        </w:p>
      </w:tc>
      <w:tc>
        <w:tcPr>
          <w:tcW w:w="3005" w:type="dxa"/>
        </w:tcPr>
        <w:p w14:paraId="22EAEE4A" w14:textId="036C4598" w:rsidR="28767A1F" w:rsidRDefault="28767A1F" w:rsidP="28767A1F">
          <w:pPr>
            <w:pStyle w:val="Header"/>
            <w:ind w:right="-115"/>
            <w:jc w:val="right"/>
          </w:pPr>
        </w:p>
      </w:tc>
    </w:tr>
  </w:tbl>
  <w:p w14:paraId="56CEC222" w14:textId="7F4D99DA" w:rsidR="28767A1F" w:rsidRDefault="28767A1F" w:rsidP="28767A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94113B"/>
    <w:multiLevelType w:val="hybridMultilevel"/>
    <w:tmpl w:val="62F4B066"/>
    <w:lvl w:ilvl="0" w:tplc="C656696A">
      <w:start w:val="1"/>
      <w:numFmt w:val="bullet"/>
      <w:lvlText w:val="o"/>
      <w:lvlJc w:val="left"/>
      <w:pPr>
        <w:tabs>
          <w:tab w:val="num" w:pos="720"/>
        </w:tabs>
        <w:ind w:left="720" w:hanging="360"/>
      </w:pPr>
      <w:rPr>
        <w:rFonts w:ascii="Courier New" w:hAnsi="Courier New" w:hint="default"/>
      </w:rPr>
    </w:lvl>
    <w:lvl w:ilvl="1" w:tplc="8C3C6070">
      <w:start w:val="1"/>
      <w:numFmt w:val="bullet"/>
      <w:lvlText w:val="o"/>
      <w:lvlJc w:val="left"/>
      <w:pPr>
        <w:tabs>
          <w:tab w:val="num" w:pos="1440"/>
        </w:tabs>
        <w:ind w:left="1440" w:hanging="360"/>
      </w:pPr>
      <w:rPr>
        <w:rFonts w:ascii="Courier New" w:hAnsi="Courier New" w:hint="default"/>
      </w:rPr>
    </w:lvl>
    <w:lvl w:ilvl="2" w:tplc="35CC425A" w:tentative="1">
      <w:start w:val="1"/>
      <w:numFmt w:val="bullet"/>
      <w:lvlText w:val="o"/>
      <w:lvlJc w:val="left"/>
      <w:pPr>
        <w:tabs>
          <w:tab w:val="num" w:pos="2160"/>
        </w:tabs>
        <w:ind w:left="2160" w:hanging="360"/>
      </w:pPr>
      <w:rPr>
        <w:rFonts w:ascii="Courier New" w:hAnsi="Courier New" w:hint="default"/>
      </w:rPr>
    </w:lvl>
    <w:lvl w:ilvl="3" w:tplc="CCD46A8A" w:tentative="1">
      <w:start w:val="1"/>
      <w:numFmt w:val="bullet"/>
      <w:lvlText w:val="o"/>
      <w:lvlJc w:val="left"/>
      <w:pPr>
        <w:tabs>
          <w:tab w:val="num" w:pos="2880"/>
        </w:tabs>
        <w:ind w:left="2880" w:hanging="360"/>
      </w:pPr>
      <w:rPr>
        <w:rFonts w:ascii="Courier New" w:hAnsi="Courier New" w:hint="default"/>
      </w:rPr>
    </w:lvl>
    <w:lvl w:ilvl="4" w:tplc="D20C9050" w:tentative="1">
      <w:start w:val="1"/>
      <w:numFmt w:val="bullet"/>
      <w:lvlText w:val="o"/>
      <w:lvlJc w:val="left"/>
      <w:pPr>
        <w:tabs>
          <w:tab w:val="num" w:pos="3600"/>
        </w:tabs>
        <w:ind w:left="3600" w:hanging="360"/>
      </w:pPr>
      <w:rPr>
        <w:rFonts w:ascii="Courier New" w:hAnsi="Courier New" w:hint="default"/>
      </w:rPr>
    </w:lvl>
    <w:lvl w:ilvl="5" w:tplc="EACE9484" w:tentative="1">
      <w:start w:val="1"/>
      <w:numFmt w:val="bullet"/>
      <w:lvlText w:val="o"/>
      <w:lvlJc w:val="left"/>
      <w:pPr>
        <w:tabs>
          <w:tab w:val="num" w:pos="4320"/>
        </w:tabs>
        <w:ind w:left="4320" w:hanging="360"/>
      </w:pPr>
      <w:rPr>
        <w:rFonts w:ascii="Courier New" w:hAnsi="Courier New" w:hint="default"/>
      </w:rPr>
    </w:lvl>
    <w:lvl w:ilvl="6" w:tplc="33E6705A" w:tentative="1">
      <w:start w:val="1"/>
      <w:numFmt w:val="bullet"/>
      <w:lvlText w:val="o"/>
      <w:lvlJc w:val="left"/>
      <w:pPr>
        <w:tabs>
          <w:tab w:val="num" w:pos="5040"/>
        </w:tabs>
        <w:ind w:left="5040" w:hanging="360"/>
      </w:pPr>
      <w:rPr>
        <w:rFonts w:ascii="Courier New" w:hAnsi="Courier New" w:hint="default"/>
      </w:rPr>
    </w:lvl>
    <w:lvl w:ilvl="7" w:tplc="8E3AEAEA" w:tentative="1">
      <w:start w:val="1"/>
      <w:numFmt w:val="bullet"/>
      <w:lvlText w:val="o"/>
      <w:lvlJc w:val="left"/>
      <w:pPr>
        <w:tabs>
          <w:tab w:val="num" w:pos="5760"/>
        </w:tabs>
        <w:ind w:left="5760" w:hanging="360"/>
      </w:pPr>
      <w:rPr>
        <w:rFonts w:ascii="Courier New" w:hAnsi="Courier New" w:hint="default"/>
      </w:rPr>
    </w:lvl>
    <w:lvl w:ilvl="8" w:tplc="C2C82AC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6881775B"/>
    <w:multiLevelType w:val="hybridMultilevel"/>
    <w:tmpl w:val="5B600632"/>
    <w:lvl w:ilvl="0" w:tplc="3E640508">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3F07BF"/>
    <w:multiLevelType w:val="hybridMultilevel"/>
    <w:tmpl w:val="91747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20F"/>
    <w:rsid w:val="00000718"/>
    <w:rsid w:val="000079D5"/>
    <w:rsid w:val="00012C59"/>
    <w:rsid w:val="00031E07"/>
    <w:rsid w:val="00034B2F"/>
    <w:rsid w:val="00046DC0"/>
    <w:rsid w:val="000520E6"/>
    <w:rsid w:val="000601E3"/>
    <w:rsid w:val="00075019"/>
    <w:rsid w:val="00082E05"/>
    <w:rsid w:val="00087F52"/>
    <w:rsid w:val="00094DAA"/>
    <w:rsid w:val="000A3EC1"/>
    <w:rsid w:val="000D5C8B"/>
    <w:rsid w:val="0010493E"/>
    <w:rsid w:val="00111545"/>
    <w:rsid w:val="00122490"/>
    <w:rsid w:val="00192972"/>
    <w:rsid w:val="00194889"/>
    <w:rsid w:val="00195B49"/>
    <w:rsid w:val="001A4A0A"/>
    <w:rsid w:val="001A7C06"/>
    <w:rsid w:val="001B457E"/>
    <w:rsid w:val="001F2DE1"/>
    <w:rsid w:val="002006D8"/>
    <w:rsid w:val="0020587B"/>
    <w:rsid w:val="00230DD3"/>
    <w:rsid w:val="0024226B"/>
    <w:rsid w:val="002457D4"/>
    <w:rsid w:val="002702B3"/>
    <w:rsid w:val="00270EEB"/>
    <w:rsid w:val="00276282"/>
    <w:rsid w:val="002911F9"/>
    <w:rsid w:val="002A3844"/>
    <w:rsid w:val="002A40BF"/>
    <w:rsid w:val="002D008B"/>
    <w:rsid w:val="002D79A2"/>
    <w:rsid w:val="002F1F1D"/>
    <w:rsid w:val="0030569D"/>
    <w:rsid w:val="00314718"/>
    <w:rsid w:val="003169D7"/>
    <w:rsid w:val="003278F1"/>
    <w:rsid w:val="0033020F"/>
    <w:rsid w:val="0033048F"/>
    <w:rsid w:val="00340914"/>
    <w:rsid w:val="00360805"/>
    <w:rsid w:val="003C0E1F"/>
    <w:rsid w:val="003C6634"/>
    <w:rsid w:val="003F4D9A"/>
    <w:rsid w:val="004047ED"/>
    <w:rsid w:val="00404D12"/>
    <w:rsid w:val="004125B2"/>
    <w:rsid w:val="004345D2"/>
    <w:rsid w:val="00463900"/>
    <w:rsid w:val="004675F7"/>
    <w:rsid w:val="0049460E"/>
    <w:rsid w:val="004A46DC"/>
    <w:rsid w:val="004B5DDF"/>
    <w:rsid w:val="004C5C28"/>
    <w:rsid w:val="004D145A"/>
    <w:rsid w:val="004D2590"/>
    <w:rsid w:val="004E75E2"/>
    <w:rsid w:val="004F1D7A"/>
    <w:rsid w:val="00523F43"/>
    <w:rsid w:val="005248C3"/>
    <w:rsid w:val="00543A10"/>
    <w:rsid w:val="00595929"/>
    <w:rsid w:val="005967E2"/>
    <w:rsid w:val="005A78F5"/>
    <w:rsid w:val="005B4608"/>
    <w:rsid w:val="005B6723"/>
    <w:rsid w:val="005E04BA"/>
    <w:rsid w:val="005E2F77"/>
    <w:rsid w:val="005F5411"/>
    <w:rsid w:val="006021C3"/>
    <w:rsid w:val="0060764E"/>
    <w:rsid w:val="00617027"/>
    <w:rsid w:val="006173C8"/>
    <w:rsid w:val="00624959"/>
    <w:rsid w:val="006414FC"/>
    <w:rsid w:val="00646223"/>
    <w:rsid w:val="00667347"/>
    <w:rsid w:val="006811DA"/>
    <w:rsid w:val="00694741"/>
    <w:rsid w:val="006A0667"/>
    <w:rsid w:val="006B6FA1"/>
    <w:rsid w:val="006D1949"/>
    <w:rsid w:val="006F622F"/>
    <w:rsid w:val="006F7FAD"/>
    <w:rsid w:val="007025C7"/>
    <w:rsid w:val="0070566F"/>
    <w:rsid w:val="0070693A"/>
    <w:rsid w:val="00707CDC"/>
    <w:rsid w:val="00747F6A"/>
    <w:rsid w:val="00750BB6"/>
    <w:rsid w:val="0075120F"/>
    <w:rsid w:val="00752B35"/>
    <w:rsid w:val="00754E66"/>
    <w:rsid w:val="00757888"/>
    <w:rsid w:val="007A5560"/>
    <w:rsid w:val="007B4727"/>
    <w:rsid w:val="007C6772"/>
    <w:rsid w:val="007D19A5"/>
    <w:rsid w:val="007D4D75"/>
    <w:rsid w:val="007D4EBD"/>
    <w:rsid w:val="008101F5"/>
    <w:rsid w:val="00821030"/>
    <w:rsid w:val="00824721"/>
    <w:rsid w:val="008306BD"/>
    <w:rsid w:val="0083509D"/>
    <w:rsid w:val="00835319"/>
    <w:rsid w:val="008714AD"/>
    <w:rsid w:val="00872AC6"/>
    <w:rsid w:val="00876947"/>
    <w:rsid w:val="008803D7"/>
    <w:rsid w:val="008A4E70"/>
    <w:rsid w:val="008B2571"/>
    <w:rsid w:val="008B2639"/>
    <w:rsid w:val="008B718C"/>
    <w:rsid w:val="008B7A1E"/>
    <w:rsid w:val="008D30CE"/>
    <w:rsid w:val="008D4BC1"/>
    <w:rsid w:val="009131B6"/>
    <w:rsid w:val="00913C58"/>
    <w:rsid w:val="00916029"/>
    <w:rsid w:val="00937B05"/>
    <w:rsid w:val="009426BC"/>
    <w:rsid w:val="0094574D"/>
    <w:rsid w:val="00966B5B"/>
    <w:rsid w:val="00982A3E"/>
    <w:rsid w:val="00997121"/>
    <w:rsid w:val="009A2204"/>
    <w:rsid w:val="009A6F67"/>
    <w:rsid w:val="009B13C9"/>
    <w:rsid w:val="009B2D98"/>
    <w:rsid w:val="009B7D78"/>
    <w:rsid w:val="009E53CD"/>
    <w:rsid w:val="009E6C0D"/>
    <w:rsid w:val="009F0281"/>
    <w:rsid w:val="009F3C96"/>
    <w:rsid w:val="00A10E87"/>
    <w:rsid w:val="00A247F4"/>
    <w:rsid w:val="00A3554B"/>
    <w:rsid w:val="00A37A54"/>
    <w:rsid w:val="00A4104B"/>
    <w:rsid w:val="00A60EBC"/>
    <w:rsid w:val="00A6281B"/>
    <w:rsid w:val="00A76699"/>
    <w:rsid w:val="00AC63B8"/>
    <w:rsid w:val="00AC6B10"/>
    <w:rsid w:val="00AF0649"/>
    <w:rsid w:val="00AF24B4"/>
    <w:rsid w:val="00AF423A"/>
    <w:rsid w:val="00AF7F94"/>
    <w:rsid w:val="00B13486"/>
    <w:rsid w:val="00B376C5"/>
    <w:rsid w:val="00B55313"/>
    <w:rsid w:val="00B833FF"/>
    <w:rsid w:val="00B93253"/>
    <w:rsid w:val="00B96D3B"/>
    <w:rsid w:val="00BB1679"/>
    <w:rsid w:val="00BB1D42"/>
    <w:rsid w:val="00BC7835"/>
    <w:rsid w:val="00BD51DD"/>
    <w:rsid w:val="00BF006C"/>
    <w:rsid w:val="00C12F17"/>
    <w:rsid w:val="00C24EE5"/>
    <w:rsid w:val="00C33E2D"/>
    <w:rsid w:val="00C33F43"/>
    <w:rsid w:val="00C42086"/>
    <w:rsid w:val="00C44D69"/>
    <w:rsid w:val="00C46137"/>
    <w:rsid w:val="00C60A30"/>
    <w:rsid w:val="00C62386"/>
    <w:rsid w:val="00C84ACD"/>
    <w:rsid w:val="00C90156"/>
    <w:rsid w:val="00CA47C2"/>
    <w:rsid w:val="00CB78FF"/>
    <w:rsid w:val="00CF03CA"/>
    <w:rsid w:val="00CF4316"/>
    <w:rsid w:val="00D02304"/>
    <w:rsid w:val="00D2390E"/>
    <w:rsid w:val="00D5731A"/>
    <w:rsid w:val="00D611CB"/>
    <w:rsid w:val="00D61AEE"/>
    <w:rsid w:val="00D66C78"/>
    <w:rsid w:val="00D66C9E"/>
    <w:rsid w:val="00D96694"/>
    <w:rsid w:val="00DA64C0"/>
    <w:rsid w:val="00DB4AFD"/>
    <w:rsid w:val="00DB5E69"/>
    <w:rsid w:val="00DC66B5"/>
    <w:rsid w:val="00DD4C18"/>
    <w:rsid w:val="00DE17BE"/>
    <w:rsid w:val="00DF3FA7"/>
    <w:rsid w:val="00E0044F"/>
    <w:rsid w:val="00E43C30"/>
    <w:rsid w:val="00E5741F"/>
    <w:rsid w:val="00E618CC"/>
    <w:rsid w:val="00E667A1"/>
    <w:rsid w:val="00E66DDA"/>
    <w:rsid w:val="00EA56CB"/>
    <w:rsid w:val="00EC066C"/>
    <w:rsid w:val="00ED6FA7"/>
    <w:rsid w:val="00EE0A62"/>
    <w:rsid w:val="00EE75BA"/>
    <w:rsid w:val="00EF1D59"/>
    <w:rsid w:val="00F10A47"/>
    <w:rsid w:val="00F11933"/>
    <w:rsid w:val="00F50DB3"/>
    <w:rsid w:val="00F61FC3"/>
    <w:rsid w:val="00F678E6"/>
    <w:rsid w:val="00F71FFD"/>
    <w:rsid w:val="00F90D22"/>
    <w:rsid w:val="00FB23F4"/>
    <w:rsid w:val="00FB4BB5"/>
    <w:rsid w:val="00FC6881"/>
    <w:rsid w:val="00FD1B66"/>
    <w:rsid w:val="28767A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9ABA7"/>
  <w15:chartTrackingRefBased/>
  <w15:docId w15:val="{A1987846-D9C2-4D21-B6D7-A420A021A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D7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D4D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D4D7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7D4D75"/>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D4D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D4D75"/>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2D79A2"/>
    <w:pPr>
      <w:ind w:left="720"/>
      <w:contextualSpacing/>
    </w:pPr>
  </w:style>
  <w:style w:type="character" w:styleId="Hyperlink">
    <w:name w:val="Hyperlink"/>
    <w:basedOn w:val="DefaultParagraphFont"/>
    <w:uiPriority w:val="99"/>
    <w:unhideWhenUsed/>
    <w:rsid w:val="00C12F17"/>
    <w:rPr>
      <w:color w:val="0563C1" w:themeColor="hyperlink"/>
      <w:u w:val="single"/>
    </w:rPr>
  </w:style>
  <w:style w:type="character" w:styleId="UnresolvedMention">
    <w:name w:val="Unresolved Mention"/>
    <w:basedOn w:val="DefaultParagraphFont"/>
    <w:uiPriority w:val="99"/>
    <w:semiHidden/>
    <w:unhideWhenUsed/>
    <w:rsid w:val="00DE17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4691514">
      <w:bodyDiv w:val="1"/>
      <w:marLeft w:val="0"/>
      <w:marRight w:val="0"/>
      <w:marTop w:val="0"/>
      <w:marBottom w:val="0"/>
      <w:divBdr>
        <w:top w:val="none" w:sz="0" w:space="0" w:color="auto"/>
        <w:left w:val="none" w:sz="0" w:space="0" w:color="auto"/>
        <w:bottom w:val="none" w:sz="0" w:space="0" w:color="auto"/>
        <w:right w:val="none" w:sz="0" w:space="0" w:color="auto"/>
      </w:divBdr>
    </w:div>
    <w:div w:id="2100177380">
      <w:bodyDiv w:val="1"/>
      <w:marLeft w:val="0"/>
      <w:marRight w:val="0"/>
      <w:marTop w:val="0"/>
      <w:marBottom w:val="0"/>
      <w:divBdr>
        <w:top w:val="none" w:sz="0" w:space="0" w:color="auto"/>
        <w:left w:val="none" w:sz="0" w:space="0" w:color="auto"/>
        <w:bottom w:val="none" w:sz="0" w:space="0" w:color="auto"/>
        <w:right w:val="none" w:sz="0" w:space="0" w:color="auto"/>
      </w:divBdr>
      <w:divsChild>
        <w:div w:id="634140277">
          <w:marLeft w:val="605"/>
          <w:marRight w:val="0"/>
          <w:marTop w:val="40"/>
          <w:marBottom w:val="80"/>
          <w:divBdr>
            <w:top w:val="none" w:sz="0" w:space="0" w:color="auto"/>
            <w:left w:val="none" w:sz="0" w:space="0" w:color="auto"/>
            <w:bottom w:val="none" w:sz="0" w:space="0" w:color="auto"/>
            <w:right w:val="none" w:sz="0" w:space="0" w:color="auto"/>
          </w:divBdr>
        </w:div>
        <w:div w:id="1053390450">
          <w:marLeft w:val="605"/>
          <w:marRight w:val="0"/>
          <w:marTop w:val="40"/>
          <w:marBottom w:val="80"/>
          <w:divBdr>
            <w:top w:val="none" w:sz="0" w:space="0" w:color="auto"/>
            <w:left w:val="none" w:sz="0" w:space="0" w:color="auto"/>
            <w:bottom w:val="none" w:sz="0" w:space="0" w:color="auto"/>
            <w:right w:val="none" w:sz="0" w:space="0" w:color="auto"/>
          </w:divBdr>
        </w:div>
        <w:div w:id="1403215415">
          <w:marLeft w:val="605"/>
          <w:marRight w:val="0"/>
          <w:marTop w:val="40"/>
          <w:marBottom w:val="80"/>
          <w:divBdr>
            <w:top w:val="none" w:sz="0" w:space="0" w:color="auto"/>
            <w:left w:val="none" w:sz="0" w:space="0" w:color="auto"/>
            <w:bottom w:val="none" w:sz="0" w:space="0" w:color="auto"/>
            <w:right w:val="none" w:sz="0" w:space="0" w:color="auto"/>
          </w:divBdr>
        </w:div>
        <w:div w:id="575865724">
          <w:marLeft w:val="605"/>
          <w:marRight w:val="0"/>
          <w:marTop w:val="40"/>
          <w:marBottom w:val="80"/>
          <w:divBdr>
            <w:top w:val="none" w:sz="0" w:space="0" w:color="auto"/>
            <w:left w:val="none" w:sz="0" w:space="0" w:color="auto"/>
            <w:bottom w:val="none" w:sz="0" w:space="0" w:color="auto"/>
            <w:right w:val="none" w:sz="0" w:space="0" w:color="auto"/>
          </w:divBdr>
        </w:div>
        <w:div w:id="1502232013">
          <w:marLeft w:val="605"/>
          <w:marRight w:val="0"/>
          <w:marTop w:val="40"/>
          <w:marBottom w:val="80"/>
          <w:divBdr>
            <w:top w:val="none" w:sz="0" w:space="0" w:color="auto"/>
            <w:left w:val="none" w:sz="0" w:space="0" w:color="auto"/>
            <w:bottom w:val="none" w:sz="0" w:space="0" w:color="auto"/>
            <w:right w:val="none" w:sz="0" w:space="0" w:color="auto"/>
          </w:divBdr>
        </w:div>
        <w:div w:id="1637225683">
          <w:marLeft w:val="605"/>
          <w:marRight w:val="0"/>
          <w:marTop w:val="40"/>
          <w:marBottom w:val="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sticeinspectorates.gov.uk/hmicfrs/wp-content/uploads/inspection-police-other-agencies-digital-forensics-investigations.pdf" TargetMode="External"/><Relationship Id="rId18" Type="http://schemas.openxmlformats.org/officeDocument/2006/relationships/hyperlink" Target="https://doi.org/10.1108/PIJPSM-07-2019-012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4018/978-1-4666-4006-1.ch015" TargetMode="External"/><Relationship Id="rId17" Type="http://schemas.openxmlformats.org/officeDocument/2006/relationships/hyperlink" Target="https://www.police-foundation.org.uk/project/the-next-steps-for-digital-forensics/" TargetMode="External"/><Relationship Id="rId2" Type="http://schemas.openxmlformats.org/officeDocument/2006/relationships/numbering" Target="numbering.xml"/><Relationship Id="rId16" Type="http://schemas.openxmlformats.org/officeDocument/2006/relationships/hyperlink" Target="https://www.npcc.police.uk/Digital%20Forensic%20Science%20Strategy%202020.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diin.2010.05.009" TargetMode="External"/><Relationship Id="rId5" Type="http://schemas.openxmlformats.org/officeDocument/2006/relationships/webSettings" Target="webSettings.xml"/><Relationship Id="rId15" Type="http://schemas.openxmlformats.org/officeDocument/2006/relationships/hyperlink" Target="https://publications.parliament.uk/pa/ld201719/ldselect/ldsctech/333/333.pdf" TargetMode="External"/><Relationship Id="rId23" Type="http://schemas.openxmlformats.org/officeDocument/2006/relationships/theme" Target="theme/theme1.xml"/><Relationship Id="rId10" Type="http://schemas.openxmlformats.org/officeDocument/2006/relationships/hyperlink" Target="https://doi.org/10.1016/j.diin.2013.08.001" TargetMode="External"/><Relationship Id="rId19" Type="http://schemas.openxmlformats.org/officeDocument/2006/relationships/hyperlink" Target="https://doi.org/10.1007/s10586-016-0553-1"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1016/j.dss.2014.01.00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B9E744-DDEC-4FF5-AA5B-2DA435D99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TotalTime>
  <Pages>6</Pages>
  <Words>2271</Words>
  <Characters>12946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Boulton &lt;School of Forensic &amp; Applied Sciences&gt;</dc:creator>
  <cp:keywords/>
  <dc:description/>
  <cp:lastModifiedBy>McLaren Stuart DS 800</cp:lastModifiedBy>
  <cp:revision>219</cp:revision>
  <dcterms:created xsi:type="dcterms:W3CDTF">2022-02-18T16:20:00Z</dcterms:created>
  <dcterms:modified xsi:type="dcterms:W3CDTF">2023-02-27T23:23:00Z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2023-02-27T23:23:25Z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000dac6b-b45e-495c-b572-2c4aace5886d</vt:lpwstr>
  </property>
  <property fmtid="{D5CDD505-2E9C-101B-9397-08002B2CF9AE}" pid="8" name="MSIP_Label_7beefdff-6834-454f-be00-a68b5bc5f471_ContentBits">
    <vt:lpwstr>0</vt:lpwstr>
  </property>
</Properties>
</file>