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7D6348" w14:textId="0603A84A" w:rsidR="00CA4F25" w:rsidRPr="009658BF" w:rsidRDefault="00346D4E" w:rsidP="00AE1314">
      <w:pPr>
        <w:pStyle w:val="Title"/>
        <w:rPr>
          <w:b/>
          <w:bCs/>
        </w:rPr>
      </w:pPr>
      <w:r>
        <w:rPr>
          <w:b/>
          <w:bCs/>
        </w:rPr>
        <w:t xml:space="preserve">approaches to diverting </w:t>
      </w:r>
      <w:r w:rsidR="00110734">
        <w:rPr>
          <w:b/>
          <w:bCs/>
        </w:rPr>
        <w:t xml:space="preserve">adult offenders </w:t>
      </w:r>
      <w:r>
        <w:rPr>
          <w:b/>
          <w:bCs/>
        </w:rPr>
        <w:t xml:space="preserve">from crime and </w:t>
      </w:r>
      <w:r w:rsidR="00110734">
        <w:rPr>
          <w:b/>
          <w:bCs/>
        </w:rPr>
        <w:t>substance misuse</w:t>
      </w:r>
    </w:p>
    <w:p w14:paraId="36D3C85B" w14:textId="75BA286B" w:rsidR="00CA4F25" w:rsidRDefault="00CA4F25" w:rsidP="00CA4F25">
      <w:pPr>
        <w:rPr>
          <w:rFonts w:ascii="Arial" w:hAnsi="Arial" w:cs="Arial"/>
          <w:bCs/>
          <w:sz w:val="22"/>
          <w:szCs w:val="22"/>
        </w:rPr>
      </w:pPr>
    </w:p>
    <w:p w14:paraId="01AD7727" w14:textId="685536D8" w:rsidR="00CA4F25" w:rsidRPr="006522BC" w:rsidRDefault="0012374F" w:rsidP="00CA4F25">
      <w:pPr>
        <w:rPr>
          <w:rFonts w:ascii="Arial" w:hAnsi="Arial" w:cs="Arial"/>
          <w:bCs/>
          <w:sz w:val="24"/>
          <w:szCs w:val="24"/>
        </w:rPr>
      </w:pPr>
      <w:r w:rsidRPr="006522BC">
        <w:rPr>
          <w:rFonts w:ascii="Arial" w:hAnsi="Arial" w:cs="Arial"/>
          <w:b/>
          <w:sz w:val="24"/>
          <w:szCs w:val="24"/>
        </w:rPr>
        <w:t>Name:</w:t>
      </w:r>
      <w:r w:rsidRPr="006522BC">
        <w:rPr>
          <w:rFonts w:ascii="Arial" w:hAnsi="Arial" w:cs="Arial"/>
          <w:bCs/>
          <w:sz w:val="24"/>
          <w:szCs w:val="24"/>
        </w:rPr>
        <w:t xml:space="preserve"> </w:t>
      </w:r>
      <w:r w:rsidR="00CA4F25" w:rsidRPr="006522BC">
        <w:rPr>
          <w:rFonts w:ascii="Arial" w:hAnsi="Arial" w:cs="Arial"/>
          <w:bCs/>
          <w:sz w:val="24"/>
          <w:szCs w:val="24"/>
        </w:rPr>
        <w:t>Mark Kavanagh</w:t>
      </w:r>
    </w:p>
    <w:p w14:paraId="4993FBB3" w14:textId="0FF0B3B5" w:rsidR="00CA4F25" w:rsidRPr="006522BC" w:rsidRDefault="00CA4F25" w:rsidP="00CA4F25">
      <w:pPr>
        <w:rPr>
          <w:rFonts w:ascii="Arial" w:hAnsi="Arial" w:cs="Arial"/>
          <w:bCs/>
          <w:sz w:val="24"/>
          <w:szCs w:val="24"/>
        </w:rPr>
      </w:pPr>
      <w:r w:rsidRPr="006522BC">
        <w:rPr>
          <w:rFonts w:ascii="Arial" w:hAnsi="Arial" w:cs="Arial"/>
          <w:b/>
          <w:sz w:val="24"/>
          <w:szCs w:val="24"/>
        </w:rPr>
        <w:t>Student ID number:</w:t>
      </w:r>
      <w:r w:rsidRPr="006522BC">
        <w:rPr>
          <w:rFonts w:ascii="Arial" w:hAnsi="Arial" w:cs="Arial"/>
          <w:bCs/>
          <w:sz w:val="24"/>
          <w:szCs w:val="24"/>
        </w:rPr>
        <w:t xml:space="preserve"> 2116819</w:t>
      </w:r>
    </w:p>
    <w:p w14:paraId="17E16735" w14:textId="79E50B6D" w:rsidR="00CA4F25" w:rsidRPr="006522BC" w:rsidRDefault="0012374F" w:rsidP="00CA4F25">
      <w:pPr>
        <w:rPr>
          <w:rFonts w:ascii="Arial" w:hAnsi="Arial" w:cs="Arial"/>
          <w:bCs/>
          <w:sz w:val="24"/>
          <w:szCs w:val="24"/>
        </w:rPr>
      </w:pPr>
      <w:r w:rsidRPr="006522BC">
        <w:rPr>
          <w:rFonts w:ascii="Arial" w:hAnsi="Arial" w:cs="Arial"/>
          <w:b/>
          <w:sz w:val="24"/>
          <w:szCs w:val="24"/>
        </w:rPr>
        <w:t>Programme:</w:t>
      </w:r>
      <w:r w:rsidRPr="006522BC">
        <w:rPr>
          <w:rFonts w:ascii="Arial" w:hAnsi="Arial" w:cs="Arial"/>
          <w:bCs/>
          <w:sz w:val="24"/>
          <w:szCs w:val="24"/>
        </w:rPr>
        <w:t xml:space="preserve"> </w:t>
      </w:r>
      <w:r w:rsidR="00CA4F25" w:rsidRPr="006522BC">
        <w:rPr>
          <w:rFonts w:ascii="Arial" w:hAnsi="Arial" w:cs="Arial"/>
          <w:bCs/>
          <w:sz w:val="24"/>
          <w:szCs w:val="24"/>
        </w:rPr>
        <w:t>MSc Policing (Operational and Strategic Leadership)</w:t>
      </w:r>
    </w:p>
    <w:p w14:paraId="66BE9529" w14:textId="5CB9B032" w:rsidR="00CA4F25" w:rsidRPr="006522BC" w:rsidRDefault="00CA4F25" w:rsidP="00CA4F25">
      <w:pPr>
        <w:rPr>
          <w:rFonts w:ascii="Arial" w:hAnsi="Arial" w:cs="Arial"/>
          <w:bCs/>
          <w:sz w:val="24"/>
          <w:szCs w:val="24"/>
        </w:rPr>
      </w:pPr>
      <w:r w:rsidRPr="006522BC">
        <w:rPr>
          <w:rFonts w:ascii="Arial" w:hAnsi="Arial" w:cs="Arial"/>
          <w:b/>
          <w:sz w:val="24"/>
          <w:szCs w:val="24"/>
        </w:rPr>
        <w:t>Module:</w:t>
      </w:r>
      <w:r w:rsidRPr="006522BC">
        <w:rPr>
          <w:rFonts w:ascii="Arial" w:hAnsi="Arial" w:cs="Arial"/>
          <w:bCs/>
          <w:sz w:val="24"/>
          <w:szCs w:val="24"/>
        </w:rPr>
        <w:t xml:space="preserve"> </w:t>
      </w:r>
      <w:r w:rsidR="008275C8">
        <w:rPr>
          <w:rFonts w:ascii="Arial" w:hAnsi="Arial" w:cs="Arial"/>
          <w:bCs/>
          <w:sz w:val="24"/>
          <w:szCs w:val="24"/>
        </w:rPr>
        <w:t>Contemporary Issues in Policing</w:t>
      </w:r>
    </w:p>
    <w:p w14:paraId="2DE3EAE1" w14:textId="4F34CA24" w:rsidR="00CA4F25" w:rsidRPr="006522BC" w:rsidRDefault="00CA4F25" w:rsidP="00CA4F25">
      <w:pPr>
        <w:rPr>
          <w:rFonts w:ascii="Arial" w:hAnsi="Arial" w:cs="Arial"/>
          <w:bCs/>
          <w:sz w:val="24"/>
          <w:szCs w:val="24"/>
        </w:rPr>
      </w:pPr>
      <w:r w:rsidRPr="006522BC">
        <w:rPr>
          <w:rFonts w:ascii="Arial" w:hAnsi="Arial" w:cs="Arial"/>
          <w:b/>
          <w:sz w:val="24"/>
          <w:szCs w:val="24"/>
        </w:rPr>
        <w:t>Module code:</w:t>
      </w:r>
      <w:r w:rsidRPr="006522BC">
        <w:rPr>
          <w:rFonts w:ascii="Arial" w:hAnsi="Arial" w:cs="Arial"/>
          <w:bCs/>
          <w:sz w:val="24"/>
          <w:szCs w:val="24"/>
        </w:rPr>
        <w:t xml:space="preserve"> BMP</w:t>
      </w:r>
      <w:r w:rsidR="0061441F">
        <w:rPr>
          <w:rFonts w:ascii="Arial" w:hAnsi="Arial" w:cs="Arial"/>
          <w:bCs/>
          <w:sz w:val="24"/>
          <w:szCs w:val="24"/>
        </w:rPr>
        <w:t>O</w:t>
      </w:r>
      <w:r w:rsidRPr="006522BC">
        <w:rPr>
          <w:rFonts w:ascii="Arial" w:hAnsi="Arial" w:cs="Arial"/>
          <w:bCs/>
          <w:sz w:val="24"/>
          <w:szCs w:val="24"/>
        </w:rPr>
        <w:t>700</w:t>
      </w:r>
      <w:r w:rsidR="008275C8">
        <w:rPr>
          <w:rFonts w:ascii="Arial" w:hAnsi="Arial" w:cs="Arial"/>
          <w:bCs/>
          <w:sz w:val="24"/>
          <w:szCs w:val="24"/>
        </w:rPr>
        <w:t>6</w:t>
      </w:r>
    </w:p>
    <w:p w14:paraId="6E200EDC" w14:textId="50CA742C" w:rsidR="00CA4F25" w:rsidRPr="006522BC" w:rsidRDefault="00CA4F25" w:rsidP="00CA4F25">
      <w:pPr>
        <w:rPr>
          <w:rFonts w:ascii="Arial" w:hAnsi="Arial" w:cs="Arial"/>
          <w:b/>
          <w:sz w:val="24"/>
          <w:szCs w:val="24"/>
        </w:rPr>
      </w:pPr>
      <w:r w:rsidRPr="006522BC">
        <w:rPr>
          <w:rFonts w:ascii="Arial" w:hAnsi="Arial" w:cs="Arial"/>
          <w:b/>
          <w:sz w:val="24"/>
          <w:szCs w:val="24"/>
        </w:rPr>
        <w:t xml:space="preserve">Submission date: </w:t>
      </w:r>
      <w:r w:rsidR="00DB1069" w:rsidRPr="00DB1069">
        <w:rPr>
          <w:rFonts w:ascii="Arial" w:hAnsi="Arial" w:cs="Arial"/>
          <w:bCs/>
          <w:sz w:val="24"/>
          <w:szCs w:val="24"/>
        </w:rPr>
        <w:t>19</w:t>
      </w:r>
      <w:r w:rsidR="00DB1069" w:rsidRPr="00DB1069">
        <w:rPr>
          <w:rFonts w:ascii="Arial" w:hAnsi="Arial" w:cs="Arial"/>
          <w:bCs/>
          <w:sz w:val="24"/>
          <w:szCs w:val="24"/>
          <w:vertAlign w:val="superscript"/>
        </w:rPr>
        <w:t>th</w:t>
      </w:r>
      <w:r w:rsidR="00DB1069">
        <w:rPr>
          <w:rFonts w:ascii="Arial" w:hAnsi="Arial" w:cs="Arial"/>
          <w:b/>
          <w:sz w:val="24"/>
          <w:szCs w:val="24"/>
        </w:rPr>
        <w:t xml:space="preserve"> </w:t>
      </w:r>
      <w:r w:rsidR="008275C8">
        <w:rPr>
          <w:rFonts w:ascii="Arial" w:hAnsi="Arial" w:cs="Arial"/>
          <w:bCs/>
          <w:sz w:val="24"/>
          <w:szCs w:val="24"/>
        </w:rPr>
        <w:t xml:space="preserve">July </w:t>
      </w:r>
      <w:r w:rsidR="001E4A6D" w:rsidRPr="001E4A6D">
        <w:rPr>
          <w:rFonts w:ascii="Arial" w:hAnsi="Arial" w:cs="Arial"/>
          <w:bCs/>
          <w:sz w:val="24"/>
          <w:szCs w:val="24"/>
        </w:rPr>
        <w:t>2022</w:t>
      </w:r>
    </w:p>
    <w:p w14:paraId="28110EF3" w14:textId="317755EC" w:rsidR="00CA4F25" w:rsidRDefault="00CA4F25" w:rsidP="00CA4F25">
      <w:pPr>
        <w:rPr>
          <w:rFonts w:ascii="Arial" w:hAnsi="Arial" w:cs="Arial"/>
          <w:bCs/>
          <w:sz w:val="22"/>
          <w:szCs w:val="22"/>
        </w:rPr>
      </w:pPr>
    </w:p>
    <w:p w14:paraId="4A2809D0" w14:textId="7D0D4A8C" w:rsidR="00CA4F25" w:rsidRDefault="00CA4F25" w:rsidP="00CA4F25">
      <w:pPr>
        <w:rPr>
          <w:rFonts w:ascii="Arial" w:hAnsi="Arial" w:cs="Arial"/>
          <w:bCs/>
          <w:sz w:val="22"/>
          <w:szCs w:val="22"/>
        </w:rPr>
      </w:pPr>
    </w:p>
    <w:p w14:paraId="01F1E2D6" w14:textId="77777777" w:rsidR="00CA4F25" w:rsidRDefault="00CA4F25" w:rsidP="00CA4F25">
      <w:pPr>
        <w:rPr>
          <w:caps/>
          <w:color w:val="FFFFFF" w:themeColor="background1"/>
          <w:spacing w:val="15"/>
          <w:sz w:val="22"/>
          <w:szCs w:val="22"/>
        </w:rPr>
      </w:pPr>
    </w:p>
    <w:p w14:paraId="085AD8B0" w14:textId="44988914" w:rsidR="00CA4F25" w:rsidRDefault="00CA4F25" w:rsidP="00CA4F25"/>
    <w:p w14:paraId="2ACFA633" w14:textId="7B27B583" w:rsidR="00CA4F25" w:rsidRDefault="00CA4F25" w:rsidP="00CA4F25"/>
    <w:p w14:paraId="3D6B4B44" w14:textId="5833401A" w:rsidR="00CA4F25" w:rsidRDefault="00CA4F25" w:rsidP="00CA4F25"/>
    <w:p w14:paraId="412EFB77" w14:textId="4271CBCA" w:rsidR="00CA4F25" w:rsidRDefault="00CA4F25" w:rsidP="00CA4F25"/>
    <w:p w14:paraId="22A3C9C5" w14:textId="008045B0" w:rsidR="00CA4F25" w:rsidRDefault="00CA4F25" w:rsidP="00CA4F25"/>
    <w:p w14:paraId="53FE307A" w14:textId="5996935C" w:rsidR="00CA4F25" w:rsidRDefault="00CA4F25" w:rsidP="00CA4F25"/>
    <w:p w14:paraId="00A009F7" w14:textId="16AAFE88" w:rsidR="00CA4F25" w:rsidRDefault="00CA4F25" w:rsidP="00CA4F25"/>
    <w:p w14:paraId="38F36AEB" w14:textId="6D599199" w:rsidR="00CA4F25" w:rsidRDefault="00CA4F25" w:rsidP="00CA4F25"/>
    <w:p w14:paraId="20338309" w14:textId="7336ABD6" w:rsidR="00CA4F25" w:rsidRDefault="00CA4F25" w:rsidP="00CA4F25"/>
    <w:p w14:paraId="136B1A18" w14:textId="0ED4CD2F" w:rsidR="00CA4F25" w:rsidRDefault="00CA4F25" w:rsidP="00CA4F25"/>
    <w:p w14:paraId="14D03BF9" w14:textId="13998644" w:rsidR="00CA4F25" w:rsidRDefault="00CA4F25" w:rsidP="00CA4F25"/>
    <w:p w14:paraId="0593E578" w14:textId="373B9BE6" w:rsidR="0037550A" w:rsidRDefault="0037550A" w:rsidP="008275C8"/>
    <w:p w14:paraId="04D891B6" w14:textId="035AADB7" w:rsidR="008275C8" w:rsidRDefault="008275C8" w:rsidP="008275C8"/>
    <w:p w14:paraId="48C6FA9B" w14:textId="45C83933" w:rsidR="008275C8" w:rsidRPr="00487068" w:rsidRDefault="008275C8" w:rsidP="008275C8">
      <w:pPr>
        <w:pStyle w:val="Heading1"/>
        <w:rPr>
          <w:rFonts w:ascii="Arial" w:hAnsi="Arial" w:cs="Arial"/>
          <w:b/>
          <w:bCs/>
          <w:sz w:val="24"/>
          <w:szCs w:val="24"/>
        </w:rPr>
      </w:pPr>
      <w:r w:rsidRPr="00487068">
        <w:rPr>
          <w:b/>
          <w:bCs/>
        </w:rPr>
        <w:lastRenderedPageBreak/>
        <w:t>INTRODUCTION</w:t>
      </w:r>
    </w:p>
    <w:p w14:paraId="01B2763A" w14:textId="23B3BAF5" w:rsidR="00AC151A" w:rsidRDefault="00AC151A" w:rsidP="008275C8">
      <w:pPr>
        <w:rPr>
          <w:rFonts w:ascii="Arial" w:hAnsi="Arial" w:cs="Arial"/>
          <w:sz w:val="24"/>
          <w:szCs w:val="24"/>
        </w:rPr>
      </w:pPr>
    </w:p>
    <w:p w14:paraId="0D995AF6" w14:textId="0F92BC9A" w:rsidR="00913141" w:rsidRPr="00E52006" w:rsidRDefault="004F03DA" w:rsidP="00E52006">
      <w:pPr>
        <w:spacing w:line="480" w:lineRule="auto"/>
        <w:jc w:val="both"/>
        <w:rPr>
          <w:rFonts w:ascii="Arial" w:hAnsi="Arial" w:cs="Arial"/>
          <w:sz w:val="24"/>
          <w:szCs w:val="24"/>
        </w:rPr>
      </w:pPr>
      <w:r w:rsidRPr="00E52006">
        <w:rPr>
          <w:rFonts w:ascii="Arial" w:hAnsi="Arial" w:cs="Arial"/>
          <w:sz w:val="24"/>
          <w:szCs w:val="24"/>
        </w:rPr>
        <w:t>In its 2021/22 National Strategic Assessment of Serious and Organised Crime, the National Crime Agency (NCA) reported that the demand for illicit drugs remains high in the United Kingdom</w:t>
      </w:r>
      <w:r w:rsidR="008635BB" w:rsidRPr="00E52006">
        <w:rPr>
          <w:rFonts w:ascii="Arial" w:hAnsi="Arial" w:cs="Arial"/>
          <w:sz w:val="24"/>
          <w:szCs w:val="24"/>
        </w:rPr>
        <w:t xml:space="preserve"> </w:t>
      </w:r>
      <w:sdt>
        <w:sdtPr>
          <w:rPr>
            <w:rFonts w:ascii="Arial" w:hAnsi="Arial" w:cs="Arial"/>
            <w:sz w:val="24"/>
            <w:szCs w:val="24"/>
          </w:rPr>
          <w:id w:val="-1461418169"/>
          <w:citation/>
        </w:sdtPr>
        <w:sdtEndPr/>
        <w:sdtContent>
          <w:r w:rsidR="00706A48" w:rsidRPr="00E52006">
            <w:rPr>
              <w:rFonts w:ascii="Arial" w:hAnsi="Arial" w:cs="Arial"/>
              <w:sz w:val="24"/>
              <w:szCs w:val="24"/>
            </w:rPr>
            <w:fldChar w:fldCharType="begin"/>
          </w:r>
          <w:r w:rsidR="00706A48" w:rsidRPr="00E52006">
            <w:rPr>
              <w:rFonts w:ascii="Arial" w:hAnsi="Arial" w:cs="Arial"/>
              <w:sz w:val="24"/>
              <w:szCs w:val="24"/>
            </w:rPr>
            <w:instrText xml:space="preserve"> CITATION Nat21 \l 2057 </w:instrText>
          </w:r>
          <w:r w:rsidR="00706A48" w:rsidRPr="00E52006">
            <w:rPr>
              <w:rFonts w:ascii="Arial" w:hAnsi="Arial" w:cs="Arial"/>
              <w:sz w:val="24"/>
              <w:szCs w:val="24"/>
            </w:rPr>
            <w:fldChar w:fldCharType="separate"/>
          </w:r>
          <w:r w:rsidR="00706A48" w:rsidRPr="00E52006">
            <w:rPr>
              <w:rFonts w:ascii="Arial" w:hAnsi="Arial" w:cs="Arial"/>
              <w:noProof/>
              <w:sz w:val="24"/>
              <w:szCs w:val="24"/>
            </w:rPr>
            <w:t>(National Crime Agency, 2021)</w:t>
          </w:r>
          <w:r w:rsidR="00706A48" w:rsidRPr="00E52006">
            <w:rPr>
              <w:rFonts w:ascii="Arial" w:hAnsi="Arial" w:cs="Arial"/>
              <w:sz w:val="24"/>
              <w:szCs w:val="24"/>
            </w:rPr>
            <w:fldChar w:fldCharType="end"/>
          </w:r>
        </w:sdtContent>
      </w:sdt>
      <w:r w:rsidR="00913141" w:rsidRPr="00E52006">
        <w:rPr>
          <w:rFonts w:ascii="Arial" w:hAnsi="Arial" w:cs="Arial"/>
          <w:sz w:val="24"/>
          <w:szCs w:val="24"/>
        </w:rPr>
        <w:t>. According to the Independent Review of Drugs by Dame Carol Black</w:t>
      </w:r>
      <w:r w:rsidR="00E52006">
        <w:rPr>
          <w:rFonts w:ascii="Arial" w:hAnsi="Arial" w:cs="Arial"/>
          <w:sz w:val="24"/>
          <w:szCs w:val="24"/>
        </w:rPr>
        <w:t>,</w:t>
      </w:r>
      <w:r w:rsidR="00913141" w:rsidRPr="00E52006">
        <w:rPr>
          <w:rFonts w:ascii="Arial" w:hAnsi="Arial" w:cs="Arial"/>
          <w:sz w:val="24"/>
          <w:szCs w:val="24"/>
        </w:rPr>
        <w:t xml:space="preserve"> the total cost to society of illegal drugs</w:t>
      </w:r>
      <w:r w:rsidR="00110734">
        <w:rPr>
          <w:rFonts w:ascii="Arial" w:hAnsi="Arial" w:cs="Arial"/>
          <w:sz w:val="24"/>
          <w:szCs w:val="24"/>
        </w:rPr>
        <w:t xml:space="preserve"> is </w:t>
      </w:r>
      <w:r w:rsidR="00913141" w:rsidRPr="00E52006">
        <w:rPr>
          <w:rFonts w:ascii="Arial" w:hAnsi="Arial" w:cs="Arial"/>
          <w:sz w:val="24"/>
          <w:szCs w:val="24"/>
        </w:rPr>
        <w:t xml:space="preserve">around £20 billion per year </w:t>
      </w:r>
      <w:sdt>
        <w:sdtPr>
          <w:rPr>
            <w:rFonts w:ascii="Arial" w:hAnsi="Arial" w:cs="Arial"/>
            <w:sz w:val="24"/>
            <w:szCs w:val="24"/>
          </w:rPr>
          <w:id w:val="681012367"/>
          <w:citation/>
        </w:sdtPr>
        <w:sdtEndPr/>
        <w:sdtContent>
          <w:r w:rsidR="00913141" w:rsidRPr="00E52006">
            <w:rPr>
              <w:rFonts w:ascii="Arial" w:hAnsi="Arial" w:cs="Arial"/>
              <w:sz w:val="24"/>
              <w:szCs w:val="24"/>
            </w:rPr>
            <w:fldChar w:fldCharType="begin"/>
          </w:r>
          <w:r w:rsidR="00110734">
            <w:rPr>
              <w:rFonts w:ascii="Arial" w:hAnsi="Arial" w:cs="Arial"/>
              <w:sz w:val="24"/>
              <w:szCs w:val="24"/>
            </w:rPr>
            <w:instrText xml:space="preserve">CITATION Dep21 \l 2057 </w:instrText>
          </w:r>
          <w:r w:rsidR="00913141" w:rsidRPr="00E52006">
            <w:rPr>
              <w:rFonts w:ascii="Arial" w:hAnsi="Arial" w:cs="Arial"/>
              <w:sz w:val="24"/>
              <w:szCs w:val="24"/>
            </w:rPr>
            <w:fldChar w:fldCharType="separate"/>
          </w:r>
          <w:r w:rsidR="00110734" w:rsidRPr="00110734">
            <w:rPr>
              <w:rFonts w:ascii="Arial" w:hAnsi="Arial" w:cs="Arial"/>
              <w:noProof/>
              <w:sz w:val="24"/>
              <w:szCs w:val="24"/>
            </w:rPr>
            <w:t>(Department of Health and Social Care, 2021)</w:t>
          </w:r>
          <w:r w:rsidR="00913141" w:rsidRPr="00E52006">
            <w:rPr>
              <w:rFonts w:ascii="Arial" w:hAnsi="Arial" w:cs="Arial"/>
              <w:sz w:val="24"/>
              <w:szCs w:val="24"/>
            </w:rPr>
            <w:fldChar w:fldCharType="end"/>
          </w:r>
        </w:sdtContent>
      </w:sdt>
      <w:r w:rsidR="00E52006">
        <w:rPr>
          <w:rFonts w:ascii="Arial" w:hAnsi="Arial" w:cs="Arial"/>
          <w:sz w:val="24"/>
          <w:szCs w:val="24"/>
        </w:rPr>
        <w:t>.</w:t>
      </w:r>
      <w:r w:rsidR="00913141" w:rsidRPr="00E52006">
        <w:rPr>
          <w:rFonts w:ascii="Arial" w:hAnsi="Arial" w:cs="Arial"/>
          <w:sz w:val="24"/>
          <w:szCs w:val="24"/>
        </w:rPr>
        <w:t xml:space="preserve"> These costs to the individual, family, community, and state can manifest themselves in the form of neglect, abuse,</w:t>
      </w:r>
      <w:r w:rsidR="00E52006" w:rsidRPr="00E52006">
        <w:rPr>
          <w:rFonts w:ascii="Arial" w:hAnsi="Arial" w:cs="Arial"/>
          <w:sz w:val="24"/>
          <w:szCs w:val="24"/>
        </w:rPr>
        <w:t xml:space="preserve"> poverty,</w:t>
      </w:r>
      <w:r w:rsidR="00913141" w:rsidRPr="00E52006">
        <w:rPr>
          <w:rFonts w:ascii="Arial" w:hAnsi="Arial" w:cs="Arial"/>
          <w:sz w:val="24"/>
          <w:szCs w:val="24"/>
        </w:rPr>
        <w:t xml:space="preserve"> family and relationship breakdown, physical and mental </w:t>
      </w:r>
      <w:r w:rsidR="0048022A" w:rsidRPr="00E52006">
        <w:rPr>
          <w:rFonts w:ascii="Arial" w:hAnsi="Arial" w:cs="Arial"/>
          <w:sz w:val="24"/>
          <w:szCs w:val="24"/>
        </w:rPr>
        <w:t>ill</w:t>
      </w:r>
      <w:r w:rsidR="0048022A">
        <w:rPr>
          <w:rFonts w:ascii="Arial" w:hAnsi="Arial" w:cs="Arial"/>
          <w:sz w:val="24"/>
          <w:szCs w:val="24"/>
        </w:rPr>
        <w:t>-</w:t>
      </w:r>
      <w:r w:rsidR="0048022A" w:rsidRPr="00E52006">
        <w:rPr>
          <w:rFonts w:ascii="Arial" w:hAnsi="Arial" w:cs="Arial"/>
          <w:sz w:val="24"/>
          <w:szCs w:val="24"/>
        </w:rPr>
        <w:t>health,</w:t>
      </w:r>
      <w:r w:rsidR="00913141" w:rsidRPr="00E52006">
        <w:rPr>
          <w:rFonts w:ascii="Arial" w:hAnsi="Arial" w:cs="Arial"/>
          <w:sz w:val="24"/>
          <w:szCs w:val="24"/>
        </w:rPr>
        <w:t xml:space="preserve"> and wellbeing.</w:t>
      </w:r>
    </w:p>
    <w:p w14:paraId="7B07EF43" w14:textId="132FD46C" w:rsidR="00706A48" w:rsidRDefault="00110734" w:rsidP="00E52006">
      <w:pPr>
        <w:spacing w:line="480" w:lineRule="auto"/>
        <w:jc w:val="both"/>
        <w:rPr>
          <w:rFonts w:ascii="Arial" w:hAnsi="Arial" w:cs="Arial"/>
          <w:sz w:val="24"/>
          <w:szCs w:val="24"/>
        </w:rPr>
      </w:pPr>
      <w:r>
        <w:rPr>
          <w:rFonts w:ascii="Arial" w:hAnsi="Arial" w:cs="Arial"/>
          <w:sz w:val="24"/>
          <w:szCs w:val="24"/>
        </w:rPr>
        <w:t>There is</w:t>
      </w:r>
      <w:r w:rsidR="00E52006" w:rsidRPr="00E52006">
        <w:rPr>
          <w:rFonts w:ascii="Arial" w:hAnsi="Arial" w:cs="Arial"/>
          <w:sz w:val="24"/>
          <w:szCs w:val="24"/>
        </w:rPr>
        <w:t xml:space="preserve"> growing political pressure on </w:t>
      </w:r>
      <w:r>
        <w:rPr>
          <w:rFonts w:ascii="Arial" w:hAnsi="Arial" w:cs="Arial"/>
          <w:sz w:val="24"/>
          <w:szCs w:val="24"/>
        </w:rPr>
        <w:t>policing</w:t>
      </w:r>
      <w:r w:rsidR="00E52006" w:rsidRPr="00E52006">
        <w:rPr>
          <w:rFonts w:ascii="Arial" w:hAnsi="Arial" w:cs="Arial"/>
          <w:sz w:val="24"/>
          <w:szCs w:val="24"/>
        </w:rPr>
        <w:t xml:space="preserve"> </w:t>
      </w:r>
      <w:r>
        <w:rPr>
          <w:rFonts w:ascii="Arial" w:hAnsi="Arial" w:cs="Arial"/>
          <w:sz w:val="24"/>
          <w:szCs w:val="24"/>
        </w:rPr>
        <w:t xml:space="preserve">in the UK </w:t>
      </w:r>
      <w:r w:rsidR="00E52006" w:rsidRPr="00E52006">
        <w:rPr>
          <w:rFonts w:ascii="Arial" w:hAnsi="Arial" w:cs="Arial"/>
          <w:sz w:val="24"/>
          <w:szCs w:val="24"/>
        </w:rPr>
        <w:t>to do more to tackle this threat</w:t>
      </w:r>
      <w:r>
        <w:rPr>
          <w:rFonts w:ascii="Arial" w:hAnsi="Arial" w:cs="Arial"/>
          <w:sz w:val="24"/>
          <w:szCs w:val="24"/>
        </w:rPr>
        <w:t>. There is</w:t>
      </w:r>
      <w:r w:rsidR="00706A48" w:rsidRPr="00E52006">
        <w:rPr>
          <w:rFonts w:ascii="Arial" w:hAnsi="Arial" w:cs="Arial"/>
          <w:sz w:val="24"/>
          <w:szCs w:val="24"/>
        </w:rPr>
        <w:t xml:space="preserve"> an established evidence base on the complex link between drugs, alcohol</w:t>
      </w:r>
      <w:r w:rsidR="002D5FAC" w:rsidRPr="00E52006">
        <w:rPr>
          <w:rFonts w:ascii="Arial" w:hAnsi="Arial" w:cs="Arial"/>
          <w:sz w:val="24"/>
          <w:szCs w:val="24"/>
        </w:rPr>
        <w:t>,</w:t>
      </w:r>
      <w:r w:rsidR="00706A48" w:rsidRPr="00E52006">
        <w:rPr>
          <w:rFonts w:ascii="Arial" w:hAnsi="Arial" w:cs="Arial"/>
          <w:sz w:val="24"/>
          <w:szCs w:val="24"/>
        </w:rPr>
        <w:t xml:space="preserve"> and crime. </w:t>
      </w:r>
      <w:r w:rsidR="00913141" w:rsidRPr="00E52006">
        <w:rPr>
          <w:rFonts w:ascii="Arial" w:hAnsi="Arial" w:cs="Arial"/>
          <w:sz w:val="24"/>
          <w:szCs w:val="24"/>
        </w:rPr>
        <w:t>The traditional</w:t>
      </w:r>
      <w:r w:rsidR="00706A48" w:rsidRPr="00E52006">
        <w:rPr>
          <w:rFonts w:ascii="Arial" w:hAnsi="Arial" w:cs="Arial"/>
          <w:sz w:val="24"/>
          <w:szCs w:val="24"/>
        </w:rPr>
        <w:t xml:space="preserve"> criminal justice approach </w:t>
      </w:r>
      <w:r w:rsidR="002D5FAC" w:rsidRPr="00E52006">
        <w:rPr>
          <w:rFonts w:ascii="Arial" w:hAnsi="Arial" w:cs="Arial"/>
          <w:sz w:val="24"/>
          <w:szCs w:val="24"/>
        </w:rPr>
        <w:t xml:space="preserve">to these issues </w:t>
      </w:r>
      <w:r w:rsidR="00706A48" w:rsidRPr="00E52006">
        <w:rPr>
          <w:rFonts w:ascii="Arial" w:hAnsi="Arial" w:cs="Arial"/>
          <w:sz w:val="24"/>
          <w:szCs w:val="24"/>
        </w:rPr>
        <w:t xml:space="preserve">has </w:t>
      </w:r>
      <w:r w:rsidR="002D5FAC" w:rsidRPr="00E52006">
        <w:rPr>
          <w:rFonts w:ascii="Arial" w:hAnsi="Arial" w:cs="Arial"/>
          <w:sz w:val="24"/>
          <w:szCs w:val="24"/>
        </w:rPr>
        <w:t>mainly involved</w:t>
      </w:r>
      <w:r w:rsidR="00706A48" w:rsidRPr="00E52006">
        <w:rPr>
          <w:rFonts w:ascii="Arial" w:hAnsi="Arial" w:cs="Arial"/>
          <w:sz w:val="24"/>
          <w:szCs w:val="24"/>
        </w:rPr>
        <w:t xml:space="preserve"> punitive sanctions</w:t>
      </w:r>
      <w:r w:rsidR="002D5FAC" w:rsidRPr="00E52006">
        <w:rPr>
          <w:rFonts w:ascii="Arial" w:hAnsi="Arial" w:cs="Arial"/>
          <w:sz w:val="24"/>
          <w:szCs w:val="24"/>
        </w:rPr>
        <w:t xml:space="preserve">, and </w:t>
      </w:r>
      <w:r>
        <w:rPr>
          <w:rFonts w:ascii="Arial" w:hAnsi="Arial" w:cs="Arial"/>
          <w:sz w:val="24"/>
          <w:szCs w:val="24"/>
        </w:rPr>
        <w:t xml:space="preserve">with some countries exploring the de-criminalisation of drug possession, </w:t>
      </w:r>
      <w:r w:rsidR="002D5FAC" w:rsidRPr="00E52006">
        <w:rPr>
          <w:rFonts w:ascii="Arial" w:hAnsi="Arial" w:cs="Arial"/>
          <w:sz w:val="24"/>
          <w:szCs w:val="24"/>
        </w:rPr>
        <w:t xml:space="preserve">the challenge facing policing </w:t>
      </w:r>
      <w:r w:rsidR="00E52006" w:rsidRPr="00E52006">
        <w:rPr>
          <w:rFonts w:ascii="Arial" w:hAnsi="Arial" w:cs="Arial"/>
          <w:sz w:val="24"/>
          <w:szCs w:val="24"/>
        </w:rPr>
        <w:t xml:space="preserve">in the </w:t>
      </w:r>
      <w:r>
        <w:rPr>
          <w:rFonts w:ascii="Arial" w:hAnsi="Arial" w:cs="Arial"/>
          <w:sz w:val="24"/>
          <w:szCs w:val="24"/>
        </w:rPr>
        <w:t xml:space="preserve">UK in the </w:t>
      </w:r>
      <w:r w:rsidR="00E52006" w:rsidRPr="00E52006">
        <w:rPr>
          <w:rFonts w:ascii="Arial" w:hAnsi="Arial" w:cs="Arial"/>
          <w:sz w:val="24"/>
          <w:szCs w:val="24"/>
        </w:rPr>
        <w:t xml:space="preserve">coming years ahead, is </w:t>
      </w:r>
      <w:r w:rsidR="002D5FAC" w:rsidRPr="00E52006">
        <w:rPr>
          <w:rFonts w:ascii="Arial" w:hAnsi="Arial" w:cs="Arial"/>
          <w:sz w:val="24"/>
          <w:szCs w:val="24"/>
        </w:rPr>
        <w:t xml:space="preserve">the continuance of </w:t>
      </w:r>
      <w:r w:rsidR="00706A48" w:rsidRPr="00E52006">
        <w:rPr>
          <w:rFonts w:ascii="Arial" w:hAnsi="Arial" w:cs="Arial"/>
          <w:sz w:val="24"/>
          <w:szCs w:val="24"/>
        </w:rPr>
        <w:t>reducing drug supply and demand through law enforcement</w:t>
      </w:r>
      <w:r w:rsidR="002D5FAC" w:rsidRPr="00E52006">
        <w:rPr>
          <w:rFonts w:ascii="Arial" w:hAnsi="Arial" w:cs="Arial"/>
          <w:sz w:val="24"/>
          <w:szCs w:val="24"/>
        </w:rPr>
        <w:t xml:space="preserve">, whilst also taking </w:t>
      </w:r>
      <w:r w:rsidR="00E52006" w:rsidRPr="00E52006">
        <w:rPr>
          <w:rFonts w:ascii="Arial" w:hAnsi="Arial" w:cs="Arial"/>
          <w:sz w:val="24"/>
          <w:szCs w:val="24"/>
        </w:rPr>
        <w:t xml:space="preserve">innovative </w:t>
      </w:r>
      <w:r w:rsidR="002D5FAC" w:rsidRPr="00E52006">
        <w:rPr>
          <w:rFonts w:ascii="Arial" w:hAnsi="Arial" w:cs="Arial"/>
          <w:sz w:val="24"/>
          <w:szCs w:val="24"/>
        </w:rPr>
        <w:t>public health approaches to</w:t>
      </w:r>
      <w:r w:rsidR="00E52006" w:rsidRPr="00E52006">
        <w:rPr>
          <w:rFonts w:ascii="Arial" w:hAnsi="Arial" w:cs="Arial"/>
          <w:sz w:val="24"/>
          <w:szCs w:val="24"/>
        </w:rPr>
        <w:t xml:space="preserve"> </w:t>
      </w:r>
      <w:r w:rsidR="002D5FAC" w:rsidRPr="00E52006">
        <w:rPr>
          <w:rFonts w:ascii="Arial" w:hAnsi="Arial" w:cs="Arial"/>
          <w:sz w:val="24"/>
          <w:szCs w:val="24"/>
        </w:rPr>
        <w:t xml:space="preserve">tackling </w:t>
      </w:r>
      <w:r w:rsidR="00706A48" w:rsidRPr="00E52006">
        <w:rPr>
          <w:rFonts w:ascii="Arial" w:hAnsi="Arial" w:cs="Arial"/>
          <w:sz w:val="24"/>
          <w:szCs w:val="24"/>
        </w:rPr>
        <w:t xml:space="preserve">the harms caused </w:t>
      </w:r>
      <w:r>
        <w:rPr>
          <w:rFonts w:ascii="Arial" w:hAnsi="Arial" w:cs="Arial"/>
          <w:sz w:val="24"/>
          <w:szCs w:val="24"/>
        </w:rPr>
        <w:t>to individuals</w:t>
      </w:r>
      <w:r w:rsidR="00A32E92">
        <w:rPr>
          <w:rFonts w:ascii="Arial" w:hAnsi="Arial" w:cs="Arial"/>
          <w:sz w:val="24"/>
          <w:szCs w:val="24"/>
        </w:rPr>
        <w:t>.</w:t>
      </w:r>
    </w:p>
    <w:p w14:paraId="3CE81C94" w14:textId="57D3ADFA" w:rsidR="00C83BFC" w:rsidRDefault="00110734" w:rsidP="00D56BA4">
      <w:pPr>
        <w:spacing w:line="480" w:lineRule="auto"/>
        <w:jc w:val="both"/>
        <w:rPr>
          <w:rFonts w:ascii="Arial" w:hAnsi="Arial" w:cs="Arial"/>
          <w:sz w:val="24"/>
          <w:szCs w:val="24"/>
        </w:rPr>
      </w:pPr>
      <w:r w:rsidRPr="00110734">
        <w:rPr>
          <w:rFonts w:ascii="Arial" w:hAnsi="Arial" w:cs="Arial"/>
          <w:sz w:val="24"/>
          <w:szCs w:val="24"/>
        </w:rPr>
        <w:t>This paper</w:t>
      </w:r>
      <w:r>
        <w:rPr>
          <w:rFonts w:ascii="Arial" w:hAnsi="Arial" w:cs="Arial"/>
          <w:sz w:val="24"/>
          <w:szCs w:val="24"/>
        </w:rPr>
        <w:t xml:space="preserve"> considers the effectiveness of non-prosecution measures for adult offenders </w:t>
      </w:r>
      <w:r w:rsidR="00D56BA4">
        <w:rPr>
          <w:rFonts w:ascii="Arial" w:hAnsi="Arial" w:cs="Arial"/>
          <w:sz w:val="24"/>
          <w:szCs w:val="24"/>
        </w:rPr>
        <w:t>found in possession of controlled drugs, and the impact which new policy and legislation will have on policing</w:t>
      </w:r>
      <w:r w:rsidR="00A32E92">
        <w:rPr>
          <w:rFonts w:ascii="Arial" w:hAnsi="Arial" w:cs="Arial"/>
          <w:sz w:val="24"/>
          <w:szCs w:val="24"/>
        </w:rPr>
        <w:t>.</w:t>
      </w:r>
    </w:p>
    <w:p w14:paraId="6967D2E4" w14:textId="4F125F00" w:rsidR="00C9229D" w:rsidRDefault="00C9229D" w:rsidP="00D56BA4">
      <w:pPr>
        <w:spacing w:line="480" w:lineRule="auto"/>
        <w:jc w:val="both"/>
        <w:rPr>
          <w:rFonts w:ascii="Arial" w:hAnsi="Arial" w:cs="Arial"/>
          <w:sz w:val="24"/>
          <w:szCs w:val="24"/>
        </w:rPr>
      </w:pPr>
    </w:p>
    <w:p w14:paraId="0ED36B9A" w14:textId="77777777" w:rsidR="00C9229D" w:rsidRDefault="00C9229D" w:rsidP="00D56BA4">
      <w:pPr>
        <w:spacing w:line="480" w:lineRule="auto"/>
        <w:jc w:val="both"/>
        <w:rPr>
          <w:rFonts w:ascii="Arial" w:hAnsi="Arial" w:cs="Arial"/>
          <w:sz w:val="24"/>
          <w:szCs w:val="24"/>
        </w:rPr>
      </w:pPr>
    </w:p>
    <w:p w14:paraId="5B8F532A" w14:textId="7EFCB599" w:rsidR="008275C8" w:rsidRPr="00487068" w:rsidRDefault="008275C8" w:rsidP="008275C8">
      <w:pPr>
        <w:pStyle w:val="Heading1"/>
        <w:rPr>
          <w:b/>
          <w:bCs/>
        </w:rPr>
      </w:pPr>
      <w:r w:rsidRPr="00487068">
        <w:rPr>
          <w:b/>
          <w:bCs/>
        </w:rPr>
        <w:lastRenderedPageBreak/>
        <w:t>THE KEY ISSUES</w:t>
      </w:r>
    </w:p>
    <w:p w14:paraId="1E5CB6AF" w14:textId="5D53BC21" w:rsidR="00A078ED" w:rsidRPr="004213DA" w:rsidRDefault="00A078ED" w:rsidP="008275C8">
      <w:pPr>
        <w:rPr>
          <w:rFonts w:ascii="Arial" w:hAnsi="Arial" w:cs="Arial"/>
          <w:sz w:val="24"/>
          <w:szCs w:val="24"/>
        </w:rPr>
      </w:pPr>
    </w:p>
    <w:p w14:paraId="6B66539C" w14:textId="33E03E2D" w:rsidR="00E52006" w:rsidRPr="004213DA" w:rsidRDefault="00E52006" w:rsidP="004213DA">
      <w:pPr>
        <w:autoSpaceDE w:val="0"/>
        <w:autoSpaceDN w:val="0"/>
        <w:adjustRightInd w:val="0"/>
        <w:spacing w:after="0" w:line="480" w:lineRule="auto"/>
        <w:jc w:val="both"/>
        <w:rPr>
          <w:rFonts w:ascii="Arial" w:hAnsi="Arial" w:cs="Arial"/>
          <w:color w:val="000000"/>
          <w:sz w:val="24"/>
          <w:szCs w:val="24"/>
        </w:rPr>
      </w:pPr>
      <w:r w:rsidRPr="004213DA">
        <w:rPr>
          <w:rFonts w:ascii="Arial" w:hAnsi="Arial" w:cs="Arial"/>
          <w:sz w:val="24"/>
          <w:szCs w:val="24"/>
        </w:rPr>
        <w:t>The reported use of multiple substances, and the link to fatal and near-fatal overdoses is a cause for concern. From a South Wales perspective, a comprehensive analytical profile of the drug market</w:t>
      </w:r>
      <w:r w:rsidR="004213DA" w:rsidRPr="004213DA">
        <w:rPr>
          <w:rFonts w:ascii="Arial" w:hAnsi="Arial" w:cs="Arial"/>
          <w:sz w:val="24"/>
          <w:szCs w:val="24"/>
        </w:rPr>
        <w:t xml:space="preserve"> has been produced</w:t>
      </w:r>
      <w:r w:rsidRPr="004213DA">
        <w:rPr>
          <w:rFonts w:ascii="Arial" w:hAnsi="Arial" w:cs="Arial"/>
          <w:sz w:val="24"/>
          <w:szCs w:val="24"/>
        </w:rPr>
        <w:t xml:space="preserve"> </w:t>
      </w:r>
      <w:sdt>
        <w:sdtPr>
          <w:rPr>
            <w:rFonts w:ascii="Arial" w:hAnsi="Arial" w:cs="Arial"/>
            <w:sz w:val="24"/>
            <w:szCs w:val="24"/>
          </w:rPr>
          <w:id w:val="1914815849"/>
          <w:citation/>
        </w:sdtPr>
        <w:sdtEndPr/>
        <w:sdtContent>
          <w:r w:rsidRPr="004213DA">
            <w:rPr>
              <w:rFonts w:ascii="Arial" w:hAnsi="Arial" w:cs="Arial"/>
              <w:sz w:val="24"/>
              <w:szCs w:val="24"/>
            </w:rPr>
            <w:fldChar w:fldCharType="begin"/>
          </w:r>
          <w:r w:rsidRPr="004213DA">
            <w:rPr>
              <w:rFonts w:ascii="Arial" w:hAnsi="Arial" w:cs="Arial"/>
              <w:sz w:val="24"/>
              <w:szCs w:val="24"/>
            </w:rPr>
            <w:instrText xml:space="preserve"> CITATION Sou21 \l 2057 </w:instrText>
          </w:r>
          <w:r w:rsidRPr="004213DA">
            <w:rPr>
              <w:rFonts w:ascii="Arial" w:hAnsi="Arial" w:cs="Arial"/>
              <w:sz w:val="24"/>
              <w:szCs w:val="24"/>
            </w:rPr>
            <w:fldChar w:fldCharType="separate"/>
          </w:r>
          <w:r w:rsidRPr="004213DA">
            <w:rPr>
              <w:rFonts w:ascii="Arial" w:hAnsi="Arial" w:cs="Arial"/>
              <w:noProof/>
              <w:sz w:val="24"/>
              <w:szCs w:val="24"/>
            </w:rPr>
            <w:t>(South Wales Police, 2021)</w:t>
          </w:r>
          <w:r w:rsidRPr="004213DA">
            <w:rPr>
              <w:rFonts w:ascii="Arial" w:hAnsi="Arial" w:cs="Arial"/>
              <w:sz w:val="24"/>
              <w:szCs w:val="24"/>
            </w:rPr>
            <w:fldChar w:fldCharType="end"/>
          </w:r>
        </w:sdtContent>
      </w:sdt>
      <w:r w:rsidRPr="004213DA">
        <w:rPr>
          <w:rFonts w:ascii="Arial" w:hAnsi="Arial" w:cs="Arial"/>
          <w:sz w:val="24"/>
          <w:szCs w:val="24"/>
        </w:rPr>
        <w:t>. The number of incidents linked to drug possession or supply had increased by 30% between 2019 and 2021</w:t>
      </w:r>
      <w:r w:rsidR="002F13F7" w:rsidRPr="004213DA">
        <w:rPr>
          <w:rFonts w:ascii="Arial" w:hAnsi="Arial" w:cs="Arial"/>
          <w:sz w:val="24"/>
          <w:szCs w:val="24"/>
        </w:rPr>
        <w:t xml:space="preserve"> and t</w:t>
      </w:r>
      <w:r w:rsidRPr="004213DA">
        <w:rPr>
          <w:rFonts w:ascii="Arial" w:hAnsi="Arial" w:cs="Arial"/>
          <w:sz w:val="24"/>
          <w:szCs w:val="24"/>
        </w:rPr>
        <w:t xml:space="preserve">he use of illicit benzodiazepines has increased significantly in recent years, a trend illustrated by police and partner intelligence sources. </w:t>
      </w:r>
      <w:r w:rsidRPr="004213DA">
        <w:rPr>
          <w:rFonts w:ascii="Arial" w:hAnsi="Arial" w:cs="Arial"/>
          <w:color w:val="000000"/>
          <w:sz w:val="24"/>
          <w:szCs w:val="24"/>
        </w:rPr>
        <w:t xml:space="preserve">Many </w:t>
      </w:r>
      <w:r w:rsidR="002F13F7" w:rsidRPr="004213DA">
        <w:rPr>
          <w:rFonts w:ascii="Arial" w:hAnsi="Arial" w:cs="Arial"/>
          <w:color w:val="000000"/>
          <w:sz w:val="24"/>
          <w:szCs w:val="24"/>
        </w:rPr>
        <w:t xml:space="preserve">offenders </w:t>
      </w:r>
      <w:r w:rsidRPr="004213DA">
        <w:rPr>
          <w:rFonts w:ascii="Arial" w:hAnsi="Arial" w:cs="Arial"/>
          <w:color w:val="000000"/>
          <w:sz w:val="24"/>
          <w:szCs w:val="24"/>
        </w:rPr>
        <w:t xml:space="preserve">have multiple vulnerabilities including mental health, </w:t>
      </w:r>
      <w:r w:rsidR="0048022A" w:rsidRPr="004213DA">
        <w:rPr>
          <w:rFonts w:ascii="Arial" w:hAnsi="Arial" w:cs="Arial"/>
          <w:color w:val="000000"/>
          <w:sz w:val="24"/>
          <w:szCs w:val="24"/>
        </w:rPr>
        <w:t>debt,</w:t>
      </w:r>
      <w:r w:rsidRPr="004213DA">
        <w:rPr>
          <w:rFonts w:ascii="Arial" w:hAnsi="Arial" w:cs="Arial"/>
          <w:color w:val="000000"/>
          <w:sz w:val="24"/>
          <w:szCs w:val="24"/>
        </w:rPr>
        <w:t xml:space="preserve"> and homelessness, are often repeat offenders, problematic drug users and involved in violence and crime. Two thirds of partner agencies surveyed during the research felt that there is notable hidden demand for illicit drugs, not currently seen by law enforcement or specialist substance misuse services. </w:t>
      </w:r>
      <w:r w:rsidR="00FC3DA4">
        <w:rPr>
          <w:rFonts w:ascii="Arial" w:hAnsi="Arial" w:cs="Arial"/>
          <w:color w:val="000000"/>
          <w:sz w:val="24"/>
          <w:szCs w:val="24"/>
        </w:rPr>
        <w:t>These issues are replicated across UK policing, and when combined with the increase in drug related deaths and near-fatal overdoses, it is widely accepted that policing needs to focus energy and resources into prevention as well as enforcement.</w:t>
      </w:r>
    </w:p>
    <w:p w14:paraId="1E2048E0" w14:textId="77777777" w:rsidR="00FC3DA4" w:rsidRDefault="00FC3DA4" w:rsidP="004213DA">
      <w:pPr>
        <w:spacing w:line="480" w:lineRule="auto"/>
        <w:jc w:val="both"/>
        <w:rPr>
          <w:rFonts w:ascii="Arial" w:hAnsi="Arial" w:cs="Arial"/>
          <w:sz w:val="24"/>
          <w:szCs w:val="24"/>
        </w:rPr>
      </w:pPr>
    </w:p>
    <w:p w14:paraId="7EBAA095" w14:textId="3C32F1E2" w:rsidR="0051069A" w:rsidRPr="004213DA" w:rsidRDefault="00913141" w:rsidP="004213DA">
      <w:pPr>
        <w:spacing w:line="480" w:lineRule="auto"/>
        <w:jc w:val="both"/>
        <w:rPr>
          <w:rFonts w:ascii="Arial" w:hAnsi="Arial" w:cs="Arial"/>
          <w:sz w:val="24"/>
          <w:szCs w:val="24"/>
        </w:rPr>
      </w:pPr>
      <w:r w:rsidRPr="004213DA">
        <w:rPr>
          <w:rFonts w:ascii="Arial" w:hAnsi="Arial" w:cs="Arial"/>
          <w:sz w:val="24"/>
          <w:szCs w:val="24"/>
        </w:rPr>
        <w:t xml:space="preserve">In 2021, the </w:t>
      </w:r>
      <w:r w:rsidR="00FC3DA4">
        <w:rPr>
          <w:rFonts w:ascii="Arial" w:hAnsi="Arial" w:cs="Arial"/>
          <w:sz w:val="24"/>
          <w:szCs w:val="24"/>
        </w:rPr>
        <w:t xml:space="preserve">UK </w:t>
      </w:r>
      <w:r w:rsidRPr="004213DA">
        <w:rPr>
          <w:rFonts w:ascii="Arial" w:hAnsi="Arial" w:cs="Arial"/>
          <w:sz w:val="24"/>
          <w:szCs w:val="24"/>
        </w:rPr>
        <w:t xml:space="preserve">Government published ‘From Harm to Hope - A 10-year Drugs Plan’, </w:t>
      </w:r>
      <w:sdt>
        <w:sdtPr>
          <w:rPr>
            <w:rFonts w:ascii="Arial" w:hAnsi="Arial" w:cs="Arial"/>
            <w:sz w:val="24"/>
            <w:szCs w:val="24"/>
          </w:rPr>
          <w:id w:val="-1220746222"/>
          <w:citation/>
        </w:sdtPr>
        <w:sdtEndPr/>
        <w:sdtContent>
          <w:r w:rsidRPr="004213DA">
            <w:rPr>
              <w:rFonts w:ascii="Arial" w:hAnsi="Arial" w:cs="Arial"/>
              <w:sz w:val="24"/>
              <w:szCs w:val="24"/>
            </w:rPr>
            <w:fldChar w:fldCharType="begin"/>
          </w:r>
          <w:r w:rsidRPr="004213DA">
            <w:rPr>
              <w:rFonts w:ascii="Arial" w:hAnsi="Arial" w:cs="Arial"/>
              <w:sz w:val="24"/>
              <w:szCs w:val="24"/>
            </w:rPr>
            <w:instrText xml:space="preserve"> CITATION HMG21 \l 2057 </w:instrText>
          </w:r>
          <w:r w:rsidRPr="004213DA">
            <w:rPr>
              <w:rFonts w:ascii="Arial" w:hAnsi="Arial" w:cs="Arial"/>
              <w:sz w:val="24"/>
              <w:szCs w:val="24"/>
            </w:rPr>
            <w:fldChar w:fldCharType="separate"/>
          </w:r>
          <w:r w:rsidRPr="004213DA">
            <w:rPr>
              <w:rFonts w:ascii="Arial" w:hAnsi="Arial" w:cs="Arial"/>
              <w:noProof/>
              <w:sz w:val="24"/>
              <w:szCs w:val="24"/>
            </w:rPr>
            <w:t>(HM Government, 2021)</w:t>
          </w:r>
          <w:r w:rsidRPr="004213DA">
            <w:rPr>
              <w:rFonts w:ascii="Arial" w:hAnsi="Arial" w:cs="Arial"/>
              <w:sz w:val="24"/>
              <w:szCs w:val="24"/>
            </w:rPr>
            <w:fldChar w:fldCharType="end"/>
          </w:r>
        </w:sdtContent>
      </w:sdt>
      <w:r w:rsidRPr="004213DA">
        <w:rPr>
          <w:rFonts w:ascii="Arial" w:hAnsi="Arial" w:cs="Arial"/>
          <w:sz w:val="24"/>
          <w:szCs w:val="24"/>
        </w:rPr>
        <w:t xml:space="preserve"> which</w:t>
      </w:r>
      <w:r w:rsidR="002F13F7" w:rsidRPr="004213DA">
        <w:rPr>
          <w:rFonts w:ascii="Arial" w:hAnsi="Arial" w:cs="Arial"/>
          <w:sz w:val="24"/>
          <w:szCs w:val="24"/>
        </w:rPr>
        <w:t xml:space="preserve"> </w:t>
      </w:r>
      <w:r w:rsidR="0048022A" w:rsidRPr="004213DA">
        <w:rPr>
          <w:rFonts w:ascii="Arial" w:hAnsi="Arial" w:cs="Arial"/>
          <w:sz w:val="24"/>
          <w:szCs w:val="24"/>
        </w:rPr>
        <w:t>referred</w:t>
      </w:r>
      <w:r w:rsidR="002F13F7" w:rsidRPr="004213DA">
        <w:rPr>
          <w:rFonts w:ascii="Arial" w:hAnsi="Arial" w:cs="Arial"/>
          <w:sz w:val="24"/>
          <w:szCs w:val="24"/>
        </w:rPr>
        <w:t xml:space="preserve"> to the need to remove the </w:t>
      </w:r>
      <w:r w:rsidRPr="004213DA">
        <w:rPr>
          <w:rFonts w:ascii="Arial" w:hAnsi="Arial" w:cs="Arial"/>
          <w:sz w:val="24"/>
          <w:szCs w:val="24"/>
        </w:rPr>
        <w:t>supply of drugs</w:t>
      </w:r>
      <w:r w:rsidR="00FC3DA4">
        <w:rPr>
          <w:rFonts w:ascii="Arial" w:hAnsi="Arial" w:cs="Arial"/>
          <w:sz w:val="24"/>
          <w:szCs w:val="24"/>
        </w:rPr>
        <w:t xml:space="preserve">. </w:t>
      </w:r>
      <w:r w:rsidR="0048022A">
        <w:rPr>
          <w:rFonts w:ascii="Arial" w:hAnsi="Arial" w:cs="Arial"/>
          <w:sz w:val="24"/>
          <w:szCs w:val="24"/>
        </w:rPr>
        <w:t>However,</w:t>
      </w:r>
      <w:r w:rsidR="00FC3DA4">
        <w:rPr>
          <w:rFonts w:ascii="Arial" w:hAnsi="Arial" w:cs="Arial"/>
          <w:sz w:val="24"/>
          <w:szCs w:val="24"/>
        </w:rPr>
        <w:t xml:space="preserve"> it also focuses heavily on the prevention</w:t>
      </w:r>
      <w:r w:rsidRPr="004213DA">
        <w:rPr>
          <w:rFonts w:ascii="Arial" w:hAnsi="Arial" w:cs="Arial"/>
          <w:sz w:val="24"/>
          <w:szCs w:val="24"/>
        </w:rPr>
        <w:t xml:space="preserve"> and reduc</w:t>
      </w:r>
      <w:r w:rsidR="00FC3DA4">
        <w:rPr>
          <w:rFonts w:ascii="Arial" w:hAnsi="Arial" w:cs="Arial"/>
          <w:sz w:val="24"/>
          <w:szCs w:val="24"/>
        </w:rPr>
        <w:t>tion of</w:t>
      </w:r>
      <w:r w:rsidRPr="004213DA">
        <w:rPr>
          <w:rFonts w:ascii="Arial" w:hAnsi="Arial" w:cs="Arial"/>
          <w:sz w:val="24"/>
          <w:szCs w:val="24"/>
        </w:rPr>
        <w:t xml:space="preserve"> drug use, </w:t>
      </w:r>
      <w:r w:rsidR="00FC3DA4">
        <w:rPr>
          <w:rFonts w:ascii="Arial" w:hAnsi="Arial" w:cs="Arial"/>
          <w:sz w:val="24"/>
          <w:szCs w:val="24"/>
        </w:rPr>
        <w:t>and the provision of</w:t>
      </w:r>
      <w:r w:rsidR="002F13F7" w:rsidRPr="004213DA">
        <w:rPr>
          <w:rFonts w:ascii="Arial" w:hAnsi="Arial" w:cs="Arial"/>
          <w:sz w:val="24"/>
          <w:szCs w:val="24"/>
        </w:rPr>
        <w:t xml:space="preserve"> </w:t>
      </w:r>
      <w:r w:rsidRPr="004213DA">
        <w:rPr>
          <w:rFonts w:ascii="Arial" w:hAnsi="Arial" w:cs="Arial"/>
          <w:sz w:val="24"/>
          <w:szCs w:val="24"/>
        </w:rPr>
        <w:t>world-class treatment and recovery support</w:t>
      </w:r>
      <w:r w:rsidR="00FC3DA4">
        <w:rPr>
          <w:rFonts w:ascii="Arial" w:hAnsi="Arial" w:cs="Arial"/>
          <w:sz w:val="24"/>
          <w:szCs w:val="24"/>
        </w:rPr>
        <w:t xml:space="preserve">. </w:t>
      </w:r>
      <w:r w:rsidR="0051069A" w:rsidRPr="004213DA">
        <w:rPr>
          <w:rFonts w:ascii="Arial" w:hAnsi="Arial" w:cs="Arial"/>
          <w:sz w:val="24"/>
          <w:szCs w:val="24"/>
        </w:rPr>
        <w:t xml:space="preserve">The Welsh Government also has a Substance Misuse Delivery Plan 2019-2022 </w:t>
      </w:r>
      <w:sdt>
        <w:sdtPr>
          <w:rPr>
            <w:rFonts w:ascii="Arial" w:hAnsi="Arial" w:cs="Arial"/>
            <w:sz w:val="24"/>
            <w:szCs w:val="24"/>
          </w:rPr>
          <w:id w:val="-573894577"/>
          <w:citation/>
        </w:sdtPr>
        <w:sdtEndPr/>
        <w:sdtContent>
          <w:r w:rsidR="0051069A" w:rsidRPr="004213DA">
            <w:rPr>
              <w:rFonts w:ascii="Arial" w:hAnsi="Arial" w:cs="Arial"/>
              <w:sz w:val="24"/>
              <w:szCs w:val="24"/>
            </w:rPr>
            <w:fldChar w:fldCharType="begin"/>
          </w:r>
          <w:r w:rsidR="0051069A" w:rsidRPr="004213DA">
            <w:rPr>
              <w:rFonts w:ascii="Arial" w:hAnsi="Arial" w:cs="Arial"/>
              <w:sz w:val="24"/>
              <w:szCs w:val="24"/>
            </w:rPr>
            <w:instrText xml:space="preserve">CITATION Wel19 \l 2057 </w:instrText>
          </w:r>
          <w:r w:rsidR="0051069A" w:rsidRPr="004213DA">
            <w:rPr>
              <w:rFonts w:ascii="Arial" w:hAnsi="Arial" w:cs="Arial"/>
              <w:sz w:val="24"/>
              <w:szCs w:val="24"/>
            </w:rPr>
            <w:fldChar w:fldCharType="separate"/>
          </w:r>
          <w:r w:rsidR="0051069A" w:rsidRPr="004213DA">
            <w:rPr>
              <w:rFonts w:ascii="Arial" w:hAnsi="Arial" w:cs="Arial"/>
              <w:noProof/>
              <w:sz w:val="24"/>
              <w:szCs w:val="24"/>
            </w:rPr>
            <w:t>(Welsh Government, 2021)</w:t>
          </w:r>
          <w:r w:rsidR="0051069A" w:rsidRPr="004213DA">
            <w:rPr>
              <w:rFonts w:ascii="Arial" w:hAnsi="Arial" w:cs="Arial"/>
              <w:sz w:val="24"/>
              <w:szCs w:val="24"/>
            </w:rPr>
            <w:fldChar w:fldCharType="end"/>
          </w:r>
        </w:sdtContent>
      </w:sdt>
      <w:r w:rsidR="0051069A" w:rsidRPr="004213DA">
        <w:rPr>
          <w:rFonts w:ascii="Arial" w:hAnsi="Arial" w:cs="Arial"/>
          <w:sz w:val="24"/>
          <w:szCs w:val="24"/>
        </w:rPr>
        <w:t xml:space="preserve"> which sets out the Welsh Government’s key policy and operational priorities for the coming years. At time of writing, a new strategy is due to be published but it is expected to reflect the aspirations of UK Government. </w:t>
      </w:r>
    </w:p>
    <w:p w14:paraId="55247568" w14:textId="6861C91A" w:rsidR="003C7AAE" w:rsidRPr="004213DA" w:rsidRDefault="003C7AAE" w:rsidP="004213DA">
      <w:pPr>
        <w:spacing w:line="480" w:lineRule="auto"/>
        <w:jc w:val="both"/>
        <w:rPr>
          <w:rFonts w:ascii="Arial" w:hAnsi="Arial" w:cs="Arial"/>
          <w:sz w:val="24"/>
          <w:szCs w:val="24"/>
        </w:rPr>
      </w:pPr>
      <w:r w:rsidRPr="004213DA">
        <w:rPr>
          <w:rFonts w:ascii="Arial" w:hAnsi="Arial" w:cs="Arial"/>
          <w:sz w:val="24"/>
          <w:szCs w:val="24"/>
        </w:rPr>
        <w:lastRenderedPageBreak/>
        <w:t>The Advisory Council on the Misuse of Drugs (AMCD) has twice recommended diversion schemes as an effective drug policy approach</w:t>
      </w:r>
      <w:r w:rsidR="00C944B2" w:rsidRPr="004213DA">
        <w:rPr>
          <w:rFonts w:ascii="Arial" w:hAnsi="Arial" w:cs="Arial"/>
          <w:sz w:val="24"/>
          <w:szCs w:val="24"/>
        </w:rPr>
        <w:t xml:space="preserve"> </w:t>
      </w:r>
      <w:sdt>
        <w:sdtPr>
          <w:rPr>
            <w:rFonts w:ascii="Arial" w:hAnsi="Arial" w:cs="Arial"/>
            <w:sz w:val="24"/>
            <w:szCs w:val="24"/>
          </w:rPr>
          <w:id w:val="580030413"/>
          <w:citation/>
        </w:sdtPr>
        <w:sdtEndPr/>
        <w:sdtContent>
          <w:r w:rsidR="00C944B2" w:rsidRPr="004213DA">
            <w:rPr>
              <w:rFonts w:ascii="Arial" w:hAnsi="Arial" w:cs="Arial"/>
              <w:sz w:val="24"/>
              <w:szCs w:val="24"/>
            </w:rPr>
            <w:fldChar w:fldCharType="begin"/>
          </w:r>
          <w:r w:rsidR="00C944B2" w:rsidRPr="004213DA">
            <w:rPr>
              <w:rFonts w:ascii="Arial" w:hAnsi="Arial" w:cs="Arial"/>
              <w:sz w:val="24"/>
              <w:szCs w:val="24"/>
            </w:rPr>
            <w:instrText xml:space="preserve"> CITATION Adv15 \l 2057 </w:instrText>
          </w:r>
          <w:r w:rsidR="00C944B2" w:rsidRPr="004213DA">
            <w:rPr>
              <w:rFonts w:ascii="Arial" w:hAnsi="Arial" w:cs="Arial"/>
              <w:sz w:val="24"/>
              <w:szCs w:val="24"/>
            </w:rPr>
            <w:fldChar w:fldCharType="separate"/>
          </w:r>
          <w:r w:rsidR="00C944B2" w:rsidRPr="004213DA">
            <w:rPr>
              <w:rFonts w:ascii="Arial" w:hAnsi="Arial" w:cs="Arial"/>
              <w:noProof/>
              <w:sz w:val="24"/>
              <w:szCs w:val="24"/>
            </w:rPr>
            <w:t>(Advisory Council on the Misuse of Drugs, 2015)</w:t>
          </w:r>
          <w:r w:rsidR="00C944B2" w:rsidRPr="004213DA">
            <w:rPr>
              <w:rFonts w:ascii="Arial" w:hAnsi="Arial" w:cs="Arial"/>
              <w:sz w:val="24"/>
              <w:szCs w:val="24"/>
            </w:rPr>
            <w:fldChar w:fldCharType="end"/>
          </w:r>
        </w:sdtContent>
      </w:sdt>
      <w:r w:rsidR="00C944B2" w:rsidRPr="004213DA">
        <w:rPr>
          <w:rFonts w:ascii="Arial" w:hAnsi="Arial" w:cs="Arial"/>
          <w:sz w:val="24"/>
          <w:szCs w:val="24"/>
        </w:rPr>
        <w:t xml:space="preserve"> </w:t>
      </w:r>
      <w:r w:rsidRPr="004213DA">
        <w:rPr>
          <w:rFonts w:ascii="Arial" w:hAnsi="Arial" w:cs="Arial"/>
          <w:sz w:val="24"/>
          <w:szCs w:val="24"/>
        </w:rPr>
        <w:t>. They have argued</w:t>
      </w:r>
      <w:r w:rsidR="002F13F7" w:rsidRPr="004213DA">
        <w:rPr>
          <w:rFonts w:ascii="Arial" w:hAnsi="Arial" w:cs="Arial"/>
          <w:sz w:val="24"/>
          <w:szCs w:val="24"/>
        </w:rPr>
        <w:t xml:space="preserve"> that those found </w:t>
      </w:r>
      <w:r w:rsidRPr="004213DA">
        <w:rPr>
          <w:rFonts w:ascii="Arial" w:hAnsi="Arial" w:cs="Arial"/>
          <w:sz w:val="24"/>
          <w:szCs w:val="24"/>
        </w:rPr>
        <w:t xml:space="preserve">in possession of drugs for personal use (and involved in no other criminal offences) should not be processed through the </w:t>
      </w:r>
      <w:r w:rsidR="002F13F7" w:rsidRPr="004213DA">
        <w:rPr>
          <w:rFonts w:ascii="Arial" w:hAnsi="Arial" w:cs="Arial"/>
          <w:sz w:val="24"/>
          <w:szCs w:val="24"/>
        </w:rPr>
        <w:t>criminal justice system</w:t>
      </w:r>
      <w:r w:rsidRPr="004213DA">
        <w:rPr>
          <w:rFonts w:ascii="Arial" w:hAnsi="Arial" w:cs="Arial"/>
          <w:sz w:val="24"/>
          <w:szCs w:val="24"/>
        </w:rPr>
        <w:t xml:space="preserve"> but instead diverted into drug education</w:t>
      </w:r>
      <w:r w:rsidR="002F13F7" w:rsidRPr="004213DA">
        <w:rPr>
          <w:rFonts w:ascii="Arial" w:hAnsi="Arial" w:cs="Arial"/>
          <w:sz w:val="24"/>
          <w:szCs w:val="24"/>
        </w:rPr>
        <w:t xml:space="preserve"> and </w:t>
      </w:r>
      <w:r w:rsidRPr="004213DA">
        <w:rPr>
          <w:rFonts w:ascii="Arial" w:hAnsi="Arial" w:cs="Arial"/>
          <w:sz w:val="24"/>
          <w:szCs w:val="24"/>
        </w:rPr>
        <w:t>awareness courses or possibly other more creative civil punishments</w:t>
      </w:r>
      <w:r w:rsidR="002F13F7" w:rsidRPr="004213DA">
        <w:rPr>
          <w:rFonts w:ascii="Arial" w:hAnsi="Arial" w:cs="Arial"/>
          <w:sz w:val="24"/>
          <w:szCs w:val="24"/>
        </w:rPr>
        <w:t>, which will help to reduce</w:t>
      </w:r>
      <w:r w:rsidRPr="004213DA">
        <w:rPr>
          <w:rFonts w:ascii="Arial" w:hAnsi="Arial" w:cs="Arial"/>
          <w:sz w:val="24"/>
          <w:szCs w:val="24"/>
        </w:rPr>
        <w:t xml:space="preserve"> repeat offending and reduc</w:t>
      </w:r>
      <w:r w:rsidR="002F13F7" w:rsidRPr="004213DA">
        <w:rPr>
          <w:rFonts w:ascii="Arial" w:hAnsi="Arial" w:cs="Arial"/>
          <w:sz w:val="24"/>
          <w:szCs w:val="24"/>
        </w:rPr>
        <w:t>e</w:t>
      </w:r>
      <w:r w:rsidRPr="004213DA">
        <w:rPr>
          <w:rFonts w:ascii="Arial" w:hAnsi="Arial" w:cs="Arial"/>
          <w:sz w:val="24"/>
          <w:szCs w:val="24"/>
        </w:rPr>
        <w:t xml:space="preserve"> the costs to </w:t>
      </w:r>
      <w:r w:rsidR="002F13F7" w:rsidRPr="004213DA">
        <w:rPr>
          <w:rFonts w:ascii="Arial" w:hAnsi="Arial" w:cs="Arial"/>
          <w:sz w:val="24"/>
          <w:szCs w:val="24"/>
        </w:rPr>
        <w:t>the criminal justice system.</w:t>
      </w:r>
    </w:p>
    <w:p w14:paraId="68FBE115" w14:textId="016FEE6B" w:rsidR="000A02B9" w:rsidRPr="004213DA" w:rsidRDefault="0051069A" w:rsidP="004213DA">
      <w:pPr>
        <w:pStyle w:val="NormalWeb"/>
        <w:shd w:val="clear" w:color="auto" w:fill="FFFFFF"/>
        <w:spacing w:before="300" w:beforeAutospacing="0" w:after="300" w:afterAutospacing="0" w:line="480" w:lineRule="auto"/>
        <w:jc w:val="both"/>
        <w:rPr>
          <w:rFonts w:ascii="Arial" w:hAnsi="Arial" w:cs="Arial"/>
          <w:color w:val="0B0C0C"/>
        </w:rPr>
      </w:pPr>
      <w:r w:rsidRPr="004213DA">
        <w:rPr>
          <w:rFonts w:ascii="Arial" w:hAnsi="Arial" w:cs="Arial"/>
        </w:rPr>
        <w:t>Up to this stage, what has been apparent is the confused picture across UK policing in terms of what non-prosecution proces</w:t>
      </w:r>
      <w:r w:rsidR="00796D20" w:rsidRPr="004213DA">
        <w:rPr>
          <w:rFonts w:ascii="Arial" w:hAnsi="Arial" w:cs="Arial"/>
        </w:rPr>
        <w:t>s</w:t>
      </w:r>
      <w:r w:rsidRPr="004213DA">
        <w:rPr>
          <w:rFonts w:ascii="Arial" w:hAnsi="Arial" w:cs="Arial"/>
        </w:rPr>
        <w:t>es are being used</w:t>
      </w:r>
      <w:r w:rsidR="00796D20" w:rsidRPr="004213DA">
        <w:rPr>
          <w:rFonts w:ascii="Arial" w:hAnsi="Arial" w:cs="Arial"/>
        </w:rPr>
        <w:t xml:space="preserve">, with </w:t>
      </w:r>
      <w:r w:rsidR="008427E1" w:rsidRPr="004213DA">
        <w:rPr>
          <w:rFonts w:ascii="Arial" w:hAnsi="Arial" w:cs="Arial"/>
          <w:color w:val="000000"/>
        </w:rPr>
        <w:t xml:space="preserve">seven police forces currently operating out-of-court disposal schemes and at least double this number will be operating such schemes by the end of 2024. </w:t>
      </w:r>
      <w:proofErr w:type="gramStart"/>
      <w:r w:rsidR="00796D20" w:rsidRPr="004213DA">
        <w:rPr>
          <w:rFonts w:ascii="Arial" w:hAnsi="Arial" w:cs="Arial"/>
          <w:color w:val="000000"/>
        </w:rPr>
        <w:t>It is clear that a</w:t>
      </w:r>
      <w:r w:rsidR="008427E1" w:rsidRPr="004213DA">
        <w:rPr>
          <w:rFonts w:ascii="Arial" w:hAnsi="Arial" w:cs="Arial"/>
        </w:rPr>
        <w:t>ll</w:t>
      </w:r>
      <w:proofErr w:type="gramEnd"/>
      <w:r w:rsidR="008427E1" w:rsidRPr="004213DA">
        <w:rPr>
          <w:rFonts w:ascii="Arial" w:hAnsi="Arial" w:cs="Arial"/>
        </w:rPr>
        <w:t xml:space="preserve"> forces will </w:t>
      </w:r>
      <w:r w:rsidR="00796D20" w:rsidRPr="004213DA">
        <w:rPr>
          <w:rFonts w:ascii="Arial" w:hAnsi="Arial" w:cs="Arial"/>
        </w:rPr>
        <w:t>eventually</w:t>
      </w:r>
      <w:r w:rsidR="00346D4E">
        <w:rPr>
          <w:rFonts w:ascii="Arial" w:hAnsi="Arial" w:cs="Arial"/>
        </w:rPr>
        <w:t xml:space="preserve"> </w:t>
      </w:r>
      <w:r w:rsidR="00796D20" w:rsidRPr="004213DA">
        <w:rPr>
          <w:rFonts w:ascii="Arial" w:hAnsi="Arial" w:cs="Arial"/>
        </w:rPr>
        <w:t xml:space="preserve">be </w:t>
      </w:r>
      <w:r w:rsidR="008427E1" w:rsidRPr="004213DA">
        <w:rPr>
          <w:rFonts w:ascii="Arial" w:hAnsi="Arial" w:cs="Arial"/>
        </w:rPr>
        <w:t xml:space="preserve">required to use Community Resolution, Community Caution, </w:t>
      </w:r>
      <w:r w:rsidR="00796D20" w:rsidRPr="004213DA">
        <w:rPr>
          <w:rFonts w:ascii="Arial" w:hAnsi="Arial" w:cs="Arial"/>
        </w:rPr>
        <w:t xml:space="preserve">and </w:t>
      </w:r>
      <w:r w:rsidR="008427E1" w:rsidRPr="004213DA">
        <w:rPr>
          <w:rFonts w:ascii="Arial" w:hAnsi="Arial" w:cs="Arial"/>
        </w:rPr>
        <w:t>Diversionary caution.</w:t>
      </w:r>
      <w:r w:rsidR="000A02B9" w:rsidRPr="004213DA">
        <w:rPr>
          <w:rFonts w:ascii="Arial" w:hAnsi="Arial" w:cs="Arial"/>
        </w:rPr>
        <w:t xml:space="preserve"> There are currently six adult OOCDs: </w:t>
      </w:r>
      <w:r w:rsidR="000A02B9" w:rsidRPr="004213DA">
        <w:rPr>
          <w:rFonts w:ascii="Arial" w:hAnsi="Arial" w:cs="Arial"/>
          <w:color w:val="0B0C0C"/>
        </w:rPr>
        <w:t>community resolutions, simple cautions, conditional cautions, cannabis warnings, khat warnings and penalty notices for disorder (PNDs). These are a mix of statutory and non-statutory disposals. Some are simply warnings not to reoffend while others allow the police to attach conditions, such as paying compensation to a victim or attending a rehabilitative programme. Some police forces use two of the options, others use all six and some a hybrid in between.</w:t>
      </w:r>
    </w:p>
    <w:p w14:paraId="696A01B4" w14:textId="309F43E1" w:rsidR="004A4AEB" w:rsidRPr="004213DA" w:rsidRDefault="008427E1" w:rsidP="004213DA">
      <w:pPr>
        <w:spacing w:line="480" w:lineRule="auto"/>
        <w:jc w:val="both"/>
        <w:rPr>
          <w:rFonts w:ascii="Arial" w:hAnsi="Arial" w:cs="Arial"/>
          <w:sz w:val="24"/>
          <w:szCs w:val="24"/>
        </w:rPr>
      </w:pPr>
      <w:r w:rsidRPr="004213DA">
        <w:rPr>
          <w:rFonts w:ascii="Arial" w:hAnsi="Arial" w:cs="Arial"/>
          <w:sz w:val="24"/>
          <w:szCs w:val="24"/>
        </w:rPr>
        <w:t xml:space="preserve"> </w:t>
      </w:r>
      <w:r w:rsidR="00796D20" w:rsidRPr="004213DA">
        <w:rPr>
          <w:rFonts w:ascii="Arial" w:hAnsi="Arial" w:cs="Arial"/>
          <w:sz w:val="24"/>
          <w:szCs w:val="24"/>
        </w:rPr>
        <w:t>A p</w:t>
      </w:r>
      <w:r w:rsidR="004A4AEB" w:rsidRPr="004213DA">
        <w:rPr>
          <w:rFonts w:ascii="Arial" w:hAnsi="Arial" w:cs="Arial"/>
          <w:color w:val="0B0C0C"/>
          <w:sz w:val="24"/>
          <w:szCs w:val="24"/>
        </w:rPr>
        <w:t xml:space="preserve">olicy paper </w:t>
      </w:r>
      <w:r w:rsidR="00796D20" w:rsidRPr="004213DA">
        <w:rPr>
          <w:rFonts w:ascii="Arial" w:hAnsi="Arial" w:cs="Arial"/>
          <w:color w:val="0B0C0C"/>
          <w:sz w:val="24"/>
          <w:szCs w:val="24"/>
        </w:rPr>
        <w:t xml:space="preserve">has been </w:t>
      </w:r>
      <w:r w:rsidR="004A4AEB" w:rsidRPr="004213DA">
        <w:rPr>
          <w:rFonts w:ascii="Arial" w:hAnsi="Arial" w:cs="Arial"/>
          <w:color w:val="0B0C0C"/>
          <w:sz w:val="24"/>
          <w:szCs w:val="24"/>
        </w:rPr>
        <w:t xml:space="preserve">published detailing </w:t>
      </w:r>
      <w:r w:rsidR="00354088" w:rsidRPr="004213DA">
        <w:rPr>
          <w:rFonts w:ascii="Arial" w:hAnsi="Arial" w:cs="Arial"/>
          <w:color w:val="0B0C0C"/>
          <w:sz w:val="24"/>
          <w:szCs w:val="24"/>
        </w:rPr>
        <w:t xml:space="preserve">planned </w:t>
      </w:r>
      <w:r w:rsidR="004A4AEB" w:rsidRPr="004213DA">
        <w:rPr>
          <w:rFonts w:ascii="Arial" w:hAnsi="Arial" w:cs="Arial"/>
          <w:color w:val="0B0C0C"/>
          <w:sz w:val="24"/>
          <w:szCs w:val="24"/>
        </w:rPr>
        <w:t xml:space="preserve">reforms to simplify the adult Out of Court Disposals (OOCDs) framework, to ensure consistency across police forces in the way low-level offences are dealt with out of court </w:t>
      </w:r>
      <w:sdt>
        <w:sdtPr>
          <w:rPr>
            <w:rFonts w:ascii="Arial" w:hAnsi="Arial" w:cs="Arial"/>
            <w:color w:val="0B0C0C"/>
            <w:sz w:val="24"/>
            <w:szCs w:val="24"/>
          </w:rPr>
          <w:id w:val="1373508703"/>
          <w:citation/>
        </w:sdtPr>
        <w:sdtEndPr/>
        <w:sdtContent>
          <w:r w:rsidR="004A4AEB" w:rsidRPr="004213DA">
            <w:rPr>
              <w:rFonts w:ascii="Arial" w:hAnsi="Arial" w:cs="Arial"/>
              <w:color w:val="0B0C0C"/>
              <w:sz w:val="24"/>
              <w:szCs w:val="24"/>
            </w:rPr>
            <w:fldChar w:fldCharType="begin"/>
          </w:r>
          <w:r w:rsidR="004A4AEB" w:rsidRPr="004213DA">
            <w:rPr>
              <w:rFonts w:ascii="Arial" w:hAnsi="Arial" w:cs="Arial"/>
              <w:color w:val="0B0C0C"/>
              <w:sz w:val="24"/>
              <w:szCs w:val="24"/>
            </w:rPr>
            <w:instrText xml:space="preserve"> CITATION Hom22 \l 2057 </w:instrText>
          </w:r>
          <w:r w:rsidR="004A4AEB" w:rsidRPr="004213DA">
            <w:rPr>
              <w:rFonts w:ascii="Arial" w:hAnsi="Arial" w:cs="Arial"/>
              <w:color w:val="0B0C0C"/>
              <w:sz w:val="24"/>
              <w:szCs w:val="24"/>
            </w:rPr>
            <w:fldChar w:fldCharType="separate"/>
          </w:r>
          <w:r w:rsidR="004A4AEB" w:rsidRPr="004213DA">
            <w:rPr>
              <w:rFonts w:ascii="Arial" w:eastAsia="Times New Roman" w:hAnsi="Arial" w:cs="Arial"/>
              <w:noProof/>
              <w:color w:val="0B0C0C"/>
              <w:sz w:val="24"/>
              <w:szCs w:val="24"/>
            </w:rPr>
            <w:t>(Home Office, 2022)</w:t>
          </w:r>
          <w:r w:rsidR="004A4AEB" w:rsidRPr="004213DA">
            <w:rPr>
              <w:rFonts w:ascii="Arial" w:hAnsi="Arial" w:cs="Arial"/>
              <w:color w:val="0B0C0C"/>
              <w:sz w:val="24"/>
              <w:szCs w:val="24"/>
            </w:rPr>
            <w:fldChar w:fldCharType="end"/>
          </w:r>
        </w:sdtContent>
      </w:sdt>
      <w:r w:rsidR="00796D20" w:rsidRPr="004213DA">
        <w:rPr>
          <w:rFonts w:ascii="Arial" w:hAnsi="Arial" w:cs="Arial"/>
          <w:color w:val="0B0C0C"/>
          <w:sz w:val="24"/>
          <w:szCs w:val="24"/>
        </w:rPr>
        <w:t>.</w:t>
      </w:r>
      <w:r w:rsidR="004A4AEB" w:rsidRPr="004213DA">
        <w:rPr>
          <w:rFonts w:ascii="Arial" w:hAnsi="Arial" w:cs="Arial"/>
          <w:color w:val="0B0C0C"/>
          <w:sz w:val="24"/>
          <w:szCs w:val="24"/>
        </w:rPr>
        <w:t xml:space="preserve">The new framework will reduce the number of OOCDs from six to two in legislation, </w:t>
      </w:r>
      <w:r w:rsidR="00796D20" w:rsidRPr="004213DA">
        <w:rPr>
          <w:rFonts w:ascii="Arial" w:hAnsi="Arial" w:cs="Arial"/>
          <w:color w:val="0B0C0C"/>
          <w:sz w:val="24"/>
          <w:szCs w:val="24"/>
        </w:rPr>
        <w:t>which will include</w:t>
      </w:r>
      <w:r w:rsidR="004A4AEB" w:rsidRPr="004213DA">
        <w:rPr>
          <w:rFonts w:ascii="Arial" w:hAnsi="Arial" w:cs="Arial"/>
          <w:color w:val="0B0C0C"/>
          <w:sz w:val="24"/>
          <w:szCs w:val="24"/>
        </w:rPr>
        <w:t xml:space="preserve"> an upper tier disposal titled ‘Diversionary caution’ and a lower tier disposal titled ‘Community caution’.</w:t>
      </w:r>
    </w:p>
    <w:p w14:paraId="2921AA3C" w14:textId="6037007B" w:rsidR="004A4AEB" w:rsidRPr="004213DA" w:rsidRDefault="004A4AEB" w:rsidP="004213DA">
      <w:pPr>
        <w:pStyle w:val="NormalWeb"/>
        <w:shd w:val="clear" w:color="auto" w:fill="FFFFFF"/>
        <w:spacing w:before="300" w:beforeAutospacing="0" w:after="300" w:afterAutospacing="0" w:line="480" w:lineRule="auto"/>
        <w:jc w:val="both"/>
        <w:rPr>
          <w:rFonts w:ascii="Arial" w:hAnsi="Arial" w:cs="Arial"/>
          <w:color w:val="0B0C0C"/>
        </w:rPr>
      </w:pPr>
      <w:r w:rsidRPr="004213DA">
        <w:rPr>
          <w:rFonts w:ascii="Arial" w:hAnsi="Arial" w:cs="Arial"/>
          <w:color w:val="0B0C0C"/>
        </w:rPr>
        <w:lastRenderedPageBreak/>
        <w:t xml:space="preserve">The two statutory OOCDs will allow police to </w:t>
      </w:r>
      <w:r w:rsidR="00796D20" w:rsidRPr="004213DA">
        <w:rPr>
          <w:rFonts w:ascii="Arial" w:hAnsi="Arial" w:cs="Arial"/>
          <w:color w:val="0B0C0C"/>
        </w:rPr>
        <w:t>place</w:t>
      </w:r>
      <w:r w:rsidRPr="004213DA">
        <w:rPr>
          <w:rFonts w:ascii="Arial" w:hAnsi="Arial" w:cs="Arial"/>
          <w:color w:val="0B0C0C"/>
        </w:rPr>
        <w:t xml:space="preserve"> conditions to the disposal, </w:t>
      </w:r>
      <w:r w:rsidR="00796D20" w:rsidRPr="004213DA">
        <w:rPr>
          <w:rFonts w:ascii="Arial" w:hAnsi="Arial" w:cs="Arial"/>
          <w:color w:val="0B0C0C"/>
        </w:rPr>
        <w:t xml:space="preserve">which effectively means that </w:t>
      </w:r>
      <w:r w:rsidRPr="004213DA">
        <w:rPr>
          <w:rFonts w:ascii="Arial" w:hAnsi="Arial" w:cs="Arial"/>
          <w:color w:val="0B0C0C"/>
        </w:rPr>
        <w:t>that the recipient needs to engage</w:t>
      </w:r>
      <w:r w:rsidR="00796D20" w:rsidRPr="004213DA">
        <w:rPr>
          <w:rFonts w:ascii="Arial" w:hAnsi="Arial" w:cs="Arial"/>
          <w:color w:val="0B0C0C"/>
        </w:rPr>
        <w:t xml:space="preserve"> and take responsibility whilst</w:t>
      </w:r>
      <w:r w:rsidRPr="004213DA">
        <w:rPr>
          <w:rFonts w:ascii="Arial" w:hAnsi="Arial" w:cs="Arial"/>
          <w:color w:val="0B0C0C"/>
        </w:rPr>
        <w:t xml:space="preserve"> the police refer </w:t>
      </w:r>
      <w:r w:rsidR="00796D20" w:rsidRPr="004213DA">
        <w:rPr>
          <w:rFonts w:ascii="Arial" w:hAnsi="Arial" w:cs="Arial"/>
          <w:color w:val="0B0C0C"/>
        </w:rPr>
        <w:t>them</w:t>
      </w:r>
      <w:r w:rsidRPr="004213DA">
        <w:rPr>
          <w:rFonts w:ascii="Arial" w:hAnsi="Arial" w:cs="Arial"/>
          <w:color w:val="0B0C0C"/>
        </w:rPr>
        <w:t xml:space="preserve"> to support services, where relevant, as part of the conditions of the disposal. </w:t>
      </w:r>
      <w:r w:rsidR="00796D20" w:rsidRPr="004213DA">
        <w:rPr>
          <w:rFonts w:ascii="Arial" w:hAnsi="Arial" w:cs="Arial"/>
          <w:color w:val="0B0C0C"/>
        </w:rPr>
        <w:t xml:space="preserve">The rationale for referring to </w:t>
      </w:r>
      <w:r w:rsidRPr="004213DA">
        <w:rPr>
          <w:rFonts w:ascii="Arial" w:hAnsi="Arial" w:cs="Arial"/>
          <w:color w:val="0B0C0C"/>
        </w:rPr>
        <w:t xml:space="preserve">services, such as substance misuse services, </w:t>
      </w:r>
      <w:r w:rsidR="00796D20" w:rsidRPr="004213DA">
        <w:rPr>
          <w:rFonts w:ascii="Arial" w:hAnsi="Arial" w:cs="Arial"/>
          <w:color w:val="0B0C0C"/>
        </w:rPr>
        <w:t xml:space="preserve">is that it </w:t>
      </w:r>
      <w:r w:rsidRPr="004213DA">
        <w:rPr>
          <w:rFonts w:ascii="Arial" w:hAnsi="Arial" w:cs="Arial"/>
          <w:color w:val="0B0C0C"/>
        </w:rPr>
        <w:t>can help address the underlying causes of offending behaviour and help reduce reoffending or escalation of offending behaviour.</w:t>
      </w:r>
    </w:p>
    <w:p w14:paraId="29D54C13" w14:textId="4E79BFF8" w:rsidR="004A4AEB" w:rsidRPr="004213DA" w:rsidRDefault="00796D20" w:rsidP="004213DA">
      <w:pPr>
        <w:pStyle w:val="NormalWeb"/>
        <w:shd w:val="clear" w:color="auto" w:fill="FFFFFF"/>
        <w:spacing w:before="300" w:beforeAutospacing="0" w:after="300" w:afterAutospacing="0" w:line="480" w:lineRule="auto"/>
        <w:jc w:val="both"/>
        <w:rPr>
          <w:rFonts w:ascii="Arial" w:hAnsi="Arial" w:cs="Arial"/>
          <w:color w:val="0B0C0C"/>
        </w:rPr>
      </w:pPr>
      <w:r w:rsidRPr="004213DA">
        <w:rPr>
          <w:rFonts w:ascii="Arial" w:hAnsi="Arial" w:cs="Arial"/>
          <w:color w:val="0B0C0C"/>
        </w:rPr>
        <w:t xml:space="preserve">Within the Home Office policy document, it states that </w:t>
      </w:r>
      <w:r w:rsidR="004A4AEB" w:rsidRPr="004213DA">
        <w:rPr>
          <w:rFonts w:ascii="Arial" w:hAnsi="Arial" w:cs="Arial"/>
          <w:color w:val="0B0C0C"/>
        </w:rPr>
        <w:t xml:space="preserve">OOCDs </w:t>
      </w:r>
      <w:r w:rsidR="000A02B9" w:rsidRPr="004213DA">
        <w:rPr>
          <w:rFonts w:ascii="Arial" w:hAnsi="Arial" w:cs="Arial"/>
          <w:color w:val="0B0C0C"/>
        </w:rPr>
        <w:t>c</w:t>
      </w:r>
      <w:r w:rsidRPr="004213DA">
        <w:rPr>
          <w:rFonts w:ascii="Arial" w:hAnsi="Arial" w:cs="Arial"/>
          <w:color w:val="0B0C0C"/>
        </w:rPr>
        <w:t>an</w:t>
      </w:r>
      <w:r w:rsidR="000A02B9" w:rsidRPr="004213DA">
        <w:rPr>
          <w:rFonts w:ascii="Arial" w:hAnsi="Arial" w:cs="Arial"/>
          <w:color w:val="0B0C0C"/>
        </w:rPr>
        <w:t xml:space="preserve"> achieve four key points a</w:t>
      </w:r>
      <w:r w:rsidRPr="004213DA">
        <w:rPr>
          <w:rFonts w:ascii="Arial" w:hAnsi="Arial" w:cs="Arial"/>
          <w:color w:val="0B0C0C"/>
        </w:rPr>
        <w:t xml:space="preserve">ddress the </w:t>
      </w:r>
      <w:r w:rsidR="004A4AEB" w:rsidRPr="004213DA">
        <w:rPr>
          <w:rFonts w:ascii="Arial" w:hAnsi="Arial" w:cs="Arial"/>
          <w:color w:val="0B0C0C"/>
        </w:rPr>
        <w:t>early stages of offending behaviour</w:t>
      </w:r>
      <w:r w:rsidR="000A02B9" w:rsidRPr="004213DA">
        <w:rPr>
          <w:rFonts w:ascii="Arial" w:hAnsi="Arial" w:cs="Arial"/>
          <w:color w:val="0B0C0C"/>
        </w:rPr>
        <w:t>, a</w:t>
      </w:r>
      <w:r w:rsidR="004A4AEB" w:rsidRPr="004213DA">
        <w:rPr>
          <w:rFonts w:ascii="Arial" w:hAnsi="Arial" w:cs="Arial"/>
          <w:color w:val="0B0C0C"/>
        </w:rPr>
        <w:t xml:space="preserve">llow the police to deal quickly with low-level offending without </w:t>
      </w:r>
      <w:r w:rsidRPr="004213DA">
        <w:rPr>
          <w:rFonts w:ascii="Arial" w:hAnsi="Arial" w:cs="Arial"/>
          <w:color w:val="0B0C0C"/>
        </w:rPr>
        <w:t>using the criminal justice process</w:t>
      </w:r>
      <w:r w:rsidR="000A02B9" w:rsidRPr="004213DA">
        <w:rPr>
          <w:rFonts w:ascii="Arial" w:hAnsi="Arial" w:cs="Arial"/>
          <w:color w:val="0B0C0C"/>
        </w:rPr>
        <w:t>, m</w:t>
      </w:r>
      <w:r w:rsidR="004A4AEB" w:rsidRPr="004213DA">
        <w:rPr>
          <w:rFonts w:ascii="Arial" w:hAnsi="Arial" w:cs="Arial"/>
          <w:color w:val="0B0C0C"/>
        </w:rPr>
        <w:t>aximise the use of officer time</w:t>
      </w:r>
      <w:r w:rsidR="000A02B9" w:rsidRPr="004213DA">
        <w:rPr>
          <w:rFonts w:ascii="Arial" w:hAnsi="Arial" w:cs="Arial"/>
          <w:color w:val="0B0C0C"/>
        </w:rPr>
        <w:t xml:space="preserve">, therefore delivering a more effective public service, and give </w:t>
      </w:r>
      <w:r w:rsidR="004A4AEB" w:rsidRPr="004213DA">
        <w:rPr>
          <w:rFonts w:ascii="Arial" w:hAnsi="Arial" w:cs="Arial"/>
          <w:color w:val="0B0C0C"/>
        </w:rPr>
        <w:t>an opportunity to provide intervention and support to potential offenders, diverting them into rehabilitative services to help reduce escalation of offending.</w:t>
      </w:r>
    </w:p>
    <w:p w14:paraId="7F4618A6" w14:textId="5B9AE2CF" w:rsidR="00706A48" w:rsidRPr="004213DA" w:rsidRDefault="000A02B9" w:rsidP="004213DA">
      <w:pPr>
        <w:spacing w:line="480" w:lineRule="auto"/>
        <w:jc w:val="both"/>
        <w:rPr>
          <w:rFonts w:ascii="Arial" w:eastAsia="Times New Roman" w:hAnsi="Arial" w:cs="Arial"/>
          <w:sz w:val="24"/>
          <w:szCs w:val="24"/>
        </w:rPr>
      </w:pPr>
      <w:r w:rsidRPr="004213DA">
        <w:rPr>
          <w:rFonts w:ascii="Arial" w:eastAsia="Times New Roman" w:hAnsi="Arial" w:cs="Arial"/>
          <w:sz w:val="24"/>
          <w:szCs w:val="24"/>
        </w:rPr>
        <w:t>However what needs to be considered is what evidence base exists for the effectiveness of OOCDs in favour of traditional sanctions in terms of achieving th</w:t>
      </w:r>
      <w:r w:rsidR="004213DA" w:rsidRPr="004213DA">
        <w:rPr>
          <w:rFonts w:ascii="Arial" w:eastAsia="Times New Roman" w:hAnsi="Arial" w:cs="Arial"/>
          <w:sz w:val="24"/>
          <w:szCs w:val="24"/>
        </w:rPr>
        <w:t xml:space="preserve">is and what steps </w:t>
      </w:r>
      <w:r w:rsidRPr="004213DA">
        <w:rPr>
          <w:rFonts w:ascii="Arial" w:eastAsia="Times New Roman" w:hAnsi="Arial" w:cs="Arial"/>
          <w:sz w:val="24"/>
          <w:szCs w:val="24"/>
        </w:rPr>
        <w:t xml:space="preserve">police forces will </w:t>
      </w:r>
      <w:r w:rsidR="004213DA" w:rsidRPr="004213DA">
        <w:rPr>
          <w:rFonts w:ascii="Arial" w:eastAsia="Times New Roman" w:hAnsi="Arial" w:cs="Arial"/>
          <w:sz w:val="24"/>
          <w:szCs w:val="24"/>
        </w:rPr>
        <w:t>need to take to achieve success.</w:t>
      </w:r>
      <w:r w:rsidRPr="004213DA">
        <w:rPr>
          <w:rFonts w:ascii="Arial" w:eastAsia="Times New Roman" w:hAnsi="Arial" w:cs="Arial"/>
          <w:sz w:val="24"/>
          <w:szCs w:val="24"/>
        </w:rPr>
        <w:t xml:space="preserve"> </w:t>
      </w:r>
    </w:p>
    <w:p w14:paraId="10B580D8" w14:textId="344A8D4D" w:rsidR="008275C8" w:rsidRPr="00487068" w:rsidRDefault="008275C8" w:rsidP="008275C8">
      <w:pPr>
        <w:pStyle w:val="Heading1"/>
        <w:rPr>
          <w:b/>
          <w:bCs/>
        </w:rPr>
      </w:pPr>
      <w:r w:rsidRPr="00487068">
        <w:rPr>
          <w:b/>
          <w:bCs/>
        </w:rPr>
        <w:t>THE</w:t>
      </w:r>
      <w:r w:rsidR="003C7AAE" w:rsidRPr="00487068">
        <w:rPr>
          <w:b/>
          <w:bCs/>
        </w:rPr>
        <w:t>oretical explanation</w:t>
      </w:r>
    </w:p>
    <w:p w14:paraId="2C219CA6" w14:textId="77777777" w:rsidR="00914837" w:rsidRDefault="00914837" w:rsidP="00914837">
      <w:pPr>
        <w:rPr>
          <w:rFonts w:ascii="Arial" w:hAnsi="Arial" w:cs="Arial"/>
          <w:sz w:val="24"/>
          <w:szCs w:val="24"/>
        </w:rPr>
      </w:pPr>
    </w:p>
    <w:p w14:paraId="144C85E7" w14:textId="0A8A4564" w:rsidR="00914837" w:rsidRDefault="00914837" w:rsidP="00C9229D">
      <w:pPr>
        <w:spacing w:line="480" w:lineRule="auto"/>
        <w:jc w:val="both"/>
        <w:rPr>
          <w:rFonts w:ascii="Arial" w:hAnsi="Arial" w:cs="Arial"/>
          <w:sz w:val="24"/>
          <w:szCs w:val="24"/>
        </w:rPr>
      </w:pPr>
      <w:r>
        <w:rPr>
          <w:rFonts w:ascii="Arial" w:hAnsi="Arial" w:cs="Arial"/>
          <w:sz w:val="24"/>
          <w:szCs w:val="24"/>
        </w:rPr>
        <w:t xml:space="preserve">Substance dependency and overdose is described as a nexus between policing and public health </w:t>
      </w:r>
      <w:sdt>
        <w:sdtPr>
          <w:rPr>
            <w:rFonts w:ascii="Arial" w:hAnsi="Arial" w:cs="Arial"/>
            <w:sz w:val="24"/>
            <w:szCs w:val="24"/>
          </w:rPr>
          <w:id w:val="-818965567"/>
          <w:citation/>
        </w:sdtPr>
        <w:sdtEndPr/>
        <w:sdtContent>
          <w:r>
            <w:rPr>
              <w:rFonts w:ascii="Arial" w:hAnsi="Arial" w:cs="Arial"/>
              <w:sz w:val="24"/>
              <w:szCs w:val="24"/>
            </w:rPr>
            <w:fldChar w:fldCharType="begin"/>
          </w:r>
          <w:r>
            <w:rPr>
              <w:rFonts w:ascii="Arial" w:hAnsi="Arial" w:cs="Arial"/>
              <w:sz w:val="24"/>
              <w:szCs w:val="24"/>
            </w:rPr>
            <w:instrText xml:space="preserve"> CITATION Cro12 \l 2057 </w:instrText>
          </w:r>
          <w:r>
            <w:rPr>
              <w:rFonts w:ascii="Arial" w:hAnsi="Arial" w:cs="Arial"/>
              <w:sz w:val="24"/>
              <w:szCs w:val="24"/>
            </w:rPr>
            <w:fldChar w:fldCharType="separate"/>
          </w:r>
          <w:r w:rsidRPr="007D52C5">
            <w:rPr>
              <w:rFonts w:ascii="Arial" w:hAnsi="Arial" w:cs="Arial"/>
              <w:noProof/>
              <w:sz w:val="24"/>
              <w:szCs w:val="24"/>
            </w:rPr>
            <w:t>(Crofts, et al., 2012)</w:t>
          </w:r>
          <w:r>
            <w:rPr>
              <w:rFonts w:ascii="Arial" w:hAnsi="Arial" w:cs="Arial"/>
              <w:sz w:val="24"/>
              <w:szCs w:val="24"/>
            </w:rPr>
            <w:fldChar w:fldCharType="end"/>
          </w:r>
        </w:sdtContent>
      </w:sdt>
      <w:r>
        <w:rPr>
          <w:rFonts w:ascii="Arial" w:hAnsi="Arial" w:cs="Arial"/>
          <w:sz w:val="24"/>
          <w:szCs w:val="24"/>
        </w:rPr>
        <w:t xml:space="preserve"> and the current research points heavily towards the importance of law enforcement and health working together to support people</w:t>
      </w:r>
      <w:r w:rsidR="00927F63">
        <w:rPr>
          <w:rFonts w:ascii="Arial" w:hAnsi="Arial" w:cs="Arial"/>
          <w:sz w:val="24"/>
          <w:szCs w:val="24"/>
        </w:rPr>
        <w:t>. Contemporary drug policy is still mainly punitive in most parts of the world, and the process of t</w:t>
      </w:r>
      <w:r>
        <w:rPr>
          <w:rFonts w:ascii="Arial" w:hAnsi="Arial" w:cs="Arial"/>
          <w:sz w:val="24"/>
          <w:szCs w:val="24"/>
        </w:rPr>
        <w:t xml:space="preserve">aking </w:t>
      </w:r>
      <w:r w:rsidR="00927F63">
        <w:rPr>
          <w:rFonts w:ascii="Arial" w:hAnsi="Arial" w:cs="Arial"/>
          <w:sz w:val="24"/>
          <w:szCs w:val="24"/>
        </w:rPr>
        <w:t>people</w:t>
      </w:r>
      <w:r>
        <w:rPr>
          <w:rFonts w:ascii="Arial" w:hAnsi="Arial" w:cs="Arial"/>
          <w:sz w:val="24"/>
          <w:szCs w:val="24"/>
        </w:rPr>
        <w:t xml:space="preserve"> through the criminal justice process is often described as </w:t>
      </w:r>
      <w:proofErr w:type="gramStart"/>
      <w:r w:rsidR="0048022A">
        <w:rPr>
          <w:rFonts w:ascii="Arial" w:hAnsi="Arial" w:cs="Arial"/>
          <w:sz w:val="24"/>
          <w:szCs w:val="24"/>
        </w:rPr>
        <w:t>counter</w:t>
      </w:r>
      <w:r w:rsidR="00024B12">
        <w:rPr>
          <w:rFonts w:ascii="Arial" w:hAnsi="Arial" w:cs="Arial"/>
          <w:sz w:val="24"/>
          <w:szCs w:val="24"/>
        </w:rPr>
        <w:t>-</w:t>
      </w:r>
      <w:r w:rsidR="0048022A">
        <w:rPr>
          <w:rFonts w:ascii="Arial" w:hAnsi="Arial" w:cs="Arial"/>
          <w:sz w:val="24"/>
          <w:szCs w:val="24"/>
        </w:rPr>
        <w:t>productive</w:t>
      </w:r>
      <w:proofErr w:type="gramEnd"/>
      <w:r>
        <w:rPr>
          <w:rFonts w:ascii="Arial" w:hAnsi="Arial" w:cs="Arial"/>
          <w:sz w:val="24"/>
          <w:szCs w:val="24"/>
        </w:rPr>
        <w:t>.</w:t>
      </w:r>
    </w:p>
    <w:p w14:paraId="544F1667" w14:textId="412E55A7" w:rsidR="00A078ED" w:rsidRPr="00FC3DA4" w:rsidRDefault="00FC3DA4" w:rsidP="00C9229D">
      <w:pPr>
        <w:spacing w:line="480" w:lineRule="auto"/>
        <w:jc w:val="both"/>
        <w:rPr>
          <w:rFonts w:ascii="Arial" w:hAnsi="Arial" w:cs="Arial"/>
          <w:sz w:val="24"/>
          <w:szCs w:val="24"/>
        </w:rPr>
      </w:pPr>
      <w:r>
        <w:rPr>
          <w:rFonts w:ascii="Arial" w:hAnsi="Arial" w:cs="Arial"/>
          <w:sz w:val="24"/>
          <w:szCs w:val="24"/>
        </w:rPr>
        <w:lastRenderedPageBreak/>
        <w:t>In general terms, there is a l</w:t>
      </w:r>
      <w:r w:rsidR="00C83BFC">
        <w:rPr>
          <w:rFonts w:ascii="Arial" w:hAnsi="Arial" w:cs="Arial"/>
          <w:sz w:val="24"/>
          <w:szCs w:val="24"/>
        </w:rPr>
        <w:t xml:space="preserve">ack of research on how non-policing alternatives can contribute to public safety </w:t>
      </w:r>
      <w:r w:rsidR="00914837">
        <w:rPr>
          <w:rFonts w:ascii="Arial" w:hAnsi="Arial" w:cs="Arial"/>
          <w:sz w:val="24"/>
          <w:szCs w:val="24"/>
        </w:rPr>
        <w:t xml:space="preserve">and the role of coordinated community-led effort </w:t>
      </w:r>
      <w:sdt>
        <w:sdtPr>
          <w:rPr>
            <w:rFonts w:ascii="Arial" w:hAnsi="Arial" w:cs="Arial"/>
            <w:sz w:val="24"/>
            <w:szCs w:val="24"/>
          </w:rPr>
          <w:id w:val="793102287"/>
          <w:citation/>
        </w:sdtPr>
        <w:sdtEndPr/>
        <w:sdtContent>
          <w:r w:rsidR="00C83BFC">
            <w:rPr>
              <w:rFonts w:ascii="Arial" w:hAnsi="Arial" w:cs="Arial"/>
              <w:sz w:val="24"/>
              <w:szCs w:val="24"/>
            </w:rPr>
            <w:fldChar w:fldCharType="begin"/>
          </w:r>
          <w:r w:rsidR="00C83BFC">
            <w:rPr>
              <w:rFonts w:ascii="Arial" w:hAnsi="Arial" w:cs="Arial"/>
              <w:sz w:val="24"/>
              <w:szCs w:val="24"/>
            </w:rPr>
            <w:instrText xml:space="preserve"> CITATION Bel21 \l 2057 </w:instrText>
          </w:r>
          <w:r w:rsidR="00C83BFC">
            <w:rPr>
              <w:rFonts w:ascii="Arial" w:hAnsi="Arial" w:cs="Arial"/>
              <w:sz w:val="24"/>
              <w:szCs w:val="24"/>
            </w:rPr>
            <w:fldChar w:fldCharType="separate"/>
          </w:r>
          <w:r w:rsidR="00C83BFC" w:rsidRPr="00C83BFC">
            <w:rPr>
              <w:rFonts w:ascii="Arial" w:hAnsi="Arial" w:cs="Arial"/>
              <w:noProof/>
              <w:sz w:val="24"/>
              <w:szCs w:val="24"/>
            </w:rPr>
            <w:t>(Bell, 2021)</w:t>
          </w:r>
          <w:r w:rsidR="00C83BFC">
            <w:rPr>
              <w:rFonts w:ascii="Arial" w:hAnsi="Arial" w:cs="Arial"/>
              <w:sz w:val="24"/>
              <w:szCs w:val="24"/>
            </w:rPr>
            <w:fldChar w:fldCharType="end"/>
          </w:r>
        </w:sdtContent>
      </w:sdt>
      <w:r w:rsidR="00914837">
        <w:rPr>
          <w:rFonts w:ascii="Arial" w:hAnsi="Arial" w:cs="Arial"/>
          <w:sz w:val="24"/>
          <w:szCs w:val="24"/>
        </w:rPr>
        <w:t>, and therefore mu</w:t>
      </w:r>
      <w:r>
        <w:rPr>
          <w:rFonts w:ascii="Arial" w:hAnsi="Arial" w:cs="Arial"/>
          <w:sz w:val="24"/>
          <w:szCs w:val="24"/>
        </w:rPr>
        <w:t xml:space="preserve">ch of the research does focus on the effectiveness of policing </w:t>
      </w:r>
      <w:r w:rsidR="00914837">
        <w:rPr>
          <w:rFonts w:ascii="Arial" w:hAnsi="Arial" w:cs="Arial"/>
          <w:sz w:val="24"/>
          <w:szCs w:val="24"/>
        </w:rPr>
        <w:t xml:space="preserve">itself </w:t>
      </w:r>
      <w:r>
        <w:rPr>
          <w:rFonts w:ascii="Arial" w:hAnsi="Arial" w:cs="Arial"/>
          <w:sz w:val="24"/>
          <w:szCs w:val="24"/>
        </w:rPr>
        <w:t xml:space="preserve">and specifically the appropriateness of the traditional punitive response. The research does point to the </w:t>
      </w:r>
      <w:r w:rsidR="00914837">
        <w:rPr>
          <w:rFonts w:ascii="Arial" w:hAnsi="Arial" w:cs="Arial"/>
          <w:sz w:val="24"/>
          <w:szCs w:val="24"/>
        </w:rPr>
        <w:t xml:space="preserve">negative </w:t>
      </w:r>
      <w:r>
        <w:rPr>
          <w:rFonts w:ascii="Arial" w:hAnsi="Arial" w:cs="Arial"/>
          <w:sz w:val="24"/>
          <w:szCs w:val="24"/>
        </w:rPr>
        <w:t>p</w:t>
      </w:r>
      <w:r w:rsidR="00370515">
        <w:rPr>
          <w:rFonts w:ascii="Arial" w:hAnsi="Arial" w:cs="Arial"/>
          <w:sz w:val="24"/>
          <w:szCs w:val="24"/>
        </w:rPr>
        <w:t>hysical and mental health consequences for people who have gone through the criminal justice process</w:t>
      </w:r>
      <w:r>
        <w:rPr>
          <w:rFonts w:ascii="Arial" w:hAnsi="Arial" w:cs="Arial"/>
          <w:sz w:val="24"/>
          <w:szCs w:val="24"/>
        </w:rPr>
        <w:t>,</w:t>
      </w:r>
      <w:r w:rsidR="00370515">
        <w:rPr>
          <w:rFonts w:ascii="Arial" w:hAnsi="Arial" w:cs="Arial"/>
          <w:sz w:val="24"/>
          <w:szCs w:val="24"/>
        </w:rPr>
        <w:t xml:space="preserve"> </w:t>
      </w:r>
      <w:proofErr w:type="gramStart"/>
      <w:r w:rsidR="00370515">
        <w:rPr>
          <w:rFonts w:ascii="Arial" w:hAnsi="Arial" w:cs="Arial"/>
          <w:sz w:val="24"/>
          <w:szCs w:val="24"/>
        </w:rPr>
        <w:t>and also</w:t>
      </w:r>
      <w:proofErr w:type="gramEnd"/>
      <w:r w:rsidR="00370515">
        <w:rPr>
          <w:rFonts w:ascii="Arial" w:hAnsi="Arial" w:cs="Arial"/>
          <w:sz w:val="24"/>
          <w:szCs w:val="24"/>
        </w:rPr>
        <w:t xml:space="preserve"> the effect it can have on their families and friends</w:t>
      </w:r>
      <w:r w:rsidR="007132A8">
        <w:rPr>
          <w:rFonts w:ascii="Arial" w:hAnsi="Arial" w:cs="Arial"/>
          <w:sz w:val="24"/>
          <w:szCs w:val="24"/>
        </w:rPr>
        <w:t xml:space="preserve"> </w:t>
      </w:r>
      <w:sdt>
        <w:sdtPr>
          <w:rPr>
            <w:rFonts w:ascii="Arial" w:hAnsi="Arial" w:cs="Arial"/>
            <w:sz w:val="24"/>
            <w:szCs w:val="24"/>
          </w:rPr>
          <w:id w:val="-1967649448"/>
          <w:citation/>
        </w:sdtPr>
        <w:sdtEndPr/>
        <w:sdtContent>
          <w:r w:rsidR="007132A8">
            <w:rPr>
              <w:rFonts w:ascii="Arial" w:hAnsi="Arial" w:cs="Arial"/>
              <w:sz w:val="24"/>
              <w:szCs w:val="24"/>
            </w:rPr>
            <w:fldChar w:fldCharType="begin"/>
          </w:r>
          <w:r w:rsidR="007132A8">
            <w:rPr>
              <w:rFonts w:ascii="Arial" w:hAnsi="Arial" w:cs="Arial"/>
              <w:sz w:val="24"/>
              <w:szCs w:val="24"/>
            </w:rPr>
            <w:instrText xml:space="preserve"> CITATION Asa18 \l 2057 </w:instrText>
          </w:r>
          <w:r w:rsidR="007132A8">
            <w:rPr>
              <w:rFonts w:ascii="Arial" w:hAnsi="Arial" w:cs="Arial"/>
              <w:sz w:val="24"/>
              <w:szCs w:val="24"/>
            </w:rPr>
            <w:fldChar w:fldCharType="separate"/>
          </w:r>
          <w:r w:rsidR="007132A8" w:rsidRPr="007132A8">
            <w:rPr>
              <w:rFonts w:ascii="Arial" w:hAnsi="Arial" w:cs="Arial"/>
              <w:noProof/>
              <w:sz w:val="24"/>
              <w:szCs w:val="24"/>
            </w:rPr>
            <w:t>(Asad, et al., 2018)</w:t>
          </w:r>
          <w:r w:rsidR="007132A8">
            <w:rPr>
              <w:rFonts w:ascii="Arial" w:hAnsi="Arial" w:cs="Arial"/>
              <w:sz w:val="24"/>
              <w:szCs w:val="24"/>
            </w:rPr>
            <w:fldChar w:fldCharType="end"/>
          </w:r>
        </w:sdtContent>
      </w:sdt>
      <w:r>
        <w:rPr>
          <w:rFonts w:ascii="Arial" w:hAnsi="Arial" w:cs="Arial"/>
          <w:sz w:val="24"/>
          <w:szCs w:val="24"/>
        </w:rPr>
        <w:t>.</w:t>
      </w:r>
    </w:p>
    <w:p w14:paraId="25DE3602" w14:textId="644625E3" w:rsidR="00370515" w:rsidRDefault="00024B12" w:rsidP="00C9229D">
      <w:pPr>
        <w:spacing w:line="480" w:lineRule="auto"/>
        <w:jc w:val="both"/>
        <w:rPr>
          <w:rFonts w:ascii="Arial" w:hAnsi="Arial" w:cs="Arial"/>
          <w:sz w:val="24"/>
          <w:szCs w:val="24"/>
        </w:rPr>
      </w:pPr>
      <w:r>
        <w:rPr>
          <w:rFonts w:ascii="Arial" w:hAnsi="Arial" w:cs="Arial"/>
          <w:sz w:val="24"/>
          <w:szCs w:val="24"/>
        </w:rPr>
        <w:t>Given it is the role of Police to uphold the law and enforce existing legislation, the critique of the justice-led approach seems unwarranted, however, t</w:t>
      </w:r>
      <w:r w:rsidR="00FC3DA4">
        <w:rPr>
          <w:rFonts w:ascii="Arial" w:hAnsi="Arial" w:cs="Arial"/>
          <w:sz w:val="24"/>
          <w:szCs w:val="24"/>
        </w:rPr>
        <w:t>here is significant c</w:t>
      </w:r>
      <w:r w:rsidR="007D52C5">
        <w:rPr>
          <w:rFonts w:ascii="Arial" w:hAnsi="Arial" w:cs="Arial"/>
          <w:sz w:val="24"/>
          <w:szCs w:val="24"/>
        </w:rPr>
        <w:t>ommentary about what is described as policing with a “crime-control focus”</w:t>
      </w:r>
      <w:r>
        <w:rPr>
          <w:rFonts w:ascii="Arial" w:hAnsi="Arial" w:cs="Arial"/>
          <w:sz w:val="24"/>
          <w:szCs w:val="24"/>
        </w:rPr>
        <w:t>. It</w:t>
      </w:r>
      <w:r w:rsidR="007D52C5">
        <w:rPr>
          <w:rFonts w:ascii="Arial" w:hAnsi="Arial" w:cs="Arial"/>
          <w:sz w:val="24"/>
          <w:szCs w:val="24"/>
        </w:rPr>
        <w:t xml:space="preserve"> can </w:t>
      </w:r>
      <w:proofErr w:type="gramStart"/>
      <w:r w:rsidR="007D52C5">
        <w:rPr>
          <w:rFonts w:ascii="Arial" w:hAnsi="Arial" w:cs="Arial"/>
          <w:sz w:val="24"/>
          <w:szCs w:val="24"/>
        </w:rPr>
        <w:t>actually worsen</w:t>
      </w:r>
      <w:proofErr w:type="gramEnd"/>
      <w:r w:rsidR="007D52C5">
        <w:rPr>
          <w:rFonts w:ascii="Arial" w:hAnsi="Arial" w:cs="Arial"/>
          <w:sz w:val="24"/>
          <w:szCs w:val="24"/>
        </w:rPr>
        <w:t xml:space="preserve"> public health due to </w:t>
      </w:r>
      <w:r w:rsidR="00FC3DA4">
        <w:rPr>
          <w:rFonts w:ascii="Arial" w:hAnsi="Arial" w:cs="Arial"/>
          <w:sz w:val="24"/>
          <w:szCs w:val="24"/>
        </w:rPr>
        <w:t xml:space="preserve">the </w:t>
      </w:r>
      <w:r w:rsidR="007D52C5">
        <w:rPr>
          <w:rFonts w:ascii="Arial" w:hAnsi="Arial" w:cs="Arial"/>
          <w:sz w:val="24"/>
          <w:szCs w:val="24"/>
        </w:rPr>
        <w:t>criminalisation of vulnerable individuals which can</w:t>
      </w:r>
      <w:r w:rsidR="00914837">
        <w:rPr>
          <w:rFonts w:ascii="Arial" w:hAnsi="Arial" w:cs="Arial"/>
          <w:sz w:val="24"/>
          <w:szCs w:val="24"/>
        </w:rPr>
        <w:t xml:space="preserve">, in the longer term, </w:t>
      </w:r>
      <w:r w:rsidR="007D52C5">
        <w:rPr>
          <w:rFonts w:ascii="Arial" w:hAnsi="Arial" w:cs="Arial"/>
          <w:sz w:val="24"/>
          <w:szCs w:val="24"/>
        </w:rPr>
        <w:t>prevent them from having access to health and harm reduction resources</w:t>
      </w:r>
      <w:r w:rsidR="00914837">
        <w:rPr>
          <w:rFonts w:ascii="Arial" w:hAnsi="Arial" w:cs="Arial"/>
          <w:sz w:val="24"/>
          <w:szCs w:val="24"/>
        </w:rPr>
        <w:t>, as well as housing and employment opportunities</w:t>
      </w:r>
      <w:r w:rsidR="007D52C5">
        <w:rPr>
          <w:rFonts w:ascii="Arial" w:hAnsi="Arial" w:cs="Arial"/>
          <w:sz w:val="24"/>
          <w:szCs w:val="24"/>
        </w:rPr>
        <w:t xml:space="preserve"> </w:t>
      </w:r>
      <w:sdt>
        <w:sdtPr>
          <w:rPr>
            <w:rFonts w:ascii="Arial" w:hAnsi="Arial" w:cs="Arial"/>
            <w:sz w:val="24"/>
            <w:szCs w:val="24"/>
          </w:rPr>
          <w:id w:val="-1370304428"/>
          <w:citation/>
        </w:sdtPr>
        <w:sdtEndPr/>
        <w:sdtContent>
          <w:r w:rsidR="007D52C5">
            <w:rPr>
              <w:rFonts w:ascii="Arial" w:hAnsi="Arial" w:cs="Arial"/>
              <w:sz w:val="24"/>
              <w:szCs w:val="24"/>
            </w:rPr>
            <w:fldChar w:fldCharType="begin"/>
          </w:r>
          <w:r w:rsidR="007D52C5">
            <w:rPr>
              <w:rFonts w:ascii="Arial" w:hAnsi="Arial" w:cs="Arial"/>
              <w:sz w:val="24"/>
              <w:szCs w:val="24"/>
            </w:rPr>
            <w:instrText xml:space="preserve"> CITATION Woo20 \l 2057 </w:instrText>
          </w:r>
          <w:r w:rsidR="007D52C5">
            <w:rPr>
              <w:rFonts w:ascii="Arial" w:hAnsi="Arial" w:cs="Arial"/>
              <w:sz w:val="24"/>
              <w:szCs w:val="24"/>
            </w:rPr>
            <w:fldChar w:fldCharType="separate"/>
          </w:r>
          <w:r w:rsidR="007D52C5" w:rsidRPr="007D52C5">
            <w:rPr>
              <w:rFonts w:ascii="Arial" w:hAnsi="Arial" w:cs="Arial"/>
              <w:noProof/>
              <w:sz w:val="24"/>
              <w:szCs w:val="24"/>
            </w:rPr>
            <w:t>(Wood, 2020)</w:t>
          </w:r>
          <w:r w:rsidR="007D52C5">
            <w:rPr>
              <w:rFonts w:ascii="Arial" w:hAnsi="Arial" w:cs="Arial"/>
              <w:sz w:val="24"/>
              <w:szCs w:val="24"/>
            </w:rPr>
            <w:fldChar w:fldCharType="end"/>
          </w:r>
        </w:sdtContent>
      </w:sdt>
      <w:r w:rsidR="007D52C5">
        <w:rPr>
          <w:rFonts w:ascii="Arial" w:hAnsi="Arial" w:cs="Arial"/>
          <w:sz w:val="24"/>
          <w:szCs w:val="24"/>
        </w:rPr>
        <w:t xml:space="preserve">. </w:t>
      </w:r>
      <w:r w:rsidR="00914837">
        <w:rPr>
          <w:rFonts w:ascii="Arial" w:hAnsi="Arial" w:cs="Arial"/>
          <w:sz w:val="24"/>
          <w:szCs w:val="24"/>
        </w:rPr>
        <w:t xml:space="preserve">What can happen </w:t>
      </w:r>
      <w:r w:rsidR="00ED743D">
        <w:rPr>
          <w:rFonts w:ascii="Arial" w:hAnsi="Arial" w:cs="Arial"/>
          <w:sz w:val="24"/>
          <w:szCs w:val="24"/>
        </w:rPr>
        <w:t xml:space="preserve">in many cases is that people </w:t>
      </w:r>
      <w:r w:rsidR="0048022A">
        <w:rPr>
          <w:rFonts w:ascii="Arial" w:hAnsi="Arial" w:cs="Arial"/>
          <w:sz w:val="24"/>
          <w:szCs w:val="24"/>
        </w:rPr>
        <w:t>revert</w:t>
      </w:r>
      <w:r w:rsidR="00ED743D">
        <w:rPr>
          <w:rFonts w:ascii="Arial" w:hAnsi="Arial" w:cs="Arial"/>
          <w:sz w:val="24"/>
          <w:szCs w:val="24"/>
        </w:rPr>
        <w:t xml:space="preserve"> to a cycle of substance misuse and crime due to the limited options available to them to rebuild their lives.</w:t>
      </w:r>
    </w:p>
    <w:p w14:paraId="0EAFDE32" w14:textId="74400971" w:rsidR="00ED743D" w:rsidRDefault="00ED743D" w:rsidP="00C9229D">
      <w:pPr>
        <w:spacing w:line="480" w:lineRule="auto"/>
        <w:jc w:val="both"/>
        <w:rPr>
          <w:rFonts w:ascii="Arial" w:hAnsi="Arial" w:cs="Arial"/>
          <w:sz w:val="24"/>
          <w:szCs w:val="24"/>
        </w:rPr>
      </w:pPr>
      <w:r>
        <w:rPr>
          <w:rFonts w:ascii="Arial" w:hAnsi="Arial" w:cs="Arial"/>
          <w:sz w:val="24"/>
          <w:szCs w:val="24"/>
        </w:rPr>
        <w:t>These p</w:t>
      </w:r>
      <w:r w:rsidR="007D52C5">
        <w:rPr>
          <w:rFonts w:ascii="Arial" w:hAnsi="Arial" w:cs="Arial"/>
          <w:sz w:val="24"/>
          <w:szCs w:val="24"/>
        </w:rPr>
        <w:t xml:space="preserve">olicing practices </w:t>
      </w:r>
      <w:r>
        <w:rPr>
          <w:rFonts w:ascii="Arial" w:hAnsi="Arial" w:cs="Arial"/>
          <w:sz w:val="24"/>
          <w:szCs w:val="24"/>
        </w:rPr>
        <w:t xml:space="preserve">where individuals found in possession of drugs are arrested, </w:t>
      </w:r>
      <w:r w:rsidR="0048022A">
        <w:rPr>
          <w:rFonts w:ascii="Arial" w:hAnsi="Arial" w:cs="Arial"/>
          <w:sz w:val="24"/>
          <w:szCs w:val="24"/>
        </w:rPr>
        <w:t>charged,</w:t>
      </w:r>
      <w:r>
        <w:rPr>
          <w:rFonts w:ascii="Arial" w:hAnsi="Arial" w:cs="Arial"/>
          <w:sz w:val="24"/>
          <w:szCs w:val="24"/>
        </w:rPr>
        <w:t xml:space="preserve"> and put through the court process are referred to as ‘</w:t>
      </w:r>
      <w:r w:rsidR="007D52C5">
        <w:rPr>
          <w:rFonts w:ascii="Arial" w:hAnsi="Arial" w:cs="Arial"/>
          <w:sz w:val="24"/>
          <w:szCs w:val="24"/>
        </w:rPr>
        <w:t>Iatrogenic</w:t>
      </w:r>
      <w:r>
        <w:rPr>
          <w:rFonts w:ascii="Arial" w:hAnsi="Arial" w:cs="Arial"/>
          <w:sz w:val="24"/>
          <w:szCs w:val="24"/>
        </w:rPr>
        <w:t>’</w:t>
      </w:r>
      <w:r w:rsidR="007D52C5">
        <w:rPr>
          <w:rFonts w:ascii="Arial" w:hAnsi="Arial" w:cs="Arial"/>
          <w:sz w:val="24"/>
          <w:szCs w:val="24"/>
        </w:rPr>
        <w:t xml:space="preserve">, </w:t>
      </w:r>
      <w:r w:rsidR="0048022A">
        <w:rPr>
          <w:rFonts w:ascii="Arial" w:hAnsi="Arial" w:cs="Arial"/>
          <w:sz w:val="24"/>
          <w:szCs w:val="24"/>
        </w:rPr>
        <w:t>increasing</w:t>
      </w:r>
      <w:r w:rsidR="007D52C5">
        <w:rPr>
          <w:rFonts w:ascii="Arial" w:hAnsi="Arial" w:cs="Arial"/>
          <w:sz w:val="24"/>
          <w:szCs w:val="24"/>
        </w:rPr>
        <w:t xml:space="preserve"> the health issues of vulnerable communities </w:t>
      </w:r>
      <w:sdt>
        <w:sdtPr>
          <w:rPr>
            <w:rFonts w:ascii="Arial" w:hAnsi="Arial" w:cs="Arial"/>
            <w:sz w:val="24"/>
            <w:szCs w:val="24"/>
          </w:rPr>
          <w:id w:val="-558160592"/>
          <w:citation/>
        </w:sdtPr>
        <w:sdtEndPr/>
        <w:sdtContent>
          <w:r w:rsidR="007D52C5">
            <w:rPr>
              <w:rFonts w:ascii="Arial" w:hAnsi="Arial" w:cs="Arial"/>
              <w:sz w:val="24"/>
              <w:szCs w:val="24"/>
            </w:rPr>
            <w:fldChar w:fldCharType="begin"/>
          </w:r>
          <w:r w:rsidR="007D52C5">
            <w:rPr>
              <w:rFonts w:ascii="Arial" w:hAnsi="Arial" w:cs="Arial"/>
              <w:sz w:val="24"/>
              <w:szCs w:val="24"/>
            </w:rPr>
            <w:instrText xml:space="preserve"> CITATION And17 \l 2057 </w:instrText>
          </w:r>
          <w:r w:rsidR="007D52C5">
            <w:rPr>
              <w:rFonts w:ascii="Arial" w:hAnsi="Arial" w:cs="Arial"/>
              <w:sz w:val="24"/>
              <w:szCs w:val="24"/>
            </w:rPr>
            <w:fldChar w:fldCharType="separate"/>
          </w:r>
          <w:r w:rsidR="007D52C5" w:rsidRPr="007D52C5">
            <w:rPr>
              <w:rFonts w:ascii="Arial" w:hAnsi="Arial" w:cs="Arial"/>
              <w:noProof/>
              <w:sz w:val="24"/>
              <w:szCs w:val="24"/>
            </w:rPr>
            <w:t>(Anderson &amp; Burris, 2017)</w:t>
          </w:r>
          <w:r w:rsidR="007D52C5">
            <w:rPr>
              <w:rFonts w:ascii="Arial" w:hAnsi="Arial" w:cs="Arial"/>
              <w:sz w:val="24"/>
              <w:szCs w:val="24"/>
            </w:rPr>
            <w:fldChar w:fldCharType="end"/>
          </w:r>
        </w:sdtContent>
      </w:sdt>
      <w:r>
        <w:rPr>
          <w:rFonts w:ascii="Arial" w:hAnsi="Arial" w:cs="Arial"/>
          <w:sz w:val="24"/>
          <w:szCs w:val="24"/>
        </w:rPr>
        <w:t>. This is supported by s</w:t>
      </w:r>
      <w:r w:rsidR="007D52C5">
        <w:rPr>
          <w:rFonts w:ascii="Arial" w:hAnsi="Arial" w:cs="Arial"/>
          <w:sz w:val="24"/>
          <w:szCs w:val="24"/>
        </w:rPr>
        <w:t xml:space="preserve">tudies </w:t>
      </w:r>
      <w:r>
        <w:rPr>
          <w:rFonts w:ascii="Arial" w:hAnsi="Arial" w:cs="Arial"/>
          <w:sz w:val="24"/>
          <w:szCs w:val="24"/>
        </w:rPr>
        <w:t xml:space="preserve">which </w:t>
      </w:r>
      <w:r w:rsidR="007D52C5">
        <w:rPr>
          <w:rFonts w:ascii="Arial" w:hAnsi="Arial" w:cs="Arial"/>
          <w:sz w:val="24"/>
          <w:szCs w:val="24"/>
        </w:rPr>
        <w:t>show that when the actions of officers are coerci</w:t>
      </w:r>
      <w:r w:rsidR="00935D47">
        <w:rPr>
          <w:rFonts w:ascii="Arial" w:hAnsi="Arial" w:cs="Arial"/>
          <w:sz w:val="24"/>
          <w:szCs w:val="24"/>
        </w:rPr>
        <w:t>ve or exclusionary</w:t>
      </w:r>
      <w:r>
        <w:rPr>
          <w:rFonts w:ascii="Arial" w:hAnsi="Arial" w:cs="Arial"/>
          <w:sz w:val="24"/>
          <w:szCs w:val="24"/>
        </w:rPr>
        <w:t xml:space="preserve">, </w:t>
      </w:r>
      <w:r w:rsidR="00935D47">
        <w:rPr>
          <w:rFonts w:ascii="Arial" w:hAnsi="Arial" w:cs="Arial"/>
          <w:sz w:val="24"/>
          <w:szCs w:val="24"/>
        </w:rPr>
        <w:t>they can contribute to</w:t>
      </w:r>
      <w:r>
        <w:rPr>
          <w:rFonts w:ascii="Arial" w:hAnsi="Arial" w:cs="Arial"/>
          <w:sz w:val="24"/>
          <w:szCs w:val="24"/>
        </w:rPr>
        <w:t>,</w:t>
      </w:r>
      <w:r w:rsidR="00935D47">
        <w:rPr>
          <w:rFonts w:ascii="Arial" w:hAnsi="Arial" w:cs="Arial"/>
          <w:sz w:val="24"/>
          <w:szCs w:val="24"/>
        </w:rPr>
        <w:t xml:space="preserve"> or even shape the health risk environments</w:t>
      </w:r>
      <w:r>
        <w:rPr>
          <w:rFonts w:ascii="Arial" w:hAnsi="Arial" w:cs="Arial"/>
          <w:sz w:val="24"/>
          <w:szCs w:val="24"/>
        </w:rPr>
        <w:t>. In this regard, d</w:t>
      </w:r>
      <w:r w:rsidR="00935D47">
        <w:rPr>
          <w:rFonts w:ascii="Arial" w:hAnsi="Arial" w:cs="Arial"/>
          <w:sz w:val="24"/>
          <w:szCs w:val="24"/>
        </w:rPr>
        <w:t>rug users can resort to avoidance tactics such as not visiting needle exchanges</w:t>
      </w:r>
      <w:r>
        <w:rPr>
          <w:rFonts w:ascii="Arial" w:hAnsi="Arial" w:cs="Arial"/>
          <w:sz w:val="24"/>
          <w:szCs w:val="24"/>
        </w:rPr>
        <w:t xml:space="preserve"> or </w:t>
      </w:r>
      <w:r w:rsidR="00935D47">
        <w:rPr>
          <w:rFonts w:ascii="Arial" w:hAnsi="Arial" w:cs="Arial"/>
          <w:sz w:val="24"/>
          <w:szCs w:val="24"/>
        </w:rPr>
        <w:t xml:space="preserve">avoiding treatment centres </w:t>
      </w:r>
      <w:sdt>
        <w:sdtPr>
          <w:rPr>
            <w:rFonts w:ascii="Arial" w:hAnsi="Arial" w:cs="Arial"/>
            <w:sz w:val="24"/>
            <w:szCs w:val="24"/>
          </w:rPr>
          <w:id w:val="2098437373"/>
          <w:citation/>
        </w:sdtPr>
        <w:sdtEndPr/>
        <w:sdtContent>
          <w:r w:rsidR="00935D47">
            <w:rPr>
              <w:rFonts w:ascii="Arial" w:hAnsi="Arial" w:cs="Arial"/>
              <w:sz w:val="24"/>
              <w:szCs w:val="24"/>
            </w:rPr>
            <w:fldChar w:fldCharType="begin"/>
          </w:r>
          <w:r w:rsidR="00935D47">
            <w:rPr>
              <w:rFonts w:ascii="Arial" w:hAnsi="Arial" w:cs="Arial"/>
              <w:sz w:val="24"/>
              <w:szCs w:val="24"/>
            </w:rPr>
            <w:instrText xml:space="preserve"> CITATION Mah99 \l 2057 </w:instrText>
          </w:r>
          <w:r w:rsidR="00935D47">
            <w:rPr>
              <w:rFonts w:ascii="Arial" w:hAnsi="Arial" w:cs="Arial"/>
              <w:sz w:val="24"/>
              <w:szCs w:val="24"/>
            </w:rPr>
            <w:fldChar w:fldCharType="separate"/>
          </w:r>
          <w:r w:rsidR="00935D47" w:rsidRPr="00935D47">
            <w:rPr>
              <w:rFonts w:ascii="Arial" w:hAnsi="Arial" w:cs="Arial"/>
              <w:noProof/>
              <w:sz w:val="24"/>
              <w:szCs w:val="24"/>
            </w:rPr>
            <w:t>(Maher &amp; Dixon, 1999)</w:t>
          </w:r>
          <w:r w:rsidR="00935D47">
            <w:rPr>
              <w:rFonts w:ascii="Arial" w:hAnsi="Arial" w:cs="Arial"/>
              <w:sz w:val="24"/>
              <w:szCs w:val="24"/>
            </w:rPr>
            <w:fldChar w:fldCharType="end"/>
          </w:r>
        </w:sdtContent>
      </w:sdt>
      <w:r>
        <w:rPr>
          <w:rFonts w:ascii="Arial" w:hAnsi="Arial" w:cs="Arial"/>
          <w:sz w:val="24"/>
          <w:szCs w:val="24"/>
        </w:rPr>
        <w:t>, because they feel that this will draw attention to them from the authorities.</w:t>
      </w:r>
      <w:r w:rsidRPr="00ED743D">
        <w:rPr>
          <w:rFonts w:ascii="Arial" w:hAnsi="Arial" w:cs="Arial"/>
          <w:sz w:val="24"/>
          <w:szCs w:val="24"/>
        </w:rPr>
        <w:t xml:space="preserve"> </w:t>
      </w:r>
    </w:p>
    <w:p w14:paraId="4D5C6CA1" w14:textId="1F7D6CAD" w:rsidR="00B03753" w:rsidRDefault="008B726C" w:rsidP="00C9229D">
      <w:pPr>
        <w:spacing w:line="480" w:lineRule="auto"/>
        <w:jc w:val="both"/>
        <w:rPr>
          <w:rFonts w:ascii="Arial" w:hAnsi="Arial" w:cs="Arial"/>
          <w:sz w:val="24"/>
          <w:szCs w:val="24"/>
        </w:rPr>
      </w:pPr>
      <w:r>
        <w:rPr>
          <w:rFonts w:ascii="Arial" w:hAnsi="Arial" w:cs="Arial"/>
          <w:sz w:val="24"/>
          <w:szCs w:val="24"/>
        </w:rPr>
        <w:lastRenderedPageBreak/>
        <w:t xml:space="preserve">The concept of referral bridges between police and community health services is now firmly part of the current policing agenda, with forces looking to establish ways to help people, steering away from governing through crime, and using approaches which compromise health </w:t>
      </w:r>
      <w:sdt>
        <w:sdtPr>
          <w:rPr>
            <w:rFonts w:ascii="Arial" w:hAnsi="Arial" w:cs="Arial"/>
            <w:sz w:val="24"/>
            <w:szCs w:val="24"/>
          </w:rPr>
          <w:id w:val="-647050378"/>
          <w:citation/>
        </w:sdtPr>
        <w:sdtEndPr/>
        <w:sdtContent>
          <w:r>
            <w:rPr>
              <w:rFonts w:ascii="Arial" w:hAnsi="Arial" w:cs="Arial"/>
              <w:sz w:val="24"/>
              <w:szCs w:val="24"/>
            </w:rPr>
            <w:fldChar w:fldCharType="begin"/>
          </w:r>
          <w:r>
            <w:rPr>
              <w:rFonts w:ascii="Arial" w:hAnsi="Arial" w:cs="Arial"/>
              <w:sz w:val="24"/>
              <w:szCs w:val="24"/>
            </w:rPr>
            <w:instrText xml:space="preserve"> CITATION Sim07 \l 2057 </w:instrText>
          </w:r>
          <w:r>
            <w:rPr>
              <w:rFonts w:ascii="Arial" w:hAnsi="Arial" w:cs="Arial"/>
              <w:sz w:val="24"/>
              <w:szCs w:val="24"/>
            </w:rPr>
            <w:fldChar w:fldCharType="separate"/>
          </w:r>
          <w:r w:rsidRPr="00935D47">
            <w:rPr>
              <w:rFonts w:ascii="Arial" w:hAnsi="Arial" w:cs="Arial"/>
              <w:noProof/>
              <w:sz w:val="24"/>
              <w:szCs w:val="24"/>
            </w:rPr>
            <w:t>(Simon, 2007)</w:t>
          </w:r>
          <w:r>
            <w:rPr>
              <w:rFonts w:ascii="Arial" w:hAnsi="Arial" w:cs="Arial"/>
              <w:sz w:val="24"/>
              <w:szCs w:val="24"/>
            </w:rPr>
            <w:fldChar w:fldCharType="end"/>
          </w:r>
        </w:sdtContent>
      </w:sdt>
      <w:r>
        <w:rPr>
          <w:rFonts w:ascii="Arial" w:hAnsi="Arial" w:cs="Arial"/>
          <w:sz w:val="24"/>
          <w:szCs w:val="24"/>
        </w:rPr>
        <w:t xml:space="preserve">. </w:t>
      </w:r>
      <w:r w:rsidR="00B03753">
        <w:rPr>
          <w:rFonts w:ascii="Arial" w:hAnsi="Arial" w:cs="Arial"/>
          <w:sz w:val="24"/>
          <w:szCs w:val="24"/>
        </w:rPr>
        <w:t xml:space="preserve">To support the notion that the policing response to substance misuse would work more effectively in a harm-reduction framework, </w:t>
      </w:r>
      <w:r w:rsidR="0048022A">
        <w:rPr>
          <w:rFonts w:ascii="Arial" w:hAnsi="Arial" w:cs="Arial"/>
          <w:sz w:val="24"/>
          <w:szCs w:val="24"/>
        </w:rPr>
        <w:t>several</w:t>
      </w:r>
      <w:r w:rsidR="00B03753">
        <w:rPr>
          <w:rFonts w:ascii="Arial" w:hAnsi="Arial" w:cs="Arial"/>
          <w:sz w:val="24"/>
          <w:szCs w:val="24"/>
        </w:rPr>
        <w:t xml:space="preserve"> investigations have been conducted into pilots and trials globally</w:t>
      </w:r>
      <w:r w:rsidR="00927F63">
        <w:rPr>
          <w:rFonts w:ascii="Arial" w:hAnsi="Arial" w:cs="Arial"/>
          <w:sz w:val="24"/>
          <w:szCs w:val="24"/>
        </w:rPr>
        <w:t>.</w:t>
      </w:r>
      <w:r w:rsidR="00B03753">
        <w:rPr>
          <w:rFonts w:ascii="Arial" w:hAnsi="Arial" w:cs="Arial"/>
          <w:sz w:val="24"/>
          <w:szCs w:val="24"/>
        </w:rPr>
        <w:t xml:space="preserve"> One of the most notable studies was in relation to the partial de-criminalisation of drugs in Copenhagen where </w:t>
      </w:r>
      <w:r w:rsidR="00927F63">
        <w:rPr>
          <w:rFonts w:ascii="Arial" w:hAnsi="Arial" w:cs="Arial"/>
          <w:sz w:val="24"/>
          <w:szCs w:val="24"/>
        </w:rPr>
        <w:t xml:space="preserve">drug consumption facilities were </w:t>
      </w:r>
      <w:r w:rsidR="0048022A">
        <w:rPr>
          <w:rFonts w:ascii="Arial" w:hAnsi="Arial" w:cs="Arial"/>
          <w:sz w:val="24"/>
          <w:szCs w:val="24"/>
        </w:rPr>
        <w:t>provided,</w:t>
      </w:r>
      <w:r w:rsidR="00927F63">
        <w:rPr>
          <w:rFonts w:ascii="Arial" w:hAnsi="Arial" w:cs="Arial"/>
          <w:sz w:val="24"/>
          <w:szCs w:val="24"/>
        </w:rPr>
        <w:t xml:space="preserve"> and users found in possession of drugs within a certain radius of the facilities were not charged</w:t>
      </w:r>
      <w:r w:rsidR="00537D5E">
        <w:rPr>
          <w:rFonts w:ascii="Arial" w:hAnsi="Arial" w:cs="Arial"/>
          <w:sz w:val="24"/>
          <w:szCs w:val="24"/>
        </w:rPr>
        <w:t xml:space="preserve">. </w:t>
      </w:r>
      <w:r w:rsidR="00927F63">
        <w:rPr>
          <w:rFonts w:ascii="Arial" w:hAnsi="Arial" w:cs="Arial"/>
          <w:sz w:val="24"/>
          <w:szCs w:val="24"/>
        </w:rPr>
        <w:t xml:space="preserve"> </w:t>
      </w:r>
      <w:r w:rsidR="00C9229D">
        <w:rPr>
          <w:rFonts w:ascii="Arial" w:hAnsi="Arial" w:cs="Arial"/>
          <w:sz w:val="24"/>
          <w:szCs w:val="24"/>
        </w:rPr>
        <w:t>I</w:t>
      </w:r>
      <w:r w:rsidR="00B03753">
        <w:rPr>
          <w:rFonts w:ascii="Arial" w:hAnsi="Arial" w:cs="Arial"/>
          <w:sz w:val="24"/>
          <w:szCs w:val="24"/>
        </w:rPr>
        <w:t>t was found that</w:t>
      </w:r>
      <w:r w:rsidR="00927F63">
        <w:rPr>
          <w:rFonts w:ascii="Arial" w:hAnsi="Arial" w:cs="Arial"/>
          <w:sz w:val="24"/>
          <w:szCs w:val="24"/>
        </w:rPr>
        <w:t xml:space="preserve"> people who went through the support referral process felt like citizens rather than offenders</w:t>
      </w:r>
      <w:r w:rsidR="00C9229D">
        <w:rPr>
          <w:rFonts w:ascii="Arial" w:hAnsi="Arial" w:cs="Arial"/>
          <w:sz w:val="24"/>
          <w:szCs w:val="24"/>
        </w:rPr>
        <w:t xml:space="preserve">, and furthermore, there was evidence that the use of drugs within a controlled environment was effective in reducing the public nuisance and violence associated with drug use in risky environments </w:t>
      </w:r>
      <w:sdt>
        <w:sdtPr>
          <w:rPr>
            <w:rFonts w:ascii="Arial" w:hAnsi="Arial" w:cs="Arial"/>
            <w:sz w:val="24"/>
            <w:szCs w:val="24"/>
          </w:rPr>
          <w:id w:val="-573354653"/>
          <w:citation/>
        </w:sdtPr>
        <w:sdtEndPr/>
        <w:sdtContent>
          <w:r w:rsidR="00C9229D">
            <w:rPr>
              <w:rFonts w:ascii="Arial" w:hAnsi="Arial" w:cs="Arial"/>
              <w:sz w:val="24"/>
              <w:szCs w:val="24"/>
            </w:rPr>
            <w:fldChar w:fldCharType="begin"/>
          </w:r>
          <w:r w:rsidR="00C9229D">
            <w:rPr>
              <w:rFonts w:ascii="Arial" w:hAnsi="Arial" w:cs="Arial"/>
              <w:sz w:val="24"/>
              <w:szCs w:val="24"/>
            </w:rPr>
            <w:instrText xml:space="preserve"> CITATION Kam19 \l 2057 </w:instrText>
          </w:r>
          <w:r w:rsidR="00C9229D">
            <w:rPr>
              <w:rFonts w:ascii="Arial" w:hAnsi="Arial" w:cs="Arial"/>
              <w:sz w:val="24"/>
              <w:szCs w:val="24"/>
            </w:rPr>
            <w:fldChar w:fldCharType="separate"/>
          </w:r>
          <w:r w:rsidR="00C9229D" w:rsidRPr="00C9229D">
            <w:rPr>
              <w:rFonts w:ascii="Arial" w:hAnsi="Arial" w:cs="Arial"/>
              <w:noProof/>
              <w:sz w:val="24"/>
              <w:szCs w:val="24"/>
            </w:rPr>
            <w:t>(Kammersgaard, 2019)</w:t>
          </w:r>
          <w:r w:rsidR="00C9229D">
            <w:rPr>
              <w:rFonts w:ascii="Arial" w:hAnsi="Arial" w:cs="Arial"/>
              <w:sz w:val="24"/>
              <w:szCs w:val="24"/>
            </w:rPr>
            <w:fldChar w:fldCharType="end"/>
          </w:r>
        </w:sdtContent>
      </w:sdt>
      <w:r w:rsidR="00C9229D">
        <w:rPr>
          <w:rFonts w:ascii="Arial" w:hAnsi="Arial" w:cs="Arial"/>
          <w:sz w:val="24"/>
          <w:szCs w:val="24"/>
        </w:rPr>
        <w:t>.</w:t>
      </w:r>
    </w:p>
    <w:p w14:paraId="21E25A52" w14:textId="7F81F22B" w:rsidR="00ED743D" w:rsidRDefault="00A32E92" w:rsidP="00C9229D">
      <w:pPr>
        <w:spacing w:line="480" w:lineRule="auto"/>
        <w:jc w:val="both"/>
        <w:rPr>
          <w:rFonts w:ascii="Arial" w:hAnsi="Arial" w:cs="Arial"/>
          <w:sz w:val="24"/>
          <w:szCs w:val="24"/>
        </w:rPr>
      </w:pPr>
      <w:r>
        <w:rPr>
          <w:rFonts w:ascii="Arial" w:hAnsi="Arial" w:cs="Arial"/>
          <w:sz w:val="24"/>
          <w:szCs w:val="24"/>
        </w:rPr>
        <w:t>D</w:t>
      </w:r>
      <w:r w:rsidR="0027132F">
        <w:rPr>
          <w:rFonts w:ascii="Arial" w:hAnsi="Arial" w:cs="Arial"/>
          <w:vanish/>
          <w:sz w:val="24"/>
          <w:szCs w:val="24"/>
        </w:rPr>
        <w:t>HHH</w:t>
      </w:r>
      <w:r w:rsidR="00C9229D">
        <w:rPr>
          <w:rFonts w:ascii="Arial" w:hAnsi="Arial" w:cs="Arial"/>
          <w:sz w:val="24"/>
          <w:szCs w:val="24"/>
        </w:rPr>
        <w:t>e-criminalisation is not a concept currently being pursued with</w:t>
      </w:r>
      <w:r w:rsidR="00BD3FF6">
        <w:rPr>
          <w:rFonts w:ascii="Arial" w:hAnsi="Arial" w:cs="Arial"/>
          <w:sz w:val="24"/>
          <w:szCs w:val="24"/>
        </w:rPr>
        <w:t>in the</w:t>
      </w:r>
      <w:r w:rsidR="00C9229D">
        <w:rPr>
          <w:rFonts w:ascii="Arial" w:hAnsi="Arial" w:cs="Arial"/>
          <w:sz w:val="24"/>
          <w:szCs w:val="24"/>
        </w:rPr>
        <w:t xml:space="preserve"> UK</w:t>
      </w:r>
      <w:r>
        <w:rPr>
          <w:rFonts w:ascii="Arial" w:hAnsi="Arial" w:cs="Arial"/>
          <w:sz w:val="24"/>
          <w:szCs w:val="24"/>
        </w:rPr>
        <w:t>, but</w:t>
      </w:r>
      <w:r w:rsidR="00C9229D">
        <w:rPr>
          <w:rFonts w:ascii="Arial" w:hAnsi="Arial" w:cs="Arial"/>
          <w:sz w:val="24"/>
          <w:szCs w:val="24"/>
        </w:rPr>
        <w:t xml:space="preserve"> t</w:t>
      </w:r>
      <w:r w:rsidR="00ED743D">
        <w:rPr>
          <w:rFonts w:ascii="Arial" w:hAnsi="Arial" w:cs="Arial"/>
          <w:sz w:val="24"/>
          <w:szCs w:val="24"/>
        </w:rPr>
        <w:t>hese studies support the argument that there are strengths in police detection strategies which feature alternatives to traditional responses to individuals who commit low-level criminal offences, the aim being to “steer certain offenders away from different stages in the criminal justice system by addressing their substance abuse or mental health challenges with resources such as community- based or in-patient treatment interventions” (National Institute of Justice, 2019, page 6)</w:t>
      </w:r>
      <w:r w:rsidR="00927F63">
        <w:rPr>
          <w:rFonts w:ascii="Arial" w:hAnsi="Arial" w:cs="Arial"/>
          <w:sz w:val="24"/>
          <w:szCs w:val="24"/>
        </w:rPr>
        <w:t xml:space="preserve">. They also support the notion that the aim of drug policy should be to create environments for reducing </w:t>
      </w:r>
      <w:r w:rsidR="00537D5E">
        <w:rPr>
          <w:rFonts w:ascii="Arial" w:hAnsi="Arial" w:cs="Arial"/>
          <w:sz w:val="24"/>
          <w:szCs w:val="24"/>
        </w:rPr>
        <w:t xml:space="preserve">drug-related harm and removing barriers which prohibit people from reshaping and rebuilding their lives </w:t>
      </w:r>
      <w:sdt>
        <w:sdtPr>
          <w:rPr>
            <w:rFonts w:ascii="Arial" w:hAnsi="Arial" w:cs="Arial"/>
            <w:sz w:val="24"/>
            <w:szCs w:val="24"/>
          </w:rPr>
          <w:id w:val="-615530182"/>
          <w:citation/>
        </w:sdtPr>
        <w:sdtEndPr/>
        <w:sdtContent>
          <w:r w:rsidR="00537D5E">
            <w:rPr>
              <w:rFonts w:ascii="Arial" w:hAnsi="Arial" w:cs="Arial"/>
              <w:sz w:val="24"/>
              <w:szCs w:val="24"/>
            </w:rPr>
            <w:fldChar w:fldCharType="begin"/>
          </w:r>
          <w:r w:rsidR="00537D5E">
            <w:rPr>
              <w:rFonts w:ascii="Arial" w:hAnsi="Arial" w:cs="Arial"/>
              <w:sz w:val="24"/>
              <w:szCs w:val="24"/>
            </w:rPr>
            <w:instrText xml:space="preserve"> CITATION Rho09 \l 2057 </w:instrText>
          </w:r>
          <w:r w:rsidR="00537D5E">
            <w:rPr>
              <w:rFonts w:ascii="Arial" w:hAnsi="Arial" w:cs="Arial"/>
              <w:sz w:val="24"/>
              <w:szCs w:val="24"/>
            </w:rPr>
            <w:fldChar w:fldCharType="separate"/>
          </w:r>
          <w:r w:rsidR="00537D5E" w:rsidRPr="00537D5E">
            <w:rPr>
              <w:rFonts w:ascii="Arial" w:hAnsi="Arial" w:cs="Arial"/>
              <w:noProof/>
              <w:sz w:val="24"/>
              <w:szCs w:val="24"/>
            </w:rPr>
            <w:t>(Rhodes, 2009)</w:t>
          </w:r>
          <w:r w:rsidR="00537D5E">
            <w:rPr>
              <w:rFonts w:ascii="Arial" w:hAnsi="Arial" w:cs="Arial"/>
              <w:sz w:val="24"/>
              <w:szCs w:val="24"/>
            </w:rPr>
            <w:fldChar w:fldCharType="end"/>
          </w:r>
        </w:sdtContent>
      </w:sdt>
      <w:r w:rsidR="00537D5E">
        <w:rPr>
          <w:rFonts w:ascii="Arial" w:hAnsi="Arial" w:cs="Arial"/>
          <w:sz w:val="24"/>
          <w:szCs w:val="24"/>
        </w:rPr>
        <w:t>.</w:t>
      </w:r>
    </w:p>
    <w:p w14:paraId="2C8FD9CE" w14:textId="7BCB3490" w:rsidR="00ED743D" w:rsidRPr="00ED0E38" w:rsidRDefault="00ED743D" w:rsidP="00C9229D">
      <w:pPr>
        <w:spacing w:line="480" w:lineRule="auto"/>
        <w:jc w:val="both"/>
        <w:rPr>
          <w:rFonts w:ascii="Arial" w:hAnsi="Arial" w:cs="Arial"/>
          <w:sz w:val="24"/>
          <w:szCs w:val="24"/>
        </w:rPr>
      </w:pPr>
      <w:r>
        <w:rPr>
          <w:rFonts w:ascii="Arial" w:hAnsi="Arial" w:cs="Arial"/>
          <w:sz w:val="24"/>
          <w:szCs w:val="24"/>
        </w:rPr>
        <w:t xml:space="preserve">Additionally, there is greater emphasis in modern policing on evidence-based approaches and ‘what works’ </w:t>
      </w:r>
      <w:sdt>
        <w:sdtPr>
          <w:rPr>
            <w:rFonts w:ascii="Arial" w:hAnsi="Arial" w:cs="Arial"/>
            <w:sz w:val="24"/>
            <w:szCs w:val="24"/>
          </w:rPr>
          <w:id w:val="-1304684686"/>
          <w:citation/>
        </w:sdtPr>
        <w:sdtEndPr/>
        <w:sdtContent>
          <w:r>
            <w:rPr>
              <w:rFonts w:ascii="Arial" w:hAnsi="Arial" w:cs="Arial"/>
              <w:sz w:val="24"/>
              <w:szCs w:val="24"/>
            </w:rPr>
            <w:fldChar w:fldCharType="begin"/>
          </w:r>
          <w:r>
            <w:rPr>
              <w:rFonts w:ascii="Arial" w:hAnsi="Arial" w:cs="Arial"/>
              <w:sz w:val="24"/>
              <w:szCs w:val="24"/>
            </w:rPr>
            <w:instrText xml:space="preserve"> CITATION Hea16 \l 2057 </w:instrText>
          </w:r>
          <w:r>
            <w:rPr>
              <w:rFonts w:ascii="Arial" w:hAnsi="Arial" w:cs="Arial"/>
              <w:sz w:val="24"/>
              <w:szCs w:val="24"/>
            </w:rPr>
            <w:fldChar w:fldCharType="separate"/>
          </w:r>
          <w:r w:rsidRPr="004138E4">
            <w:rPr>
              <w:rFonts w:ascii="Arial" w:hAnsi="Arial" w:cs="Arial"/>
              <w:noProof/>
              <w:sz w:val="24"/>
              <w:szCs w:val="24"/>
            </w:rPr>
            <w:t>(Heaton &amp; Tong, 2016)</w:t>
          </w:r>
          <w:r>
            <w:rPr>
              <w:rFonts w:ascii="Arial" w:hAnsi="Arial" w:cs="Arial"/>
              <w:sz w:val="24"/>
              <w:szCs w:val="24"/>
            </w:rPr>
            <w:fldChar w:fldCharType="end"/>
          </w:r>
        </w:sdtContent>
      </w:sdt>
      <w:r>
        <w:rPr>
          <w:rFonts w:ascii="Arial" w:hAnsi="Arial" w:cs="Arial"/>
          <w:sz w:val="24"/>
          <w:szCs w:val="24"/>
        </w:rPr>
        <w:t xml:space="preserve"> </w:t>
      </w:r>
      <w:r w:rsidRPr="00ED0E38">
        <w:rPr>
          <w:rFonts w:ascii="Arial" w:hAnsi="Arial" w:cs="Arial"/>
          <w:sz w:val="24"/>
          <w:szCs w:val="24"/>
        </w:rPr>
        <w:t xml:space="preserve">and the growth in individual </w:t>
      </w:r>
      <w:r w:rsidRPr="00ED0E38">
        <w:rPr>
          <w:rFonts w:ascii="Arial" w:hAnsi="Arial" w:cs="Arial"/>
          <w:sz w:val="24"/>
          <w:szCs w:val="24"/>
        </w:rPr>
        <w:lastRenderedPageBreak/>
        <w:t>police forces developing their own approaches based on academic research and trials</w:t>
      </w:r>
      <w:r>
        <w:rPr>
          <w:rFonts w:ascii="Arial" w:hAnsi="Arial" w:cs="Arial"/>
          <w:sz w:val="24"/>
          <w:szCs w:val="24"/>
        </w:rPr>
        <w:t xml:space="preserve"> </w:t>
      </w:r>
      <w:sdt>
        <w:sdtPr>
          <w:rPr>
            <w:rFonts w:ascii="Arial" w:hAnsi="Arial" w:cs="Arial"/>
            <w:sz w:val="24"/>
            <w:szCs w:val="24"/>
          </w:rPr>
          <w:id w:val="-639580493"/>
          <w:citation/>
        </w:sdtPr>
        <w:sdtEndPr/>
        <w:sdtContent>
          <w:r>
            <w:rPr>
              <w:rFonts w:ascii="Arial" w:hAnsi="Arial" w:cs="Arial"/>
              <w:sz w:val="24"/>
              <w:szCs w:val="24"/>
            </w:rPr>
            <w:fldChar w:fldCharType="begin"/>
          </w:r>
          <w:r>
            <w:rPr>
              <w:rFonts w:ascii="Arial" w:hAnsi="Arial" w:cs="Arial"/>
              <w:sz w:val="24"/>
              <w:szCs w:val="24"/>
            </w:rPr>
            <w:instrText xml:space="preserve"> CITATION Rou19 \l 2057 </w:instrText>
          </w:r>
          <w:r>
            <w:rPr>
              <w:rFonts w:ascii="Arial" w:hAnsi="Arial" w:cs="Arial"/>
              <w:sz w:val="24"/>
              <w:szCs w:val="24"/>
            </w:rPr>
            <w:fldChar w:fldCharType="separate"/>
          </w:r>
          <w:r w:rsidRPr="004138E4">
            <w:rPr>
              <w:rFonts w:ascii="Arial" w:hAnsi="Arial" w:cs="Arial"/>
              <w:noProof/>
              <w:sz w:val="24"/>
              <w:szCs w:val="24"/>
            </w:rPr>
            <w:t>(Routledge &amp; Weir, 2019)</w:t>
          </w:r>
          <w:r>
            <w:rPr>
              <w:rFonts w:ascii="Arial" w:hAnsi="Arial" w:cs="Arial"/>
              <w:sz w:val="24"/>
              <w:szCs w:val="24"/>
            </w:rPr>
            <w:fldChar w:fldCharType="end"/>
          </w:r>
        </w:sdtContent>
      </w:sdt>
      <w:r>
        <w:rPr>
          <w:rFonts w:ascii="Arial" w:hAnsi="Arial" w:cs="Arial"/>
          <w:sz w:val="24"/>
          <w:szCs w:val="24"/>
        </w:rPr>
        <w:t>. This can however pose some potential challenges, with a mixed and inconsistent approach</w:t>
      </w:r>
      <w:r w:rsidR="00B03753">
        <w:rPr>
          <w:rFonts w:ascii="Arial" w:hAnsi="Arial" w:cs="Arial"/>
          <w:sz w:val="24"/>
          <w:szCs w:val="24"/>
        </w:rPr>
        <w:t xml:space="preserve"> towards substance users taking place across towns and cities. T</w:t>
      </w:r>
      <w:r>
        <w:rPr>
          <w:rFonts w:ascii="Arial" w:hAnsi="Arial" w:cs="Arial"/>
          <w:sz w:val="24"/>
          <w:szCs w:val="24"/>
        </w:rPr>
        <w:t>herefore</w:t>
      </w:r>
      <w:r w:rsidR="00B03753">
        <w:rPr>
          <w:rFonts w:ascii="Arial" w:hAnsi="Arial" w:cs="Arial"/>
          <w:sz w:val="24"/>
          <w:szCs w:val="24"/>
        </w:rPr>
        <w:t>, the current Home Office policy making</w:t>
      </w:r>
      <w:r w:rsidR="00BD3FF6">
        <w:rPr>
          <w:rFonts w:ascii="Arial" w:hAnsi="Arial" w:cs="Arial"/>
          <w:sz w:val="24"/>
          <w:szCs w:val="24"/>
        </w:rPr>
        <w:t>,</w:t>
      </w:r>
      <w:r w:rsidR="00B03753">
        <w:rPr>
          <w:rFonts w:ascii="Arial" w:hAnsi="Arial" w:cs="Arial"/>
          <w:sz w:val="24"/>
          <w:szCs w:val="24"/>
        </w:rPr>
        <w:t xml:space="preserve"> </w:t>
      </w:r>
      <w:r w:rsidR="00BD3FF6">
        <w:rPr>
          <w:rFonts w:ascii="Arial" w:hAnsi="Arial" w:cs="Arial"/>
          <w:sz w:val="24"/>
          <w:szCs w:val="24"/>
        </w:rPr>
        <w:t xml:space="preserve">which is </w:t>
      </w:r>
      <w:r w:rsidR="00B03753">
        <w:rPr>
          <w:rFonts w:ascii="Arial" w:hAnsi="Arial" w:cs="Arial"/>
          <w:sz w:val="24"/>
          <w:szCs w:val="24"/>
        </w:rPr>
        <w:t xml:space="preserve">aimed at </w:t>
      </w:r>
      <w:r w:rsidR="00BD3FF6">
        <w:rPr>
          <w:rFonts w:ascii="Arial" w:hAnsi="Arial" w:cs="Arial"/>
          <w:sz w:val="24"/>
          <w:szCs w:val="24"/>
        </w:rPr>
        <w:t xml:space="preserve">streamlining </w:t>
      </w:r>
      <w:r w:rsidR="00B03753">
        <w:rPr>
          <w:rFonts w:ascii="Arial" w:hAnsi="Arial" w:cs="Arial"/>
          <w:sz w:val="24"/>
          <w:szCs w:val="24"/>
        </w:rPr>
        <w:t>OOCDs</w:t>
      </w:r>
      <w:r w:rsidR="00BD3FF6">
        <w:rPr>
          <w:rFonts w:ascii="Arial" w:hAnsi="Arial" w:cs="Arial"/>
          <w:sz w:val="24"/>
          <w:szCs w:val="24"/>
        </w:rPr>
        <w:t>,</w:t>
      </w:r>
      <w:r w:rsidR="00B03753">
        <w:rPr>
          <w:rFonts w:ascii="Arial" w:hAnsi="Arial" w:cs="Arial"/>
          <w:sz w:val="24"/>
          <w:szCs w:val="24"/>
        </w:rPr>
        <w:t xml:space="preserve"> is an important</w:t>
      </w:r>
      <w:r>
        <w:rPr>
          <w:rFonts w:ascii="Arial" w:hAnsi="Arial" w:cs="Arial"/>
          <w:sz w:val="24"/>
          <w:szCs w:val="24"/>
        </w:rPr>
        <w:t xml:space="preserve"> </w:t>
      </w:r>
      <w:r w:rsidR="00B03753">
        <w:rPr>
          <w:rFonts w:ascii="Arial" w:hAnsi="Arial" w:cs="Arial"/>
          <w:sz w:val="24"/>
          <w:szCs w:val="24"/>
        </w:rPr>
        <w:t>step in achieving a consistency of approach</w:t>
      </w:r>
      <w:r w:rsidR="00C9229D">
        <w:rPr>
          <w:rFonts w:ascii="Arial" w:hAnsi="Arial" w:cs="Arial"/>
          <w:sz w:val="24"/>
          <w:szCs w:val="24"/>
        </w:rPr>
        <w:t xml:space="preserve"> for the most vulnerable people in the community.</w:t>
      </w:r>
    </w:p>
    <w:p w14:paraId="3AF3DE30" w14:textId="25A37853" w:rsidR="00935D47" w:rsidRDefault="00935D47" w:rsidP="008275C8">
      <w:pPr>
        <w:rPr>
          <w:rFonts w:ascii="Arial" w:hAnsi="Arial" w:cs="Arial"/>
          <w:sz w:val="24"/>
          <w:szCs w:val="24"/>
        </w:rPr>
      </w:pPr>
    </w:p>
    <w:p w14:paraId="367CE47F" w14:textId="7E687551" w:rsidR="008275C8" w:rsidRPr="00487068" w:rsidRDefault="008275C8" w:rsidP="008275C8">
      <w:pPr>
        <w:pStyle w:val="Heading1"/>
        <w:rPr>
          <w:b/>
          <w:bCs/>
        </w:rPr>
      </w:pPr>
      <w:r w:rsidRPr="00487068">
        <w:rPr>
          <w:b/>
          <w:bCs/>
        </w:rPr>
        <w:t>ADDRESSING THE CHALLENGE</w:t>
      </w:r>
    </w:p>
    <w:p w14:paraId="6B9F2572" w14:textId="56EE4E2F" w:rsidR="0042013D" w:rsidRPr="0042013D" w:rsidRDefault="0042013D" w:rsidP="0042013D">
      <w:pPr>
        <w:pStyle w:val="NormalWeb"/>
        <w:shd w:val="clear" w:color="auto" w:fill="FFFFFF"/>
        <w:spacing w:before="300" w:beforeAutospacing="0" w:after="300" w:afterAutospacing="0" w:line="480" w:lineRule="auto"/>
        <w:jc w:val="both"/>
        <w:rPr>
          <w:rFonts w:ascii="Arial" w:hAnsi="Arial" w:cs="Arial"/>
          <w:color w:val="0B0C0C"/>
        </w:rPr>
      </w:pPr>
      <w:r w:rsidRPr="0042013D">
        <w:rPr>
          <w:rFonts w:ascii="Arial" w:hAnsi="Arial" w:cs="Arial"/>
          <w:color w:val="0B0C0C"/>
        </w:rPr>
        <w:t xml:space="preserve">The National Police Chiefs’ Council (NPCC) has supported the move to a two-tier structure and published a strategy </w:t>
      </w:r>
      <w:sdt>
        <w:sdtPr>
          <w:rPr>
            <w:rFonts w:ascii="Arial" w:hAnsi="Arial" w:cs="Arial"/>
            <w:color w:val="0B0C0C"/>
          </w:rPr>
          <w:id w:val="1814133916"/>
          <w:citation/>
        </w:sdtPr>
        <w:sdtEndPr/>
        <w:sdtContent>
          <w:r w:rsidRPr="0042013D">
            <w:rPr>
              <w:rFonts w:ascii="Arial" w:hAnsi="Arial" w:cs="Arial"/>
              <w:color w:val="0B0C0C"/>
            </w:rPr>
            <w:fldChar w:fldCharType="begin"/>
          </w:r>
          <w:r w:rsidRPr="0042013D">
            <w:rPr>
              <w:rFonts w:ascii="Arial" w:hAnsi="Arial" w:cs="Arial"/>
              <w:color w:val="0B0C0C"/>
            </w:rPr>
            <w:instrText xml:space="preserve"> CITATION Nat17 \l 2057 </w:instrText>
          </w:r>
          <w:r w:rsidRPr="0042013D">
            <w:rPr>
              <w:rFonts w:ascii="Arial" w:hAnsi="Arial" w:cs="Arial"/>
              <w:color w:val="0B0C0C"/>
            </w:rPr>
            <w:fldChar w:fldCharType="separate"/>
          </w:r>
          <w:r w:rsidRPr="0042013D">
            <w:rPr>
              <w:rFonts w:ascii="Arial" w:hAnsi="Arial" w:cs="Arial"/>
              <w:noProof/>
              <w:color w:val="0B0C0C"/>
            </w:rPr>
            <w:t>(National Police Chiefs' Council, 2017)</w:t>
          </w:r>
          <w:r w:rsidRPr="0042013D">
            <w:rPr>
              <w:rFonts w:ascii="Arial" w:hAnsi="Arial" w:cs="Arial"/>
              <w:color w:val="0B0C0C"/>
            </w:rPr>
            <w:fldChar w:fldCharType="end"/>
          </w:r>
        </w:sdtContent>
      </w:sdt>
      <w:r w:rsidRPr="0042013D">
        <w:rPr>
          <w:rFonts w:ascii="Arial" w:hAnsi="Arial" w:cs="Arial"/>
          <w:color w:val="0B0C0C"/>
        </w:rPr>
        <w:t xml:space="preserve"> encouraging a voluntary move by forces to use only conditional cautions and community resolutions. Primary legislation will be introduced in 2022 to establish two OOCDs in statute</w:t>
      </w:r>
      <w:r w:rsidR="004F5FA4">
        <w:rPr>
          <w:rFonts w:ascii="Arial" w:hAnsi="Arial" w:cs="Arial"/>
          <w:color w:val="0B0C0C"/>
        </w:rPr>
        <w:t>:</w:t>
      </w:r>
    </w:p>
    <w:p w14:paraId="536C736F" w14:textId="0CE504E6" w:rsidR="0042013D" w:rsidRPr="0042013D" w:rsidRDefault="0042013D" w:rsidP="0042013D">
      <w:pPr>
        <w:pStyle w:val="NormalWeb"/>
        <w:numPr>
          <w:ilvl w:val="0"/>
          <w:numId w:val="38"/>
        </w:numPr>
        <w:shd w:val="clear" w:color="auto" w:fill="FFFFFF"/>
        <w:spacing w:before="0" w:beforeAutospacing="0" w:after="0" w:afterAutospacing="0" w:line="480" w:lineRule="auto"/>
        <w:jc w:val="both"/>
        <w:rPr>
          <w:rFonts w:ascii="Arial" w:hAnsi="Arial" w:cs="Arial"/>
          <w:color w:val="0B0C0C"/>
        </w:rPr>
      </w:pPr>
      <w:r w:rsidRPr="0042013D">
        <w:rPr>
          <w:rFonts w:ascii="Arial" w:hAnsi="Arial" w:cs="Arial"/>
          <w:color w:val="0B0C0C"/>
        </w:rPr>
        <w:t>Diversionary Caution, which will allow police to set enforceable conditions (engagement with mental health or substance abuse services). Diversionary cautions will become spent after three months, or, if earlier, when a prosecution is commenced due to non-compliance in line with the current conditional caution.</w:t>
      </w:r>
    </w:p>
    <w:p w14:paraId="02954E42" w14:textId="77777777" w:rsidR="0042013D" w:rsidRPr="0042013D" w:rsidRDefault="0042013D" w:rsidP="0042013D">
      <w:pPr>
        <w:pStyle w:val="NormalWeb"/>
        <w:numPr>
          <w:ilvl w:val="0"/>
          <w:numId w:val="38"/>
        </w:numPr>
        <w:shd w:val="clear" w:color="auto" w:fill="FFFFFF"/>
        <w:spacing w:before="0" w:beforeAutospacing="0" w:after="0" w:afterAutospacing="0" w:line="480" w:lineRule="auto"/>
        <w:jc w:val="both"/>
        <w:rPr>
          <w:rFonts w:ascii="Arial" w:hAnsi="Arial" w:cs="Arial"/>
          <w:color w:val="0B0C0C"/>
        </w:rPr>
      </w:pPr>
      <w:r w:rsidRPr="0042013D">
        <w:rPr>
          <w:rFonts w:ascii="Arial" w:hAnsi="Arial" w:cs="Arial"/>
          <w:color w:val="0B0C0C"/>
        </w:rPr>
        <w:t>Community Caution, which is along the lines of the current Community Resolution and is intended for low-level offences and will become spent immediately.</w:t>
      </w:r>
    </w:p>
    <w:p w14:paraId="40053499" w14:textId="77777777" w:rsidR="00CB3C5E" w:rsidRDefault="00CB3C5E" w:rsidP="00E42CF0">
      <w:pPr>
        <w:spacing w:line="480" w:lineRule="auto"/>
        <w:jc w:val="both"/>
        <w:rPr>
          <w:rFonts w:ascii="Arial" w:hAnsi="Arial" w:cs="Arial"/>
          <w:sz w:val="24"/>
          <w:szCs w:val="24"/>
        </w:rPr>
      </w:pPr>
    </w:p>
    <w:p w14:paraId="26843E23" w14:textId="6D387203" w:rsidR="00CB3C5E" w:rsidRDefault="004A3DCC" w:rsidP="00E42CF0">
      <w:pPr>
        <w:spacing w:line="480" w:lineRule="auto"/>
        <w:jc w:val="both"/>
        <w:rPr>
          <w:rFonts w:ascii="Arial" w:hAnsi="Arial" w:cs="Arial"/>
          <w:sz w:val="24"/>
          <w:szCs w:val="24"/>
        </w:rPr>
      </w:pPr>
      <w:r>
        <w:rPr>
          <w:rFonts w:ascii="Arial" w:hAnsi="Arial" w:cs="Arial"/>
          <w:sz w:val="24"/>
          <w:szCs w:val="24"/>
        </w:rPr>
        <w:lastRenderedPageBreak/>
        <w:t xml:space="preserve">What is noticeable is that Forces are being asked to voluntarily use these outcomes and there is flexibility in terms of local adoption. </w:t>
      </w:r>
      <w:r w:rsidR="00CB3C5E">
        <w:rPr>
          <w:rFonts w:ascii="Arial" w:hAnsi="Arial" w:cs="Arial"/>
          <w:sz w:val="24"/>
          <w:szCs w:val="24"/>
        </w:rPr>
        <w:t>Therefore, in deciding what approach to take, it is useful to consider what has worked up to this stage</w:t>
      </w:r>
    </w:p>
    <w:p w14:paraId="29C93939" w14:textId="77777777" w:rsidR="0042013D" w:rsidRDefault="0042013D" w:rsidP="00E42CF0">
      <w:pPr>
        <w:spacing w:line="480" w:lineRule="auto"/>
        <w:jc w:val="both"/>
        <w:rPr>
          <w:rFonts w:ascii="Arial" w:hAnsi="Arial" w:cs="Arial"/>
          <w:b/>
          <w:bCs/>
          <w:i/>
          <w:iCs/>
          <w:sz w:val="24"/>
          <w:szCs w:val="24"/>
        </w:rPr>
      </w:pPr>
      <w:r>
        <w:rPr>
          <w:rFonts w:ascii="Arial" w:hAnsi="Arial" w:cs="Arial"/>
          <w:b/>
          <w:bCs/>
          <w:i/>
          <w:iCs/>
          <w:sz w:val="24"/>
          <w:szCs w:val="24"/>
        </w:rPr>
        <w:t>Diversionary Caution</w:t>
      </w:r>
    </w:p>
    <w:p w14:paraId="062180A0" w14:textId="0F6B519A" w:rsidR="00535B5E" w:rsidRPr="008E3470" w:rsidRDefault="00393440" w:rsidP="00E42CF0">
      <w:pPr>
        <w:spacing w:line="480" w:lineRule="auto"/>
        <w:jc w:val="both"/>
        <w:rPr>
          <w:rFonts w:ascii="Arial" w:hAnsi="Arial" w:cs="Arial"/>
          <w:sz w:val="24"/>
          <w:szCs w:val="24"/>
        </w:rPr>
      </w:pPr>
      <w:r>
        <w:rPr>
          <w:rFonts w:ascii="Arial" w:hAnsi="Arial" w:cs="Arial"/>
          <w:sz w:val="24"/>
          <w:szCs w:val="24"/>
        </w:rPr>
        <w:t>T</w:t>
      </w:r>
      <w:r w:rsidR="00535B5E" w:rsidRPr="008E3470">
        <w:rPr>
          <w:rFonts w:ascii="Arial" w:hAnsi="Arial" w:cs="Arial"/>
          <w:sz w:val="24"/>
          <w:szCs w:val="24"/>
        </w:rPr>
        <w:t xml:space="preserve">here have been multiple </w:t>
      </w:r>
      <w:r w:rsidR="00087862" w:rsidRPr="008E3470">
        <w:rPr>
          <w:rFonts w:ascii="Arial" w:hAnsi="Arial" w:cs="Arial"/>
          <w:sz w:val="24"/>
          <w:szCs w:val="24"/>
        </w:rPr>
        <w:t xml:space="preserve">‘deferred prosecution’ </w:t>
      </w:r>
      <w:r w:rsidR="00535B5E" w:rsidRPr="008E3470">
        <w:rPr>
          <w:rFonts w:ascii="Arial" w:hAnsi="Arial" w:cs="Arial"/>
          <w:sz w:val="24"/>
          <w:szCs w:val="24"/>
        </w:rPr>
        <w:t>schemes across the UK</w:t>
      </w:r>
      <w:r w:rsidR="0042013D">
        <w:rPr>
          <w:rFonts w:ascii="Arial" w:hAnsi="Arial" w:cs="Arial"/>
          <w:sz w:val="24"/>
          <w:szCs w:val="24"/>
        </w:rPr>
        <w:t xml:space="preserve"> which have also featured the concept of </w:t>
      </w:r>
      <w:r w:rsidR="008E3470" w:rsidRPr="008E3470">
        <w:rPr>
          <w:rFonts w:ascii="Arial" w:hAnsi="Arial" w:cs="Arial"/>
          <w:sz w:val="24"/>
          <w:szCs w:val="24"/>
        </w:rPr>
        <w:t>c</w:t>
      </w:r>
      <w:r w:rsidR="00535B5E" w:rsidRPr="008E3470">
        <w:rPr>
          <w:rFonts w:ascii="Arial" w:hAnsi="Arial" w:cs="Arial"/>
          <w:sz w:val="24"/>
          <w:szCs w:val="24"/>
        </w:rPr>
        <w:t xml:space="preserve">onditions </w:t>
      </w:r>
      <w:r w:rsidR="0042013D">
        <w:rPr>
          <w:rFonts w:ascii="Arial" w:hAnsi="Arial" w:cs="Arial"/>
          <w:sz w:val="24"/>
          <w:szCs w:val="24"/>
        </w:rPr>
        <w:t>being</w:t>
      </w:r>
      <w:r w:rsidR="008E3470" w:rsidRPr="008E3470">
        <w:rPr>
          <w:rFonts w:ascii="Arial" w:hAnsi="Arial" w:cs="Arial"/>
          <w:sz w:val="24"/>
          <w:szCs w:val="24"/>
        </w:rPr>
        <w:t xml:space="preserve"> s</w:t>
      </w:r>
      <w:r w:rsidR="00535B5E" w:rsidRPr="008E3470">
        <w:rPr>
          <w:rFonts w:ascii="Arial" w:hAnsi="Arial" w:cs="Arial"/>
          <w:sz w:val="24"/>
          <w:szCs w:val="24"/>
        </w:rPr>
        <w:t>et</w:t>
      </w:r>
      <w:r w:rsidR="00087862">
        <w:rPr>
          <w:rFonts w:ascii="Arial" w:hAnsi="Arial" w:cs="Arial"/>
          <w:sz w:val="24"/>
          <w:szCs w:val="24"/>
        </w:rPr>
        <w:t xml:space="preserve"> and w</w:t>
      </w:r>
      <w:r w:rsidR="0042013D">
        <w:rPr>
          <w:rFonts w:ascii="Arial" w:hAnsi="Arial" w:cs="Arial"/>
          <w:sz w:val="24"/>
          <w:szCs w:val="24"/>
        </w:rPr>
        <w:t>here</w:t>
      </w:r>
      <w:r w:rsidR="00087862">
        <w:rPr>
          <w:rFonts w:ascii="Arial" w:hAnsi="Arial" w:cs="Arial"/>
          <w:sz w:val="24"/>
          <w:szCs w:val="24"/>
        </w:rPr>
        <w:t xml:space="preserve"> compliance </w:t>
      </w:r>
      <w:r w:rsidR="0042013D">
        <w:rPr>
          <w:rFonts w:ascii="Arial" w:hAnsi="Arial" w:cs="Arial"/>
          <w:sz w:val="24"/>
          <w:szCs w:val="24"/>
        </w:rPr>
        <w:t xml:space="preserve">leads to </w:t>
      </w:r>
      <w:r w:rsidR="00535B5E" w:rsidRPr="008E3470">
        <w:rPr>
          <w:rFonts w:ascii="Arial" w:hAnsi="Arial" w:cs="Arial"/>
          <w:sz w:val="24"/>
          <w:szCs w:val="24"/>
        </w:rPr>
        <w:t xml:space="preserve">prosecution not </w:t>
      </w:r>
      <w:r w:rsidR="0042013D">
        <w:rPr>
          <w:rFonts w:ascii="Arial" w:hAnsi="Arial" w:cs="Arial"/>
          <w:sz w:val="24"/>
          <w:szCs w:val="24"/>
        </w:rPr>
        <w:t xml:space="preserve">being </w:t>
      </w:r>
      <w:r w:rsidR="00535B5E" w:rsidRPr="008E3470">
        <w:rPr>
          <w:rFonts w:ascii="Arial" w:hAnsi="Arial" w:cs="Arial"/>
          <w:sz w:val="24"/>
          <w:szCs w:val="24"/>
        </w:rPr>
        <w:t xml:space="preserve">enacted and </w:t>
      </w:r>
      <w:r w:rsidR="008E3470" w:rsidRPr="008E3470">
        <w:rPr>
          <w:rFonts w:ascii="Arial" w:hAnsi="Arial" w:cs="Arial"/>
          <w:sz w:val="24"/>
          <w:szCs w:val="24"/>
        </w:rPr>
        <w:t xml:space="preserve">there is </w:t>
      </w:r>
      <w:r w:rsidR="00535B5E" w:rsidRPr="008E3470">
        <w:rPr>
          <w:rFonts w:ascii="Arial" w:hAnsi="Arial" w:cs="Arial"/>
          <w:sz w:val="24"/>
          <w:szCs w:val="24"/>
        </w:rPr>
        <w:t>no record</w:t>
      </w:r>
      <w:r w:rsidR="008E3470" w:rsidRPr="008E3470">
        <w:rPr>
          <w:rFonts w:ascii="Arial" w:hAnsi="Arial" w:cs="Arial"/>
          <w:sz w:val="24"/>
          <w:szCs w:val="24"/>
        </w:rPr>
        <w:t xml:space="preserve"> that the </w:t>
      </w:r>
      <w:r w:rsidR="00535B5E" w:rsidRPr="008E3470">
        <w:rPr>
          <w:rFonts w:ascii="Arial" w:hAnsi="Arial" w:cs="Arial"/>
          <w:sz w:val="24"/>
          <w:szCs w:val="24"/>
        </w:rPr>
        <w:t xml:space="preserve">offence took place. </w:t>
      </w:r>
      <w:r w:rsidR="00087862">
        <w:rPr>
          <w:rFonts w:ascii="Arial" w:hAnsi="Arial" w:cs="Arial"/>
          <w:sz w:val="24"/>
          <w:szCs w:val="24"/>
        </w:rPr>
        <w:t>I</w:t>
      </w:r>
      <w:r w:rsidR="00535B5E" w:rsidRPr="008E3470">
        <w:rPr>
          <w:rFonts w:ascii="Arial" w:hAnsi="Arial" w:cs="Arial"/>
          <w:sz w:val="24"/>
          <w:szCs w:val="24"/>
        </w:rPr>
        <w:t>f conditions are not met, the person is prosecuted</w:t>
      </w:r>
    </w:p>
    <w:p w14:paraId="6A22B52F" w14:textId="7FE44443" w:rsidR="00E42CF0" w:rsidRPr="008E3470" w:rsidRDefault="00535B5E" w:rsidP="00E42CF0">
      <w:pPr>
        <w:spacing w:line="480" w:lineRule="auto"/>
        <w:jc w:val="both"/>
        <w:rPr>
          <w:rFonts w:ascii="Arial" w:hAnsi="Arial" w:cs="Arial"/>
          <w:sz w:val="24"/>
          <w:szCs w:val="24"/>
          <w:shd w:val="clear" w:color="auto" w:fill="FFFFFF"/>
        </w:rPr>
      </w:pPr>
      <w:r w:rsidRPr="008E3470">
        <w:rPr>
          <w:rFonts w:ascii="Arial" w:hAnsi="Arial" w:cs="Arial"/>
          <w:sz w:val="24"/>
          <w:szCs w:val="24"/>
        </w:rPr>
        <w:t xml:space="preserve">Thames </w:t>
      </w:r>
      <w:r w:rsidR="008E3470" w:rsidRPr="008E3470">
        <w:rPr>
          <w:rFonts w:ascii="Arial" w:hAnsi="Arial" w:cs="Arial"/>
          <w:sz w:val="24"/>
          <w:szCs w:val="24"/>
        </w:rPr>
        <w:t>Valley Police</w:t>
      </w:r>
      <w:r w:rsidRPr="008E3470">
        <w:rPr>
          <w:rFonts w:ascii="Arial" w:hAnsi="Arial" w:cs="Arial"/>
          <w:sz w:val="24"/>
          <w:szCs w:val="24"/>
        </w:rPr>
        <w:t xml:space="preserve"> claim </w:t>
      </w:r>
      <w:r w:rsidR="00087862">
        <w:rPr>
          <w:rFonts w:ascii="Arial" w:hAnsi="Arial" w:cs="Arial"/>
          <w:sz w:val="24"/>
          <w:szCs w:val="24"/>
        </w:rPr>
        <w:t xml:space="preserve">that in their </w:t>
      </w:r>
      <w:r w:rsidR="00087862" w:rsidRPr="008E3470">
        <w:rPr>
          <w:rFonts w:ascii="Arial" w:hAnsi="Arial" w:cs="Arial"/>
          <w:sz w:val="24"/>
          <w:szCs w:val="24"/>
        </w:rPr>
        <w:t xml:space="preserve">Drugs Diversion Pilot (DDP) </w:t>
      </w:r>
      <w:r w:rsidRPr="008E3470">
        <w:rPr>
          <w:rFonts w:ascii="Arial" w:hAnsi="Arial" w:cs="Arial"/>
          <w:sz w:val="24"/>
          <w:szCs w:val="24"/>
        </w:rPr>
        <w:t>that</w:t>
      </w:r>
      <w:r w:rsidR="00087862">
        <w:rPr>
          <w:rFonts w:ascii="Arial" w:hAnsi="Arial" w:cs="Arial"/>
          <w:sz w:val="24"/>
          <w:szCs w:val="24"/>
          <w:shd w:val="clear" w:color="auto" w:fill="FFFFFF"/>
        </w:rPr>
        <w:t xml:space="preserve"> t</w:t>
      </w:r>
      <w:r w:rsidRPr="008E3470">
        <w:rPr>
          <w:rFonts w:ascii="Arial" w:hAnsi="Arial" w:cs="Arial"/>
          <w:sz w:val="24"/>
          <w:szCs w:val="24"/>
          <w:shd w:val="clear" w:color="auto" w:fill="FFFFFF"/>
        </w:rPr>
        <w:t>his ‘carrot</w:t>
      </w:r>
      <w:r w:rsidR="008E3470" w:rsidRPr="008E3470">
        <w:rPr>
          <w:rFonts w:ascii="Arial" w:hAnsi="Arial" w:cs="Arial"/>
          <w:sz w:val="24"/>
          <w:szCs w:val="24"/>
          <w:shd w:val="clear" w:color="auto" w:fill="FFFFFF"/>
        </w:rPr>
        <w:t xml:space="preserve"> </w:t>
      </w:r>
      <w:r w:rsidRPr="008E3470">
        <w:rPr>
          <w:rFonts w:ascii="Arial" w:hAnsi="Arial" w:cs="Arial"/>
          <w:sz w:val="24"/>
          <w:szCs w:val="24"/>
          <w:shd w:val="clear" w:color="auto" w:fill="FFFFFF"/>
        </w:rPr>
        <w:t>and stick’</w:t>
      </w:r>
      <w:r w:rsidR="008E3470" w:rsidRPr="008E3470">
        <w:rPr>
          <w:rFonts w:ascii="Arial" w:hAnsi="Arial" w:cs="Arial"/>
          <w:sz w:val="24"/>
          <w:szCs w:val="24"/>
          <w:shd w:val="clear" w:color="auto" w:fill="FFFFFF"/>
        </w:rPr>
        <w:t xml:space="preserve"> approach </w:t>
      </w:r>
      <w:r w:rsidR="00087862">
        <w:rPr>
          <w:rFonts w:ascii="Arial" w:hAnsi="Arial" w:cs="Arial"/>
          <w:sz w:val="24"/>
          <w:szCs w:val="24"/>
          <w:shd w:val="clear" w:color="auto" w:fill="FFFFFF"/>
        </w:rPr>
        <w:t>is effective but t</w:t>
      </w:r>
      <w:r w:rsidR="008E3470" w:rsidRPr="008E3470">
        <w:rPr>
          <w:rFonts w:ascii="Arial" w:hAnsi="Arial" w:cs="Arial"/>
          <w:sz w:val="24"/>
          <w:szCs w:val="24"/>
          <w:shd w:val="clear" w:color="auto" w:fill="FFFFFF"/>
        </w:rPr>
        <w:t xml:space="preserve">his seems to be </w:t>
      </w:r>
      <w:r w:rsidRPr="008E3470">
        <w:rPr>
          <w:rFonts w:ascii="Arial" w:hAnsi="Arial" w:cs="Arial"/>
          <w:sz w:val="24"/>
          <w:szCs w:val="24"/>
          <w:shd w:val="clear" w:color="auto" w:fill="FFFFFF"/>
        </w:rPr>
        <w:t xml:space="preserve">in contrast </w:t>
      </w:r>
      <w:r w:rsidR="00087862">
        <w:rPr>
          <w:rFonts w:ascii="Arial" w:hAnsi="Arial" w:cs="Arial"/>
          <w:sz w:val="24"/>
          <w:szCs w:val="24"/>
          <w:shd w:val="clear" w:color="auto" w:fill="FFFFFF"/>
        </w:rPr>
        <w:t>with</w:t>
      </w:r>
      <w:r w:rsidRPr="008E3470">
        <w:rPr>
          <w:rFonts w:ascii="Arial" w:hAnsi="Arial" w:cs="Arial"/>
          <w:sz w:val="24"/>
          <w:szCs w:val="24"/>
          <w:shd w:val="clear" w:color="auto" w:fill="FFFFFF"/>
        </w:rPr>
        <w:t xml:space="preserve"> research which states that the threat of further sanctions should be avoided as this may actually deter the person from willingly engaging</w:t>
      </w:r>
      <w:r w:rsidR="008E3470" w:rsidRPr="008E3470">
        <w:rPr>
          <w:rFonts w:ascii="Arial" w:hAnsi="Arial" w:cs="Arial"/>
          <w:sz w:val="24"/>
          <w:szCs w:val="24"/>
          <w:shd w:val="clear" w:color="auto" w:fill="FFFFFF"/>
        </w:rPr>
        <w:t xml:space="preserve"> </w:t>
      </w:r>
      <w:sdt>
        <w:sdtPr>
          <w:rPr>
            <w:rFonts w:ascii="Arial" w:hAnsi="Arial" w:cs="Arial"/>
            <w:sz w:val="24"/>
            <w:szCs w:val="24"/>
            <w:shd w:val="clear" w:color="auto" w:fill="FFFFFF"/>
          </w:rPr>
          <w:id w:val="613475952"/>
          <w:citation/>
        </w:sdtPr>
        <w:sdtEndPr/>
        <w:sdtContent>
          <w:r w:rsidR="008E3470" w:rsidRPr="008E3470">
            <w:rPr>
              <w:rFonts w:ascii="Arial" w:hAnsi="Arial" w:cs="Arial"/>
              <w:sz w:val="24"/>
              <w:szCs w:val="24"/>
              <w:shd w:val="clear" w:color="auto" w:fill="FFFFFF"/>
            </w:rPr>
            <w:fldChar w:fldCharType="begin"/>
          </w:r>
          <w:r w:rsidR="008E3470" w:rsidRPr="008E3470">
            <w:rPr>
              <w:rFonts w:ascii="Arial" w:hAnsi="Arial" w:cs="Arial"/>
              <w:sz w:val="24"/>
              <w:szCs w:val="24"/>
              <w:shd w:val="clear" w:color="auto" w:fill="FFFFFF"/>
            </w:rPr>
            <w:instrText xml:space="preserve"> CITATION Woo20 \l 2057 </w:instrText>
          </w:r>
          <w:r w:rsidR="008E3470" w:rsidRPr="008E3470">
            <w:rPr>
              <w:rFonts w:ascii="Arial" w:hAnsi="Arial" w:cs="Arial"/>
              <w:sz w:val="24"/>
              <w:szCs w:val="24"/>
              <w:shd w:val="clear" w:color="auto" w:fill="FFFFFF"/>
            </w:rPr>
            <w:fldChar w:fldCharType="separate"/>
          </w:r>
          <w:r w:rsidR="008E3470" w:rsidRPr="008E3470">
            <w:rPr>
              <w:rFonts w:ascii="Arial" w:hAnsi="Arial" w:cs="Arial"/>
              <w:noProof/>
              <w:sz w:val="24"/>
              <w:szCs w:val="24"/>
              <w:shd w:val="clear" w:color="auto" w:fill="FFFFFF"/>
            </w:rPr>
            <w:t>(Wood, 2020)</w:t>
          </w:r>
          <w:r w:rsidR="008E3470" w:rsidRPr="008E3470">
            <w:rPr>
              <w:rFonts w:ascii="Arial" w:hAnsi="Arial" w:cs="Arial"/>
              <w:sz w:val="24"/>
              <w:szCs w:val="24"/>
              <w:shd w:val="clear" w:color="auto" w:fill="FFFFFF"/>
            </w:rPr>
            <w:fldChar w:fldCharType="end"/>
          </w:r>
        </w:sdtContent>
      </w:sdt>
      <w:r w:rsidR="008E3470">
        <w:rPr>
          <w:rFonts w:ascii="Arial" w:hAnsi="Arial" w:cs="Arial"/>
          <w:sz w:val="24"/>
          <w:szCs w:val="24"/>
          <w:shd w:val="clear" w:color="auto" w:fill="FFFFFF"/>
        </w:rPr>
        <w:t xml:space="preserve">, and this should be a positive process </w:t>
      </w:r>
      <w:sdt>
        <w:sdtPr>
          <w:rPr>
            <w:rFonts w:ascii="Arial" w:hAnsi="Arial" w:cs="Arial"/>
            <w:sz w:val="24"/>
            <w:szCs w:val="24"/>
            <w:shd w:val="clear" w:color="auto" w:fill="FFFFFF"/>
          </w:rPr>
          <w:id w:val="1788777530"/>
          <w:citation/>
        </w:sdtPr>
        <w:sdtEndPr/>
        <w:sdtContent>
          <w:r w:rsidR="008E3470">
            <w:rPr>
              <w:rFonts w:ascii="Arial" w:hAnsi="Arial" w:cs="Arial"/>
              <w:sz w:val="24"/>
              <w:szCs w:val="24"/>
              <w:shd w:val="clear" w:color="auto" w:fill="FFFFFF"/>
            </w:rPr>
            <w:fldChar w:fldCharType="begin"/>
          </w:r>
          <w:r w:rsidR="008E3470">
            <w:rPr>
              <w:rFonts w:ascii="Arial" w:hAnsi="Arial" w:cs="Arial"/>
              <w:sz w:val="24"/>
              <w:szCs w:val="24"/>
              <w:shd w:val="clear" w:color="auto" w:fill="FFFFFF"/>
            </w:rPr>
            <w:instrText xml:space="preserve"> CITATION Tra22 \l 2057 </w:instrText>
          </w:r>
          <w:r w:rsidR="008E3470">
            <w:rPr>
              <w:rFonts w:ascii="Arial" w:hAnsi="Arial" w:cs="Arial"/>
              <w:sz w:val="24"/>
              <w:szCs w:val="24"/>
              <w:shd w:val="clear" w:color="auto" w:fill="FFFFFF"/>
            </w:rPr>
            <w:fldChar w:fldCharType="separate"/>
          </w:r>
          <w:r w:rsidR="008E3470" w:rsidRPr="008E3470">
            <w:rPr>
              <w:rFonts w:ascii="Arial" w:hAnsi="Arial" w:cs="Arial"/>
              <w:noProof/>
              <w:sz w:val="24"/>
              <w:szCs w:val="24"/>
              <w:shd w:val="clear" w:color="auto" w:fill="FFFFFF"/>
            </w:rPr>
            <w:t>(Transform, 2022)</w:t>
          </w:r>
          <w:r w:rsidR="008E3470">
            <w:rPr>
              <w:rFonts w:ascii="Arial" w:hAnsi="Arial" w:cs="Arial"/>
              <w:sz w:val="24"/>
              <w:szCs w:val="24"/>
              <w:shd w:val="clear" w:color="auto" w:fill="FFFFFF"/>
            </w:rPr>
            <w:fldChar w:fldCharType="end"/>
          </w:r>
        </w:sdtContent>
      </w:sdt>
      <w:r w:rsidR="008E3470">
        <w:rPr>
          <w:rFonts w:ascii="Arial" w:hAnsi="Arial" w:cs="Arial"/>
          <w:sz w:val="24"/>
          <w:szCs w:val="24"/>
          <w:shd w:val="clear" w:color="auto" w:fill="FFFFFF"/>
        </w:rPr>
        <w:t xml:space="preserve">. </w:t>
      </w:r>
    </w:p>
    <w:p w14:paraId="46DDCD63" w14:textId="289ACD9E" w:rsidR="00126D60" w:rsidRPr="00126D60" w:rsidRDefault="00126D60" w:rsidP="00814EF6">
      <w:pPr>
        <w:rPr>
          <w:rFonts w:ascii="Arial" w:eastAsia="Times New Roman" w:hAnsi="Arial" w:cs="Arial"/>
          <w:b/>
          <w:bCs/>
          <w:i/>
          <w:iCs/>
          <w:sz w:val="24"/>
          <w:szCs w:val="24"/>
        </w:rPr>
      </w:pPr>
      <w:r w:rsidRPr="00126D60">
        <w:rPr>
          <w:rFonts w:ascii="Arial" w:eastAsia="Times New Roman" w:hAnsi="Arial" w:cs="Arial"/>
          <w:b/>
          <w:bCs/>
          <w:i/>
          <w:iCs/>
          <w:sz w:val="24"/>
          <w:szCs w:val="24"/>
        </w:rPr>
        <w:t xml:space="preserve">Community </w:t>
      </w:r>
      <w:r w:rsidR="0042013D">
        <w:rPr>
          <w:rFonts w:ascii="Arial" w:eastAsia="Times New Roman" w:hAnsi="Arial" w:cs="Arial"/>
          <w:b/>
          <w:bCs/>
          <w:i/>
          <w:iCs/>
          <w:sz w:val="24"/>
          <w:szCs w:val="24"/>
        </w:rPr>
        <w:t>Caution</w:t>
      </w:r>
    </w:p>
    <w:p w14:paraId="3E5D8D0E" w14:textId="1BF56020" w:rsidR="00814EF6" w:rsidRPr="00E42CF0" w:rsidRDefault="00087862" w:rsidP="00E42CF0">
      <w:pPr>
        <w:spacing w:line="480" w:lineRule="auto"/>
        <w:jc w:val="both"/>
        <w:rPr>
          <w:rFonts w:ascii="Arial" w:eastAsia="Times New Roman" w:hAnsi="Arial" w:cs="Arial"/>
          <w:sz w:val="24"/>
          <w:szCs w:val="24"/>
        </w:rPr>
      </w:pPr>
      <w:r w:rsidRPr="00E42CF0">
        <w:rPr>
          <w:rFonts w:ascii="Arial" w:eastAsia="Times New Roman" w:hAnsi="Arial" w:cs="Arial"/>
          <w:sz w:val="24"/>
          <w:szCs w:val="24"/>
        </w:rPr>
        <w:t>In</w:t>
      </w:r>
      <w:r w:rsidR="0042013D">
        <w:rPr>
          <w:rFonts w:ascii="Arial" w:eastAsia="Times New Roman" w:hAnsi="Arial" w:cs="Arial"/>
          <w:sz w:val="24"/>
          <w:szCs w:val="24"/>
        </w:rPr>
        <w:t xml:space="preserve"> what is currently known as </w:t>
      </w:r>
      <w:r w:rsidRPr="00E42CF0">
        <w:rPr>
          <w:rFonts w:ascii="Arial" w:eastAsia="Times New Roman" w:hAnsi="Arial" w:cs="Arial"/>
          <w:sz w:val="24"/>
          <w:szCs w:val="24"/>
        </w:rPr>
        <w:t xml:space="preserve">a Community Resolution, </w:t>
      </w:r>
      <w:r w:rsidR="00126D60" w:rsidRPr="00E42CF0">
        <w:rPr>
          <w:rFonts w:ascii="Arial" w:eastAsia="Times New Roman" w:hAnsi="Arial" w:cs="Arial"/>
          <w:sz w:val="24"/>
          <w:szCs w:val="24"/>
        </w:rPr>
        <w:t xml:space="preserve">there </w:t>
      </w:r>
      <w:r w:rsidR="00814EF6" w:rsidRPr="00E42CF0">
        <w:rPr>
          <w:rFonts w:ascii="Arial" w:eastAsia="Times New Roman" w:hAnsi="Arial" w:cs="Arial"/>
          <w:sz w:val="24"/>
          <w:szCs w:val="24"/>
        </w:rPr>
        <w:t>is no requirement</w:t>
      </w:r>
      <w:r w:rsidR="007B3109" w:rsidRPr="00E42CF0">
        <w:rPr>
          <w:rFonts w:ascii="Arial" w:eastAsia="Times New Roman" w:hAnsi="Arial" w:cs="Arial"/>
          <w:sz w:val="24"/>
          <w:szCs w:val="24"/>
        </w:rPr>
        <w:t xml:space="preserve"> for the person </w:t>
      </w:r>
      <w:r w:rsidR="00814EF6" w:rsidRPr="00E42CF0">
        <w:rPr>
          <w:rFonts w:ascii="Arial" w:eastAsia="Times New Roman" w:hAnsi="Arial" w:cs="Arial"/>
          <w:sz w:val="24"/>
          <w:szCs w:val="24"/>
        </w:rPr>
        <w:t xml:space="preserve">to accept guilt, but there is a requirement to accept responsibility for their actions. </w:t>
      </w:r>
      <w:r w:rsidRPr="00E42CF0">
        <w:rPr>
          <w:rFonts w:ascii="Arial" w:eastAsia="Times New Roman" w:hAnsi="Arial" w:cs="Arial"/>
          <w:sz w:val="24"/>
          <w:szCs w:val="24"/>
        </w:rPr>
        <w:t xml:space="preserve">With this </w:t>
      </w:r>
      <w:r w:rsidR="00814EF6" w:rsidRPr="00E42CF0">
        <w:rPr>
          <w:rFonts w:ascii="Arial" w:eastAsia="Times New Roman" w:hAnsi="Arial" w:cs="Arial"/>
          <w:sz w:val="24"/>
          <w:szCs w:val="24"/>
        </w:rPr>
        <w:t>voluntary agreement</w:t>
      </w:r>
      <w:r w:rsidRPr="00E42CF0">
        <w:rPr>
          <w:rFonts w:ascii="Arial" w:eastAsia="Times New Roman" w:hAnsi="Arial" w:cs="Arial"/>
          <w:sz w:val="24"/>
          <w:szCs w:val="24"/>
        </w:rPr>
        <w:t xml:space="preserve">, </w:t>
      </w:r>
      <w:r w:rsidR="00814EF6" w:rsidRPr="00E42CF0">
        <w:rPr>
          <w:rFonts w:ascii="Arial" w:eastAsia="Times New Roman" w:hAnsi="Arial" w:cs="Arial"/>
          <w:sz w:val="24"/>
          <w:szCs w:val="24"/>
        </w:rPr>
        <w:t xml:space="preserve">conditions can be far reaching and can include a requirement to attend a drug service </w:t>
      </w:r>
      <w:r w:rsidRPr="00E42CF0">
        <w:rPr>
          <w:rFonts w:ascii="Arial" w:eastAsia="Times New Roman" w:hAnsi="Arial" w:cs="Arial"/>
          <w:sz w:val="24"/>
          <w:szCs w:val="24"/>
        </w:rPr>
        <w:t xml:space="preserve">provider, but </w:t>
      </w:r>
      <w:r w:rsidR="00814EF6" w:rsidRPr="00E42CF0">
        <w:rPr>
          <w:rFonts w:ascii="Arial" w:eastAsia="Times New Roman" w:hAnsi="Arial" w:cs="Arial"/>
          <w:sz w:val="24"/>
          <w:szCs w:val="24"/>
        </w:rPr>
        <w:t>non-compliance would result in no further action</w:t>
      </w:r>
      <w:r w:rsidRPr="00E42CF0">
        <w:rPr>
          <w:rFonts w:ascii="Arial" w:eastAsia="Times New Roman" w:hAnsi="Arial" w:cs="Arial"/>
          <w:sz w:val="24"/>
          <w:szCs w:val="24"/>
        </w:rPr>
        <w:t xml:space="preserve">. This is </w:t>
      </w:r>
      <w:r w:rsidR="00814EF6" w:rsidRPr="00E42CF0">
        <w:rPr>
          <w:rFonts w:ascii="Arial" w:eastAsia="Times New Roman" w:hAnsi="Arial" w:cs="Arial"/>
          <w:sz w:val="24"/>
          <w:szCs w:val="24"/>
        </w:rPr>
        <w:t>often preferred to deferred prosecutions</w:t>
      </w:r>
      <w:r w:rsidR="007B3109" w:rsidRPr="00E42CF0">
        <w:rPr>
          <w:rFonts w:ascii="Arial" w:eastAsia="Times New Roman" w:hAnsi="Arial" w:cs="Arial"/>
          <w:sz w:val="24"/>
          <w:szCs w:val="24"/>
        </w:rPr>
        <w:t xml:space="preserve"> as they </w:t>
      </w:r>
      <w:r w:rsidR="00814EF6" w:rsidRPr="00E42CF0">
        <w:rPr>
          <w:rFonts w:ascii="Arial" w:eastAsia="Times New Roman" w:hAnsi="Arial" w:cs="Arial"/>
          <w:sz w:val="24"/>
          <w:szCs w:val="24"/>
        </w:rPr>
        <w:t>avoid the coercive element that has been argued to be ineffective in the treatment of drug dependency</w:t>
      </w:r>
      <w:r w:rsidR="00126D60" w:rsidRPr="00E42CF0">
        <w:rPr>
          <w:rFonts w:ascii="Arial" w:eastAsia="Times New Roman" w:hAnsi="Arial" w:cs="Arial"/>
          <w:sz w:val="24"/>
          <w:szCs w:val="24"/>
        </w:rPr>
        <w:t xml:space="preserve"> </w:t>
      </w:r>
      <w:r w:rsidRPr="00E42CF0">
        <w:rPr>
          <w:rFonts w:ascii="Arial" w:eastAsia="Times New Roman" w:hAnsi="Arial" w:cs="Arial"/>
          <w:sz w:val="24"/>
          <w:szCs w:val="24"/>
        </w:rPr>
        <w:t xml:space="preserve">and people often </w:t>
      </w:r>
      <w:r w:rsidR="00847EA4">
        <w:rPr>
          <w:rFonts w:ascii="Arial" w:eastAsia="Times New Roman" w:hAnsi="Arial" w:cs="Arial"/>
          <w:sz w:val="24"/>
          <w:szCs w:val="24"/>
        </w:rPr>
        <w:t xml:space="preserve">relapse and </w:t>
      </w:r>
      <w:r w:rsidRPr="00E42CF0">
        <w:rPr>
          <w:rFonts w:ascii="Arial" w:eastAsia="Times New Roman" w:hAnsi="Arial" w:cs="Arial"/>
          <w:sz w:val="24"/>
          <w:szCs w:val="24"/>
        </w:rPr>
        <w:t xml:space="preserve">need multiple opportunities to recover from addiction </w:t>
      </w:r>
      <w:sdt>
        <w:sdtPr>
          <w:rPr>
            <w:rFonts w:ascii="Arial" w:eastAsia="Times New Roman" w:hAnsi="Arial" w:cs="Arial"/>
            <w:sz w:val="24"/>
            <w:szCs w:val="24"/>
          </w:rPr>
          <w:id w:val="463242444"/>
          <w:citation/>
        </w:sdtPr>
        <w:sdtEndPr/>
        <w:sdtContent>
          <w:r w:rsidR="00126D60" w:rsidRPr="00E42CF0">
            <w:rPr>
              <w:rFonts w:ascii="Arial" w:eastAsia="Times New Roman" w:hAnsi="Arial" w:cs="Arial"/>
              <w:sz w:val="24"/>
              <w:szCs w:val="24"/>
            </w:rPr>
            <w:fldChar w:fldCharType="begin"/>
          </w:r>
          <w:r w:rsidR="00126D60" w:rsidRPr="00E42CF0">
            <w:rPr>
              <w:rFonts w:ascii="Arial" w:eastAsia="Times New Roman" w:hAnsi="Arial" w:cs="Arial"/>
              <w:sz w:val="24"/>
              <w:szCs w:val="24"/>
            </w:rPr>
            <w:instrText xml:space="preserve"> CITATION And17 \l 2057 </w:instrText>
          </w:r>
          <w:r w:rsidR="00126D60" w:rsidRPr="00E42CF0">
            <w:rPr>
              <w:rFonts w:ascii="Arial" w:eastAsia="Times New Roman" w:hAnsi="Arial" w:cs="Arial"/>
              <w:sz w:val="24"/>
              <w:szCs w:val="24"/>
            </w:rPr>
            <w:fldChar w:fldCharType="separate"/>
          </w:r>
          <w:r w:rsidR="00126D60" w:rsidRPr="00E42CF0">
            <w:rPr>
              <w:rFonts w:ascii="Arial" w:eastAsia="Times New Roman" w:hAnsi="Arial" w:cs="Arial"/>
              <w:noProof/>
              <w:sz w:val="24"/>
              <w:szCs w:val="24"/>
            </w:rPr>
            <w:t>(Anderson &amp; Burris, 2017)</w:t>
          </w:r>
          <w:r w:rsidR="00126D60" w:rsidRPr="00E42CF0">
            <w:rPr>
              <w:rFonts w:ascii="Arial" w:eastAsia="Times New Roman" w:hAnsi="Arial" w:cs="Arial"/>
              <w:sz w:val="24"/>
              <w:szCs w:val="24"/>
            </w:rPr>
            <w:fldChar w:fldCharType="end"/>
          </w:r>
        </w:sdtContent>
      </w:sdt>
      <w:r w:rsidR="00126D60" w:rsidRPr="00E42CF0">
        <w:rPr>
          <w:rFonts w:ascii="Arial" w:eastAsia="Times New Roman" w:hAnsi="Arial" w:cs="Arial"/>
          <w:sz w:val="24"/>
          <w:szCs w:val="24"/>
        </w:rPr>
        <w:t xml:space="preserve"> </w:t>
      </w:r>
      <w:r w:rsidR="00814EF6" w:rsidRPr="00E42CF0">
        <w:rPr>
          <w:rFonts w:ascii="Arial" w:eastAsia="Times New Roman" w:hAnsi="Arial" w:cs="Arial"/>
          <w:sz w:val="24"/>
          <w:szCs w:val="24"/>
        </w:rPr>
        <w:t xml:space="preserve">. </w:t>
      </w:r>
    </w:p>
    <w:p w14:paraId="701ED6BF" w14:textId="77777777" w:rsidR="00126D60" w:rsidRPr="003325C8" w:rsidRDefault="00126D60" w:rsidP="00814EF6">
      <w:pPr>
        <w:contextualSpacing/>
        <w:rPr>
          <w:rFonts w:eastAsia="Times New Roman" w:cstheme="minorHAnsi"/>
          <w:sz w:val="22"/>
          <w:szCs w:val="22"/>
        </w:rPr>
      </w:pPr>
    </w:p>
    <w:p w14:paraId="3815524B" w14:textId="77777777" w:rsidR="003952D5" w:rsidRDefault="003952D5" w:rsidP="003952D5">
      <w:pPr>
        <w:spacing w:line="480" w:lineRule="auto"/>
        <w:jc w:val="both"/>
        <w:rPr>
          <w:rFonts w:ascii="Arial" w:hAnsi="Arial" w:cs="Arial"/>
          <w:sz w:val="24"/>
          <w:szCs w:val="24"/>
        </w:rPr>
      </w:pPr>
      <w:r>
        <w:rPr>
          <w:rFonts w:ascii="Arial" w:hAnsi="Arial" w:cs="Arial"/>
          <w:sz w:val="24"/>
          <w:szCs w:val="24"/>
        </w:rPr>
        <w:lastRenderedPageBreak/>
        <w:t xml:space="preserve">The success of these options is </w:t>
      </w:r>
      <w:r w:rsidR="00E4104C">
        <w:rPr>
          <w:rFonts w:ascii="Arial" w:hAnsi="Arial" w:cs="Arial"/>
          <w:sz w:val="24"/>
          <w:szCs w:val="24"/>
        </w:rPr>
        <w:t>dependent upon</w:t>
      </w:r>
      <w:r w:rsidR="00126D60">
        <w:rPr>
          <w:rFonts w:ascii="Arial" w:hAnsi="Arial" w:cs="Arial"/>
          <w:sz w:val="24"/>
          <w:szCs w:val="24"/>
        </w:rPr>
        <w:t xml:space="preserve"> </w:t>
      </w:r>
      <w:r w:rsidR="00E4104C">
        <w:rPr>
          <w:rFonts w:ascii="Arial" w:hAnsi="Arial" w:cs="Arial"/>
          <w:sz w:val="24"/>
          <w:szCs w:val="24"/>
        </w:rPr>
        <w:t xml:space="preserve">the availability of </w:t>
      </w:r>
      <w:r w:rsidR="00126D60">
        <w:rPr>
          <w:rFonts w:ascii="Arial" w:hAnsi="Arial" w:cs="Arial"/>
          <w:sz w:val="24"/>
          <w:szCs w:val="24"/>
        </w:rPr>
        <w:t>treatment and support services</w:t>
      </w:r>
      <w:r>
        <w:rPr>
          <w:rFonts w:ascii="Arial" w:hAnsi="Arial" w:cs="Arial"/>
          <w:sz w:val="24"/>
          <w:szCs w:val="24"/>
        </w:rPr>
        <w:t xml:space="preserve"> as simply speaking, people need to be diverted somewhere</w:t>
      </w:r>
      <w:r w:rsidR="00126D60">
        <w:rPr>
          <w:rFonts w:ascii="Arial" w:hAnsi="Arial" w:cs="Arial"/>
          <w:sz w:val="24"/>
          <w:szCs w:val="24"/>
        </w:rPr>
        <w:t xml:space="preserve">. </w:t>
      </w:r>
      <w:r w:rsidR="001D6D07">
        <w:rPr>
          <w:rFonts w:ascii="Arial" w:hAnsi="Arial" w:cs="Arial"/>
          <w:sz w:val="24"/>
          <w:szCs w:val="24"/>
        </w:rPr>
        <w:t xml:space="preserve">According to the Transform Drug Policy Foundation in the UK, there are significant benefits to be derived from police-led diversion schemes </w:t>
      </w:r>
      <w:r w:rsidR="00393440">
        <w:rPr>
          <w:rFonts w:ascii="Arial" w:hAnsi="Arial" w:cs="Arial"/>
          <w:sz w:val="24"/>
          <w:szCs w:val="24"/>
        </w:rPr>
        <w:t xml:space="preserve">which aim </w:t>
      </w:r>
      <w:r w:rsidR="001D6D07">
        <w:rPr>
          <w:rFonts w:ascii="Arial" w:hAnsi="Arial" w:cs="Arial"/>
          <w:sz w:val="24"/>
          <w:szCs w:val="24"/>
        </w:rPr>
        <w:t xml:space="preserve">to assist the individual to </w:t>
      </w:r>
      <w:r>
        <w:rPr>
          <w:rFonts w:ascii="Arial" w:hAnsi="Arial" w:cs="Arial"/>
          <w:sz w:val="24"/>
          <w:szCs w:val="24"/>
        </w:rPr>
        <w:t xml:space="preserve">services which help them to </w:t>
      </w:r>
      <w:r w:rsidR="001D6D07">
        <w:rPr>
          <w:rFonts w:ascii="Arial" w:hAnsi="Arial" w:cs="Arial"/>
          <w:sz w:val="24"/>
          <w:szCs w:val="24"/>
        </w:rPr>
        <w:t xml:space="preserve">understand the root causes of their dependency, and </w:t>
      </w:r>
      <w:r>
        <w:rPr>
          <w:rFonts w:ascii="Arial" w:hAnsi="Arial" w:cs="Arial"/>
          <w:sz w:val="24"/>
          <w:szCs w:val="24"/>
        </w:rPr>
        <w:t>the key</w:t>
      </w:r>
      <w:r w:rsidR="001D6D07">
        <w:rPr>
          <w:rFonts w:ascii="Arial" w:hAnsi="Arial" w:cs="Arial"/>
          <w:sz w:val="24"/>
          <w:szCs w:val="24"/>
        </w:rPr>
        <w:t xml:space="preserve"> benefit </w:t>
      </w:r>
      <w:r>
        <w:rPr>
          <w:rFonts w:ascii="Arial" w:hAnsi="Arial" w:cs="Arial"/>
          <w:sz w:val="24"/>
          <w:szCs w:val="24"/>
        </w:rPr>
        <w:t>of this is the reduction of</w:t>
      </w:r>
      <w:r w:rsidR="001D6D07">
        <w:rPr>
          <w:rFonts w:ascii="Arial" w:hAnsi="Arial" w:cs="Arial"/>
          <w:sz w:val="24"/>
          <w:szCs w:val="24"/>
        </w:rPr>
        <w:t xml:space="preserve"> reoffending</w:t>
      </w:r>
      <w:r w:rsidR="00087862">
        <w:rPr>
          <w:rFonts w:ascii="Arial" w:hAnsi="Arial" w:cs="Arial"/>
          <w:sz w:val="24"/>
          <w:szCs w:val="24"/>
        </w:rPr>
        <w:t xml:space="preserve"> </w:t>
      </w:r>
      <w:sdt>
        <w:sdtPr>
          <w:rPr>
            <w:rFonts w:ascii="Arial" w:hAnsi="Arial" w:cs="Arial"/>
            <w:sz w:val="24"/>
            <w:szCs w:val="24"/>
          </w:rPr>
          <w:id w:val="117584553"/>
          <w:citation/>
        </w:sdtPr>
        <w:sdtEndPr/>
        <w:sdtContent>
          <w:r w:rsidR="00043464">
            <w:rPr>
              <w:rFonts w:ascii="Arial" w:hAnsi="Arial" w:cs="Arial"/>
              <w:sz w:val="24"/>
              <w:szCs w:val="24"/>
            </w:rPr>
            <w:fldChar w:fldCharType="begin"/>
          </w:r>
          <w:r w:rsidR="00043464">
            <w:rPr>
              <w:rFonts w:ascii="Arial" w:hAnsi="Arial" w:cs="Arial"/>
              <w:sz w:val="24"/>
              <w:szCs w:val="24"/>
            </w:rPr>
            <w:instrText xml:space="preserve"> CITATION Tra22 \l 2057 </w:instrText>
          </w:r>
          <w:r w:rsidR="00043464">
            <w:rPr>
              <w:rFonts w:ascii="Arial" w:hAnsi="Arial" w:cs="Arial"/>
              <w:sz w:val="24"/>
              <w:szCs w:val="24"/>
            </w:rPr>
            <w:fldChar w:fldCharType="separate"/>
          </w:r>
          <w:r w:rsidR="00043464" w:rsidRPr="00043464">
            <w:rPr>
              <w:rFonts w:ascii="Arial" w:hAnsi="Arial" w:cs="Arial"/>
              <w:noProof/>
              <w:sz w:val="24"/>
              <w:szCs w:val="24"/>
            </w:rPr>
            <w:t>(Transform, 2022)</w:t>
          </w:r>
          <w:r w:rsidR="00043464">
            <w:rPr>
              <w:rFonts w:ascii="Arial" w:hAnsi="Arial" w:cs="Arial"/>
              <w:sz w:val="24"/>
              <w:szCs w:val="24"/>
            </w:rPr>
            <w:fldChar w:fldCharType="end"/>
          </w:r>
        </w:sdtContent>
      </w:sdt>
      <w:r w:rsidR="00043464">
        <w:rPr>
          <w:rFonts w:ascii="Arial" w:hAnsi="Arial" w:cs="Arial"/>
          <w:sz w:val="24"/>
          <w:szCs w:val="24"/>
        </w:rPr>
        <w:t>.</w:t>
      </w:r>
    </w:p>
    <w:p w14:paraId="2A4E186A" w14:textId="510E9920" w:rsidR="00126D60" w:rsidRPr="003952D5" w:rsidRDefault="00126D60" w:rsidP="003952D5">
      <w:pPr>
        <w:spacing w:line="480" w:lineRule="auto"/>
        <w:jc w:val="both"/>
        <w:rPr>
          <w:rFonts w:ascii="Arial" w:hAnsi="Arial" w:cs="Arial"/>
          <w:sz w:val="24"/>
          <w:szCs w:val="24"/>
        </w:rPr>
      </w:pPr>
      <w:r w:rsidRPr="003952D5">
        <w:rPr>
          <w:rFonts w:ascii="Arial" w:hAnsi="Arial" w:cs="Arial"/>
          <w:sz w:val="24"/>
          <w:szCs w:val="24"/>
        </w:rPr>
        <w:t xml:space="preserve">There is evidence that diversion into treatment works well for drug offenders </w:t>
      </w:r>
      <w:sdt>
        <w:sdtPr>
          <w:rPr>
            <w:rFonts w:ascii="Arial" w:hAnsi="Arial" w:cs="Arial"/>
            <w:sz w:val="24"/>
            <w:szCs w:val="24"/>
          </w:rPr>
          <w:id w:val="294727039"/>
          <w:citation/>
        </w:sdtPr>
        <w:sdtEndPr/>
        <w:sdtContent>
          <w:r w:rsidRPr="003952D5">
            <w:rPr>
              <w:rFonts w:ascii="Arial" w:hAnsi="Arial" w:cs="Arial"/>
              <w:sz w:val="24"/>
              <w:szCs w:val="24"/>
            </w:rPr>
            <w:fldChar w:fldCharType="begin"/>
          </w:r>
          <w:r w:rsidRPr="003952D5">
            <w:rPr>
              <w:rFonts w:ascii="Arial" w:hAnsi="Arial" w:cs="Arial"/>
              <w:sz w:val="24"/>
              <w:szCs w:val="24"/>
            </w:rPr>
            <w:instrText xml:space="preserve"> CITATION Los11 \l 2057 </w:instrText>
          </w:r>
          <w:r w:rsidRPr="003952D5">
            <w:rPr>
              <w:rFonts w:ascii="Arial" w:hAnsi="Arial" w:cs="Arial"/>
              <w:sz w:val="24"/>
              <w:szCs w:val="24"/>
            </w:rPr>
            <w:fldChar w:fldCharType="separate"/>
          </w:r>
          <w:r w:rsidRPr="003952D5">
            <w:rPr>
              <w:rFonts w:ascii="Arial" w:hAnsi="Arial" w:cs="Arial"/>
              <w:noProof/>
              <w:sz w:val="24"/>
              <w:szCs w:val="24"/>
            </w:rPr>
            <w:t>(Losel, et al., 2011)</w:t>
          </w:r>
          <w:r w:rsidRPr="003952D5">
            <w:rPr>
              <w:rFonts w:ascii="Arial" w:hAnsi="Arial" w:cs="Arial"/>
              <w:sz w:val="24"/>
              <w:szCs w:val="24"/>
            </w:rPr>
            <w:fldChar w:fldCharType="end"/>
          </w:r>
        </w:sdtContent>
      </w:sdt>
      <w:r w:rsidRPr="003952D5">
        <w:rPr>
          <w:rFonts w:ascii="Arial" w:hAnsi="Arial" w:cs="Arial"/>
          <w:sz w:val="24"/>
          <w:szCs w:val="24"/>
        </w:rPr>
        <w:t xml:space="preserve"> </w:t>
      </w:r>
      <w:r w:rsidR="00E50A45" w:rsidRPr="003952D5">
        <w:rPr>
          <w:rFonts w:ascii="Arial" w:hAnsi="Arial" w:cs="Arial"/>
          <w:sz w:val="24"/>
          <w:szCs w:val="24"/>
        </w:rPr>
        <w:t xml:space="preserve">and those engaged in medium to high risk drug use </w:t>
      </w:r>
      <w:r w:rsidR="00E4104C" w:rsidRPr="003952D5">
        <w:rPr>
          <w:rFonts w:ascii="Arial" w:hAnsi="Arial" w:cs="Arial"/>
          <w:sz w:val="24"/>
          <w:szCs w:val="24"/>
        </w:rPr>
        <w:t>are</w:t>
      </w:r>
      <w:r w:rsidR="00E50A45" w:rsidRPr="003952D5">
        <w:rPr>
          <w:rFonts w:ascii="Arial" w:hAnsi="Arial" w:cs="Arial"/>
          <w:sz w:val="24"/>
          <w:szCs w:val="24"/>
        </w:rPr>
        <w:t xml:space="preserve"> more likely to reduce their reoffending </w:t>
      </w:r>
      <w:sdt>
        <w:sdtPr>
          <w:rPr>
            <w:rFonts w:ascii="Arial" w:hAnsi="Arial" w:cs="Arial"/>
            <w:sz w:val="24"/>
            <w:szCs w:val="24"/>
          </w:rPr>
          <w:id w:val="395017729"/>
          <w:citation/>
        </w:sdtPr>
        <w:sdtEndPr/>
        <w:sdtContent>
          <w:r w:rsidR="00E50A45" w:rsidRPr="003952D5">
            <w:rPr>
              <w:rFonts w:ascii="Arial" w:hAnsi="Arial" w:cs="Arial"/>
              <w:sz w:val="24"/>
              <w:szCs w:val="24"/>
            </w:rPr>
            <w:fldChar w:fldCharType="begin"/>
          </w:r>
          <w:r w:rsidR="00E50A45" w:rsidRPr="003952D5">
            <w:rPr>
              <w:rFonts w:ascii="Arial" w:hAnsi="Arial" w:cs="Arial"/>
              <w:sz w:val="24"/>
              <w:szCs w:val="24"/>
            </w:rPr>
            <w:instrText xml:space="preserve"> CITATION Hol05 \l 2057 </w:instrText>
          </w:r>
          <w:r w:rsidR="00E50A45" w:rsidRPr="003952D5">
            <w:rPr>
              <w:rFonts w:ascii="Arial" w:hAnsi="Arial" w:cs="Arial"/>
              <w:sz w:val="24"/>
              <w:szCs w:val="24"/>
            </w:rPr>
            <w:fldChar w:fldCharType="separate"/>
          </w:r>
          <w:r w:rsidR="00E50A45" w:rsidRPr="003952D5">
            <w:rPr>
              <w:rFonts w:ascii="Arial" w:hAnsi="Arial" w:cs="Arial"/>
              <w:noProof/>
              <w:sz w:val="24"/>
              <w:szCs w:val="24"/>
            </w:rPr>
            <w:t>(Holloway, et al., 2005)</w:t>
          </w:r>
          <w:r w:rsidR="00E50A45" w:rsidRPr="003952D5">
            <w:rPr>
              <w:rFonts w:ascii="Arial" w:hAnsi="Arial" w:cs="Arial"/>
              <w:sz w:val="24"/>
              <w:szCs w:val="24"/>
            </w:rPr>
            <w:fldChar w:fldCharType="end"/>
          </w:r>
        </w:sdtContent>
      </w:sdt>
      <w:r w:rsidR="00E50A45" w:rsidRPr="003952D5">
        <w:rPr>
          <w:rFonts w:ascii="Arial" w:hAnsi="Arial" w:cs="Arial"/>
          <w:sz w:val="24"/>
          <w:szCs w:val="24"/>
        </w:rPr>
        <w:t xml:space="preserve">, with the diversion of Class A substance users being particularly effective if the diversion takes place at a very early stage </w:t>
      </w:r>
      <w:sdt>
        <w:sdtPr>
          <w:rPr>
            <w:rFonts w:ascii="Arial" w:hAnsi="Arial" w:cs="Arial"/>
            <w:sz w:val="24"/>
            <w:szCs w:val="24"/>
          </w:rPr>
          <w:id w:val="-582219124"/>
          <w:citation/>
        </w:sdtPr>
        <w:sdtEndPr/>
        <w:sdtContent>
          <w:r w:rsidR="00E50A45" w:rsidRPr="003952D5">
            <w:rPr>
              <w:rFonts w:ascii="Arial" w:hAnsi="Arial" w:cs="Arial"/>
              <w:sz w:val="24"/>
              <w:szCs w:val="24"/>
            </w:rPr>
            <w:fldChar w:fldCharType="begin"/>
          </w:r>
          <w:r w:rsidR="00E50A45" w:rsidRPr="003952D5">
            <w:rPr>
              <w:rFonts w:ascii="Arial" w:hAnsi="Arial" w:cs="Arial"/>
              <w:sz w:val="24"/>
              <w:szCs w:val="24"/>
            </w:rPr>
            <w:instrText xml:space="preserve"> CITATION Sko07 \l 2057 </w:instrText>
          </w:r>
          <w:r w:rsidR="00E50A45" w:rsidRPr="003952D5">
            <w:rPr>
              <w:rFonts w:ascii="Arial" w:hAnsi="Arial" w:cs="Arial"/>
              <w:sz w:val="24"/>
              <w:szCs w:val="24"/>
            </w:rPr>
            <w:fldChar w:fldCharType="separate"/>
          </w:r>
          <w:r w:rsidR="00E50A45" w:rsidRPr="003952D5">
            <w:rPr>
              <w:rFonts w:ascii="Arial" w:hAnsi="Arial" w:cs="Arial"/>
              <w:noProof/>
              <w:sz w:val="24"/>
              <w:szCs w:val="24"/>
            </w:rPr>
            <w:t>(Skodbo, et al., 2007)</w:t>
          </w:r>
          <w:r w:rsidR="00E50A45" w:rsidRPr="003952D5">
            <w:rPr>
              <w:rFonts w:ascii="Arial" w:hAnsi="Arial" w:cs="Arial"/>
              <w:sz w:val="24"/>
              <w:szCs w:val="24"/>
            </w:rPr>
            <w:fldChar w:fldCharType="end"/>
          </w:r>
        </w:sdtContent>
      </w:sdt>
      <w:r w:rsidR="00E50A45" w:rsidRPr="003952D5">
        <w:rPr>
          <w:rFonts w:ascii="Arial" w:hAnsi="Arial" w:cs="Arial"/>
          <w:sz w:val="24"/>
          <w:szCs w:val="24"/>
        </w:rPr>
        <w:t>. A</w:t>
      </w:r>
      <w:r w:rsidR="00E06DC5" w:rsidRPr="003952D5">
        <w:rPr>
          <w:rFonts w:ascii="Arial" w:hAnsi="Arial" w:cs="Arial"/>
          <w:sz w:val="24"/>
          <w:szCs w:val="24"/>
        </w:rPr>
        <w:t xml:space="preserve">ccording to the Centre for Justice Innovation, </w:t>
      </w:r>
      <w:r w:rsidR="00346D4E" w:rsidRPr="003952D5">
        <w:rPr>
          <w:rFonts w:ascii="Arial" w:hAnsi="Arial" w:cs="Arial"/>
          <w:sz w:val="24"/>
          <w:szCs w:val="24"/>
        </w:rPr>
        <w:t>there is s</w:t>
      </w:r>
      <w:r w:rsidR="00B350AB" w:rsidRPr="003952D5">
        <w:rPr>
          <w:rFonts w:ascii="Arial" w:hAnsi="Arial" w:cs="Arial"/>
          <w:sz w:val="24"/>
          <w:szCs w:val="24"/>
        </w:rPr>
        <w:t>trong evidence internationally and moderate evidence from the UK, that pre-court diversion reduces reoffending</w:t>
      </w:r>
      <w:r w:rsidR="00814EF6" w:rsidRPr="003952D5">
        <w:rPr>
          <w:rFonts w:ascii="Arial" w:hAnsi="Arial" w:cs="Arial"/>
          <w:sz w:val="24"/>
          <w:szCs w:val="24"/>
        </w:rPr>
        <w:t xml:space="preserve"> </w:t>
      </w:r>
      <w:sdt>
        <w:sdtPr>
          <w:rPr>
            <w:rFonts w:ascii="Arial" w:hAnsi="Arial" w:cs="Arial"/>
            <w:sz w:val="24"/>
            <w:szCs w:val="24"/>
          </w:rPr>
          <w:id w:val="2140996896"/>
          <w:citation/>
        </w:sdtPr>
        <w:sdtEndPr/>
        <w:sdtContent>
          <w:r w:rsidR="00E06DC5" w:rsidRPr="003952D5">
            <w:rPr>
              <w:rFonts w:ascii="Arial" w:hAnsi="Arial" w:cs="Arial"/>
              <w:sz w:val="24"/>
              <w:szCs w:val="24"/>
            </w:rPr>
            <w:fldChar w:fldCharType="begin"/>
          </w:r>
          <w:r w:rsidR="0052576D" w:rsidRPr="003952D5">
            <w:rPr>
              <w:rFonts w:ascii="Arial" w:hAnsi="Arial" w:cs="Arial"/>
              <w:sz w:val="24"/>
              <w:szCs w:val="24"/>
            </w:rPr>
            <w:instrText xml:space="preserve">CITATION Rob19 \l 2057 </w:instrText>
          </w:r>
          <w:r w:rsidR="00E06DC5" w:rsidRPr="003952D5">
            <w:rPr>
              <w:rFonts w:ascii="Arial" w:hAnsi="Arial" w:cs="Arial"/>
              <w:sz w:val="24"/>
              <w:szCs w:val="24"/>
            </w:rPr>
            <w:fldChar w:fldCharType="separate"/>
          </w:r>
          <w:r w:rsidR="0052576D" w:rsidRPr="003952D5">
            <w:rPr>
              <w:rFonts w:ascii="Arial" w:hAnsi="Arial" w:cs="Arial"/>
              <w:noProof/>
              <w:sz w:val="24"/>
              <w:szCs w:val="24"/>
            </w:rPr>
            <w:t>(Robin-D'Cruz &amp; Whitehead, 2019)</w:t>
          </w:r>
          <w:r w:rsidR="00E06DC5" w:rsidRPr="003952D5">
            <w:rPr>
              <w:rFonts w:ascii="Arial" w:hAnsi="Arial" w:cs="Arial"/>
              <w:sz w:val="24"/>
              <w:szCs w:val="24"/>
            </w:rPr>
            <w:fldChar w:fldCharType="end"/>
          </w:r>
        </w:sdtContent>
      </w:sdt>
      <w:r w:rsidR="00346D4E" w:rsidRPr="003952D5">
        <w:rPr>
          <w:rFonts w:ascii="Arial" w:hAnsi="Arial" w:cs="Arial"/>
          <w:sz w:val="24"/>
          <w:szCs w:val="24"/>
        </w:rPr>
        <w:t>.</w:t>
      </w:r>
      <w:r w:rsidR="00814EF6" w:rsidRPr="003952D5">
        <w:rPr>
          <w:rFonts w:ascii="Arial" w:hAnsi="Arial" w:cs="Arial"/>
          <w:sz w:val="24"/>
          <w:szCs w:val="24"/>
        </w:rPr>
        <w:t xml:space="preserve"> In 19 North American and Australian studies, 74% of init</w:t>
      </w:r>
      <w:r w:rsidR="00535B5E" w:rsidRPr="003952D5">
        <w:rPr>
          <w:rFonts w:ascii="Arial" w:hAnsi="Arial" w:cs="Arial"/>
          <w:sz w:val="24"/>
          <w:szCs w:val="24"/>
        </w:rPr>
        <w:t>i</w:t>
      </w:r>
      <w:r w:rsidR="00814EF6" w:rsidRPr="003952D5">
        <w:rPr>
          <w:rFonts w:ascii="Arial" w:hAnsi="Arial" w:cs="Arial"/>
          <w:sz w:val="24"/>
          <w:szCs w:val="24"/>
        </w:rPr>
        <w:t xml:space="preserve">atives showed a significant reduction in reoffending for all crime types </w:t>
      </w:r>
      <w:sdt>
        <w:sdtPr>
          <w:rPr>
            <w:rFonts w:ascii="Arial" w:hAnsi="Arial" w:cs="Arial"/>
            <w:sz w:val="24"/>
            <w:szCs w:val="24"/>
          </w:rPr>
          <w:id w:val="1369030239"/>
          <w:citation/>
        </w:sdtPr>
        <w:sdtEndPr/>
        <w:sdtContent>
          <w:r w:rsidR="00814EF6" w:rsidRPr="003952D5">
            <w:rPr>
              <w:rFonts w:ascii="Arial" w:hAnsi="Arial" w:cs="Arial"/>
              <w:sz w:val="24"/>
              <w:szCs w:val="24"/>
            </w:rPr>
            <w:fldChar w:fldCharType="begin"/>
          </w:r>
          <w:r w:rsidR="00814EF6" w:rsidRPr="003952D5">
            <w:rPr>
              <w:rFonts w:ascii="Arial" w:hAnsi="Arial" w:cs="Arial"/>
              <w:sz w:val="24"/>
              <w:szCs w:val="24"/>
            </w:rPr>
            <w:instrText xml:space="preserve"> CITATION Har07 \l 2057 </w:instrText>
          </w:r>
          <w:r w:rsidR="00814EF6" w:rsidRPr="003952D5">
            <w:rPr>
              <w:rFonts w:ascii="Arial" w:hAnsi="Arial" w:cs="Arial"/>
              <w:sz w:val="24"/>
              <w:szCs w:val="24"/>
            </w:rPr>
            <w:fldChar w:fldCharType="separate"/>
          </w:r>
          <w:r w:rsidR="00814EF6" w:rsidRPr="003952D5">
            <w:rPr>
              <w:rFonts w:ascii="Arial" w:hAnsi="Arial" w:cs="Arial"/>
              <w:noProof/>
              <w:sz w:val="24"/>
              <w:szCs w:val="24"/>
            </w:rPr>
            <w:t>(Harvey, et al., 2007)</w:t>
          </w:r>
          <w:r w:rsidR="00814EF6" w:rsidRPr="003952D5">
            <w:rPr>
              <w:rFonts w:ascii="Arial" w:hAnsi="Arial" w:cs="Arial"/>
              <w:sz w:val="24"/>
              <w:szCs w:val="24"/>
            </w:rPr>
            <w:fldChar w:fldCharType="end"/>
          </w:r>
        </w:sdtContent>
      </w:sdt>
      <w:r w:rsidR="00814EF6" w:rsidRPr="003952D5">
        <w:rPr>
          <w:rFonts w:ascii="Arial" w:hAnsi="Arial" w:cs="Arial"/>
          <w:sz w:val="24"/>
          <w:szCs w:val="24"/>
        </w:rPr>
        <w:t xml:space="preserve"> and an additional review of 24 schemes in North America where offenders with mental health problems were diverted into treatment, showed clear effectiveness in terms of reduced future interactions with the justice system </w:t>
      </w:r>
      <w:sdt>
        <w:sdtPr>
          <w:rPr>
            <w:rFonts w:ascii="Arial" w:hAnsi="Arial" w:cs="Arial"/>
            <w:sz w:val="24"/>
            <w:szCs w:val="24"/>
          </w:rPr>
          <w:id w:val="1106849413"/>
          <w:citation/>
        </w:sdtPr>
        <w:sdtEndPr/>
        <w:sdtContent>
          <w:r w:rsidR="00814EF6" w:rsidRPr="003952D5">
            <w:rPr>
              <w:rFonts w:ascii="Arial" w:hAnsi="Arial" w:cs="Arial"/>
              <w:sz w:val="24"/>
              <w:szCs w:val="24"/>
            </w:rPr>
            <w:fldChar w:fldCharType="begin"/>
          </w:r>
          <w:r w:rsidR="00814EF6" w:rsidRPr="003952D5">
            <w:rPr>
              <w:rFonts w:ascii="Arial" w:hAnsi="Arial" w:cs="Arial"/>
              <w:sz w:val="24"/>
              <w:szCs w:val="24"/>
            </w:rPr>
            <w:instrText xml:space="preserve"> CITATION Lan11 \l 2057 </w:instrText>
          </w:r>
          <w:r w:rsidR="00814EF6" w:rsidRPr="003952D5">
            <w:rPr>
              <w:rFonts w:ascii="Arial" w:hAnsi="Arial" w:cs="Arial"/>
              <w:sz w:val="24"/>
              <w:szCs w:val="24"/>
            </w:rPr>
            <w:fldChar w:fldCharType="separate"/>
          </w:r>
          <w:r w:rsidR="00814EF6" w:rsidRPr="003952D5">
            <w:rPr>
              <w:rFonts w:ascii="Arial" w:hAnsi="Arial" w:cs="Arial"/>
              <w:noProof/>
              <w:sz w:val="24"/>
              <w:szCs w:val="24"/>
            </w:rPr>
            <w:t>(Lange, et al., 2011)</w:t>
          </w:r>
          <w:r w:rsidR="00814EF6" w:rsidRPr="003952D5">
            <w:rPr>
              <w:rFonts w:ascii="Arial" w:hAnsi="Arial" w:cs="Arial"/>
              <w:sz w:val="24"/>
              <w:szCs w:val="24"/>
            </w:rPr>
            <w:fldChar w:fldCharType="end"/>
          </w:r>
        </w:sdtContent>
      </w:sdt>
      <w:r w:rsidRPr="003952D5">
        <w:rPr>
          <w:rFonts w:ascii="Arial" w:hAnsi="Arial" w:cs="Arial"/>
          <w:sz w:val="24"/>
          <w:szCs w:val="24"/>
        </w:rPr>
        <w:t xml:space="preserve">. </w:t>
      </w:r>
    </w:p>
    <w:p w14:paraId="4BA81D2E" w14:textId="15BCD3B5" w:rsidR="00A90E2B" w:rsidRDefault="007B3109" w:rsidP="00CB3C5E">
      <w:pPr>
        <w:spacing w:line="480" w:lineRule="auto"/>
        <w:jc w:val="both"/>
        <w:rPr>
          <w:rFonts w:ascii="Arial" w:hAnsi="Arial" w:cs="Arial"/>
          <w:color w:val="0B0C0C"/>
          <w:sz w:val="24"/>
          <w:szCs w:val="24"/>
        </w:rPr>
      </w:pPr>
      <w:r w:rsidRPr="00E42CF0">
        <w:rPr>
          <w:rFonts w:ascii="Arial" w:hAnsi="Arial" w:cs="Arial"/>
          <w:color w:val="0B0C0C"/>
          <w:sz w:val="24"/>
          <w:szCs w:val="24"/>
        </w:rPr>
        <w:t xml:space="preserve">However, </w:t>
      </w:r>
      <w:r w:rsidR="00E50A45" w:rsidRPr="00E42CF0">
        <w:rPr>
          <w:rFonts w:ascii="Arial" w:hAnsi="Arial" w:cs="Arial"/>
          <w:color w:val="0B0C0C"/>
          <w:sz w:val="24"/>
          <w:szCs w:val="24"/>
        </w:rPr>
        <w:t xml:space="preserve">Thames Valley Police found </w:t>
      </w:r>
      <w:r w:rsidR="003952D5">
        <w:rPr>
          <w:rFonts w:ascii="Arial" w:hAnsi="Arial" w:cs="Arial"/>
          <w:color w:val="0B0C0C"/>
          <w:sz w:val="24"/>
          <w:szCs w:val="24"/>
        </w:rPr>
        <w:t>in their pilot t</w:t>
      </w:r>
      <w:r w:rsidR="00E50A45" w:rsidRPr="00E42CF0">
        <w:rPr>
          <w:rFonts w:ascii="Arial" w:hAnsi="Arial" w:cs="Arial"/>
          <w:color w:val="0B0C0C"/>
          <w:sz w:val="24"/>
          <w:szCs w:val="24"/>
        </w:rPr>
        <w:t>hat 30% of those engaged in deferred prosecutions went on to re</w:t>
      </w:r>
      <w:r w:rsidR="0027132F">
        <w:rPr>
          <w:rFonts w:ascii="Arial" w:hAnsi="Arial" w:cs="Arial"/>
          <w:color w:val="0B0C0C"/>
          <w:sz w:val="24"/>
          <w:szCs w:val="24"/>
        </w:rPr>
        <w:t>-</w:t>
      </w:r>
      <w:r w:rsidR="00E50A45" w:rsidRPr="00E42CF0">
        <w:rPr>
          <w:rFonts w:ascii="Arial" w:hAnsi="Arial" w:cs="Arial"/>
          <w:color w:val="0B0C0C"/>
          <w:sz w:val="24"/>
          <w:szCs w:val="24"/>
        </w:rPr>
        <w:t xml:space="preserve">offend </w:t>
      </w:r>
      <w:sdt>
        <w:sdtPr>
          <w:rPr>
            <w:rFonts w:ascii="Arial" w:hAnsi="Arial" w:cs="Arial"/>
            <w:color w:val="0B0C0C"/>
            <w:sz w:val="24"/>
            <w:szCs w:val="24"/>
          </w:rPr>
          <w:id w:val="1112945428"/>
          <w:citation/>
        </w:sdtPr>
        <w:sdtEndPr/>
        <w:sdtContent>
          <w:r w:rsidR="00E50A45" w:rsidRPr="00E42CF0">
            <w:rPr>
              <w:rFonts w:ascii="Arial" w:hAnsi="Arial" w:cs="Arial"/>
              <w:color w:val="0B0C0C"/>
              <w:sz w:val="24"/>
              <w:szCs w:val="24"/>
            </w:rPr>
            <w:fldChar w:fldCharType="begin"/>
          </w:r>
          <w:r w:rsidR="00E50A45" w:rsidRPr="00E42CF0">
            <w:rPr>
              <w:rFonts w:ascii="Arial" w:hAnsi="Arial" w:cs="Arial"/>
              <w:color w:val="0B0C0C"/>
              <w:sz w:val="24"/>
              <w:szCs w:val="24"/>
            </w:rPr>
            <w:instrText xml:space="preserve"> CITATION Spy19 \l 2057 </w:instrText>
          </w:r>
          <w:r w:rsidR="00E50A45" w:rsidRPr="00E42CF0">
            <w:rPr>
              <w:rFonts w:ascii="Arial" w:hAnsi="Arial" w:cs="Arial"/>
              <w:color w:val="0B0C0C"/>
              <w:sz w:val="24"/>
              <w:szCs w:val="24"/>
            </w:rPr>
            <w:fldChar w:fldCharType="separate"/>
          </w:r>
          <w:r w:rsidR="00E50A45" w:rsidRPr="00E42CF0">
            <w:rPr>
              <w:rFonts w:ascii="Arial" w:hAnsi="Arial" w:cs="Arial"/>
              <w:noProof/>
              <w:color w:val="0B0C0C"/>
              <w:sz w:val="24"/>
              <w:szCs w:val="24"/>
            </w:rPr>
            <w:t>(Spyt, et al., 2019)</w:t>
          </w:r>
          <w:r w:rsidR="00E50A45" w:rsidRPr="00E42CF0">
            <w:rPr>
              <w:rFonts w:ascii="Arial" w:hAnsi="Arial" w:cs="Arial"/>
              <w:color w:val="0B0C0C"/>
              <w:sz w:val="24"/>
              <w:szCs w:val="24"/>
            </w:rPr>
            <w:fldChar w:fldCharType="end"/>
          </w:r>
        </w:sdtContent>
      </w:sdt>
      <w:r w:rsidR="00E50A45" w:rsidRPr="00E42CF0">
        <w:rPr>
          <w:rFonts w:ascii="Arial" w:hAnsi="Arial" w:cs="Arial"/>
          <w:color w:val="0B0C0C"/>
          <w:sz w:val="24"/>
          <w:szCs w:val="24"/>
        </w:rPr>
        <w:t>. Furthermore, r</w:t>
      </w:r>
      <w:r w:rsidRPr="00E42CF0">
        <w:rPr>
          <w:rFonts w:ascii="Arial" w:hAnsi="Arial" w:cs="Arial"/>
          <w:color w:val="0B0C0C"/>
          <w:sz w:val="24"/>
          <w:szCs w:val="24"/>
        </w:rPr>
        <w:t xml:space="preserve">e-offending results may not account for </w:t>
      </w:r>
      <w:r w:rsidR="00E50A45" w:rsidRPr="00E42CF0">
        <w:rPr>
          <w:rFonts w:ascii="Arial" w:hAnsi="Arial" w:cs="Arial"/>
          <w:color w:val="0B0C0C"/>
          <w:sz w:val="24"/>
          <w:szCs w:val="24"/>
        </w:rPr>
        <w:t xml:space="preserve">any </w:t>
      </w:r>
      <w:r w:rsidRPr="00E42CF0">
        <w:rPr>
          <w:rFonts w:ascii="Arial" w:hAnsi="Arial" w:cs="Arial"/>
          <w:color w:val="0B0C0C"/>
          <w:sz w:val="24"/>
          <w:szCs w:val="24"/>
        </w:rPr>
        <w:t xml:space="preserve">variations in </w:t>
      </w:r>
      <w:r w:rsidR="00E50A45" w:rsidRPr="00E42CF0">
        <w:rPr>
          <w:rFonts w:ascii="Arial" w:hAnsi="Arial" w:cs="Arial"/>
          <w:color w:val="0B0C0C"/>
          <w:sz w:val="24"/>
          <w:szCs w:val="24"/>
        </w:rPr>
        <w:t xml:space="preserve">the </w:t>
      </w:r>
      <w:r w:rsidRPr="00E42CF0">
        <w:rPr>
          <w:rFonts w:ascii="Arial" w:hAnsi="Arial" w:cs="Arial"/>
          <w:color w:val="0B0C0C"/>
          <w:sz w:val="24"/>
          <w:szCs w:val="24"/>
        </w:rPr>
        <w:t xml:space="preserve">effectiveness of individual conditions. </w:t>
      </w:r>
      <w:r w:rsidR="00E50A45" w:rsidRPr="00E42CF0">
        <w:rPr>
          <w:rFonts w:ascii="Arial" w:hAnsi="Arial" w:cs="Arial"/>
          <w:color w:val="0B0C0C"/>
          <w:sz w:val="24"/>
          <w:szCs w:val="24"/>
        </w:rPr>
        <w:t xml:space="preserve">Some interventions may be more effective than others, and in some of the studies, the analysis of reoffending took place soon after the diversion took place, and </w:t>
      </w:r>
      <w:r w:rsidR="00E50A45" w:rsidRPr="00E42CF0">
        <w:rPr>
          <w:rFonts w:ascii="Arial" w:hAnsi="Arial" w:cs="Arial"/>
          <w:color w:val="0B0C0C"/>
          <w:sz w:val="24"/>
          <w:szCs w:val="24"/>
        </w:rPr>
        <w:lastRenderedPageBreak/>
        <w:t>it could be argued that rates of re-offending ought to be evaluated over a much longer time</w:t>
      </w:r>
      <w:r w:rsidR="003952D5">
        <w:rPr>
          <w:rFonts w:ascii="Arial" w:hAnsi="Arial" w:cs="Arial"/>
          <w:color w:val="0B0C0C"/>
          <w:sz w:val="24"/>
          <w:szCs w:val="24"/>
        </w:rPr>
        <w:t>-</w:t>
      </w:r>
      <w:r w:rsidR="00E50A45" w:rsidRPr="00E42CF0">
        <w:rPr>
          <w:rFonts w:ascii="Arial" w:hAnsi="Arial" w:cs="Arial"/>
          <w:color w:val="0B0C0C"/>
          <w:sz w:val="24"/>
          <w:szCs w:val="24"/>
        </w:rPr>
        <w:t>period to assess effectiveness accurately</w:t>
      </w:r>
      <w:r w:rsidR="0074431F">
        <w:rPr>
          <w:rFonts w:ascii="Arial" w:hAnsi="Arial" w:cs="Arial"/>
          <w:color w:val="0B0C0C"/>
          <w:sz w:val="24"/>
          <w:szCs w:val="24"/>
        </w:rPr>
        <w:t>, therefore m</w:t>
      </w:r>
      <w:r w:rsidR="00E50A45" w:rsidRPr="00E42CF0">
        <w:rPr>
          <w:rFonts w:ascii="Arial" w:hAnsi="Arial" w:cs="Arial"/>
          <w:color w:val="0B0C0C"/>
          <w:sz w:val="24"/>
          <w:szCs w:val="24"/>
        </w:rPr>
        <w:t xml:space="preserve">ore research in this area is </w:t>
      </w:r>
      <w:r w:rsidR="0074431F">
        <w:rPr>
          <w:rFonts w:ascii="Arial" w:hAnsi="Arial" w:cs="Arial"/>
          <w:color w:val="0B0C0C"/>
          <w:sz w:val="24"/>
          <w:szCs w:val="24"/>
        </w:rPr>
        <w:t xml:space="preserve">clearly </w:t>
      </w:r>
      <w:r w:rsidR="00E50A45" w:rsidRPr="00E42CF0">
        <w:rPr>
          <w:rFonts w:ascii="Arial" w:hAnsi="Arial" w:cs="Arial"/>
          <w:color w:val="0B0C0C"/>
          <w:sz w:val="24"/>
          <w:szCs w:val="24"/>
        </w:rPr>
        <w:t>required.</w:t>
      </w:r>
    </w:p>
    <w:p w14:paraId="25CF7867" w14:textId="77777777" w:rsidR="00CB3C5E" w:rsidRPr="00CB3C5E" w:rsidRDefault="00CB3C5E" w:rsidP="00CB3C5E">
      <w:pPr>
        <w:spacing w:line="480" w:lineRule="auto"/>
        <w:jc w:val="both"/>
        <w:rPr>
          <w:rFonts w:ascii="Arial" w:hAnsi="Arial" w:cs="Arial"/>
          <w:color w:val="0B0C0C"/>
          <w:sz w:val="24"/>
          <w:szCs w:val="24"/>
        </w:rPr>
      </w:pPr>
    </w:p>
    <w:p w14:paraId="5182BF30" w14:textId="539D6F22" w:rsidR="000A02B9" w:rsidRPr="00E42CF0" w:rsidRDefault="0074431F" w:rsidP="00E42CF0">
      <w:pPr>
        <w:spacing w:line="480" w:lineRule="auto"/>
        <w:jc w:val="both"/>
        <w:rPr>
          <w:rFonts w:ascii="Arial" w:hAnsi="Arial" w:cs="Arial"/>
          <w:sz w:val="24"/>
          <w:szCs w:val="24"/>
        </w:rPr>
      </w:pPr>
      <w:r w:rsidRPr="0074431F">
        <w:rPr>
          <w:rFonts w:ascii="Arial" w:hAnsi="Arial" w:cs="Arial"/>
          <w:sz w:val="24"/>
          <w:szCs w:val="24"/>
        </w:rPr>
        <w:t>Furthermore, it could be argued that t</w:t>
      </w:r>
      <w:r w:rsidR="003952D5" w:rsidRPr="0074431F">
        <w:rPr>
          <w:rFonts w:ascii="Arial" w:hAnsi="Arial" w:cs="Arial"/>
          <w:sz w:val="24"/>
          <w:szCs w:val="24"/>
        </w:rPr>
        <w:t>aking</w:t>
      </w:r>
      <w:r w:rsidR="003952D5">
        <w:rPr>
          <w:rFonts w:ascii="Arial" w:hAnsi="Arial" w:cs="Arial"/>
          <w:sz w:val="24"/>
          <w:szCs w:val="24"/>
        </w:rPr>
        <w:t xml:space="preserve"> a qualitative approach by listening to the voice of people immediately impacted rather than remotely assessing the initiative based on statistics, also provides a richer picture of effectiveness </w:t>
      </w:r>
      <w:sdt>
        <w:sdtPr>
          <w:rPr>
            <w:rFonts w:ascii="Arial" w:hAnsi="Arial" w:cs="Arial"/>
            <w:sz w:val="24"/>
            <w:szCs w:val="24"/>
          </w:rPr>
          <w:id w:val="-969899195"/>
          <w:citation/>
        </w:sdtPr>
        <w:sdtEndPr/>
        <w:sdtContent>
          <w:r w:rsidR="003952D5">
            <w:rPr>
              <w:rFonts w:ascii="Arial" w:hAnsi="Arial" w:cs="Arial"/>
              <w:sz w:val="24"/>
              <w:szCs w:val="24"/>
            </w:rPr>
            <w:fldChar w:fldCharType="begin"/>
          </w:r>
          <w:r w:rsidR="003952D5">
            <w:rPr>
              <w:rFonts w:ascii="Arial" w:hAnsi="Arial" w:cs="Arial"/>
              <w:sz w:val="24"/>
              <w:szCs w:val="24"/>
            </w:rPr>
            <w:instrText xml:space="preserve"> CITATION Net22 \l 2057 </w:instrText>
          </w:r>
          <w:r w:rsidR="003952D5">
            <w:rPr>
              <w:rFonts w:ascii="Arial" w:hAnsi="Arial" w:cs="Arial"/>
              <w:sz w:val="24"/>
              <w:szCs w:val="24"/>
            </w:rPr>
            <w:fldChar w:fldCharType="separate"/>
          </w:r>
          <w:r w:rsidR="003952D5" w:rsidRPr="008A57BA">
            <w:rPr>
              <w:rFonts w:ascii="Arial" w:hAnsi="Arial" w:cs="Arial"/>
              <w:noProof/>
              <w:sz w:val="24"/>
              <w:szCs w:val="24"/>
            </w:rPr>
            <w:t>(Netherland, et al., 2022)</w:t>
          </w:r>
          <w:r w:rsidR="003952D5">
            <w:rPr>
              <w:rFonts w:ascii="Arial" w:hAnsi="Arial" w:cs="Arial"/>
              <w:sz w:val="24"/>
              <w:szCs w:val="24"/>
            </w:rPr>
            <w:fldChar w:fldCharType="end"/>
          </w:r>
        </w:sdtContent>
      </w:sdt>
      <w:r>
        <w:rPr>
          <w:rFonts w:ascii="Arial" w:hAnsi="Arial" w:cs="Arial"/>
          <w:sz w:val="24"/>
          <w:szCs w:val="24"/>
        </w:rPr>
        <w:t>. I</w:t>
      </w:r>
      <w:r w:rsidR="00E42CF0">
        <w:rPr>
          <w:rFonts w:ascii="Arial" w:hAnsi="Arial" w:cs="Arial"/>
          <w:sz w:val="24"/>
          <w:szCs w:val="24"/>
        </w:rPr>
        <w:t xml:space="preserve">n Australian studies, where this work is advanced, there is evidence of a </w:t>
      </w:r>
      <w:r w:rsidR="00AE2434">
        <w:rPr>
          <w:rFonts w:ascii="Arial" w:hAnsi="Arial" w:cs="Arial"/>
          <w:sz w:val="24"/>
          <w:szCs w:val="24"/>
        </w:rPr>
        <w:t>significant reduction in people experiencing negative impacts on accommodation access and employment opportunities</w:t>
      </w:r>
      <w:r w:rsidR="00E42CF0">
        <w:rPr>
          <w:rFonts w:ascii="Arial" w:hAnsi="Arial" w:cs="Arial"/>
          <w:sz w:val="24"/>
          <w:szCs w:val="24"/>
        </w:rPr>
        <w:t xml:space="preserve"> </w:t>
      </w:r>
      <w:proofErr w:type="gramStart"/>
      <w:r w:rsidR="00E42CF0">
        <w:rPr>
          <w:rFonts w:ascii="Arial" w:hAnsi="Arial" w:cs="Arial"/>
          <w:sz w:val="24"/>
          <w:szCs w:val="24"/>
        </w:rPr>
        <w:t>as a result of</w:t>
      </w:r>
      <w:proofErr w:type="gramEnd"/>
      <w:r w:rsidR="00E42CF0">
        <w:rPr>
          <w:rFonts w:ascii="Arial" w:hAnsi="Arial" w:cs="Arial"/>
          <w:sz w:val="24"/>
          <w:szCs w:val="24"/>
        </w:rPr>
        <w:t xml:space="preserve"> having the opportunity to deal with their substance dependency</w:t>
      </w:r>
      <w:r w:rsidR="00AE2434">
        <w:rPr>
          <w:rFonts w:ascii="Arial" w:hAnsi="Arial" w:cs="Arial"/>
          <w:sz w:val="24"/>
          <w:szCs w:val="24"/>
        </w:rPr>
        <w:t xml:space="preserve"> </w:t>
      </w:r>
      <w:sdt>
        <w:sdtPr>
          <w:rPr>
            <w:rFonts w:ascii="Arial" w:hAnsi="Arial" w:cs="Arial"/>
            <w:sz w:val="24"/>
            <w:szCs w:val="24"/>
          </w:rPr>
          <w:id w:val="-1766149571"/>
          <w:citation/>
        </w:sdtPr>
        <w:sdtEndPr/>
        <w:sdtContent>
          <w:r w:rsidR="00AE2434">
            <w:rPr>
              <w:rFonts w:ascii="Arial" w:hAnsi="Arial" w:cs="Arial"/>
              <w:sz w:val="24"/>
              <w:szCs w:val="24"/>
            </w:rPr>
            <w:fldChar w:fldCharType="begin"/>
          </w:r>
          <w:r w:rsidR="00AE2434">
            <w:rPr>
              <w:rFonts w:ascii="Arial" w:hAnsi="Arial" w:cs="Arial"/>
              <w:sz w:val="24"/>
              <w:szCs w:val="24"/>
            </w:rPr>
            <w:instrText xml:space="preserve"> CITATION Hug08 \l 2057 </w:instrText>
          </w:r>
          <w:r w:rsidR="00AE2434">
            <w:rPr>
              <w:rFonts w:ascii="Arial" w:hAnsi="Arial" w:cs="Arial"/>
              <w:sz w:val="24"/>
              <w:szCs w:val="24"/>
            </w:rPr>
            <w:fldChar w:fldCharType="separate"/>
          </w:r>
          <w:r w:rsidR="00AE2434" w:rsidRPr="004138E4">
            <w:rPr>
              <w:rFonts w:ascii="Arial" w:hAnsi="Arial" w:cs="Arial"/>
              <w:noProof/>
              <w:sz w:val="24"/>
              <w:szCs w:val="24"/>
            </w:rPr>
            <w:t>(Hughes &amp; Ritter, 2008)</w:t>
          </w:r>
          <w:r w:rsidR="00AE2434">
            <w:rPr>
              <w:rFonts w:ascii="Arial" w:hAnsi="Arial" w:cs="Arial"/>
              <w:sz w:val="24"/>
              <w:szCs w:val="24"/>
            </w:rPr>
            <w:fldChar w:fldCharType="end"/>
          </w:r>
        </w:sdtContent>
      </w:sdt>
      <w:r w:rsidR="00E42CF0">
        <w:rPr>
          <w:rFonts w:ascii="Arial" w:hAnsi="Arial" w:cs="Arial"/>
          <w:sz w:val="24"/>
          <w:szCs w:val="24"/>
        </w:rPr>
        <w:t>.</w:t>
      </w:r>
      <w:r>
        <w:rPr>
          <w:rFonts w:ascii="Arial" w:hAnsi="Arial" w:cs="Arial"/>
          <w:sz w:val="24"/>
          <w:szCs w:val="24"/>
        </w:rPr>
        <w:t xml:space="preserve"> </w:t>
      </w:r>
      <w:r w:rsidR="004F5FA4">
        <w:rPr>
          <w:rFonts w:ascii="Arial" w:hAnsi="Arial" w:cs="Arial"/>
          <w:sz w:val="24"/>
          <w:szCs w:val="24"/>
        </w:rPr>
        <w:t>I</w:t>
      </w:r>
      <w:r>
        <w:rPr>
          <w:rFonts w:ascii="Arial" w:hAnsi="Arial" w:cs="Arial"/>
          <w:sz w:val="24"/>
          <w:szCs w:val="24"/>
        </w:rPr>
        <w:t xml:space="preserve">n </w:t>
      </w:r>
      <w:r w:rsidR="00393440">
        <w:rPr>
          <w:rFonts w:ascii="Arial" w:hAnsi="Arial" w:cs="Arial"/>
          <w:sz w:val="24"/>
          <w:szCs w:val="24"/>
        </w:rPr>
        <w:t>Thames Valley</w:t>
      </w:r>
      <w:r>
        <w:rPr>
          <w:rFonts w:ascii="Arial" w:hAnsi="Arial" w:cs="Arial"/>
          <w:sz w:val="24"/>
          <w:szCs w:val="24"/>
        </w:rPr>
        <w:t>, it was</w:t>
      </w:r>
      <w:r w:rsidR="00E42CF0">
        <w:rPr>
          <w:rFonts w:ascii="Arial" w:hAnsi="Arial" w:cs="Arial"/>
          <w:sz w:val="24"/>
          <w:szCs w:val="24"/>
        </w:rPr>
        <w:t xml:space="preserve"> also found that </w:t>
      </w:r>
      <w:r w:rsidR="00393440">
        <w:rPr>
          <w:rFonts w:ascii="Arial" w:hAnsi="Arial" w:cs="Arial"/>
          <w:sz w:val="24"/>
          <w:szCs w:val="24"/>
        </w:rPr>
        <w:t xml:space="preserve">positive feedback from users </w:t>
      </w:r>
      <w:r w:rsidR="00E42CF0">
        <w:rPr>
          <w:rFonts w:ascii="Arial" w:hAnsi="Arial" w:cs="Arial"/>
          <w:sz w:val="24"/>
          <w:szCs w:val="24"/>
        </w:rPr>
        <w:t xml:space="preserve">was </w:t>
      </w:r>
      <w:r w:rsidR="00393440">
        <w:rPr>
          <w:rFonts w:ascii="Arial" w:hAnsi="Arial" w:cs="Arial"/>
          <w:sz w:val="24"/>
          <w:szCs w:val="24"/>
        </w:rPr>
        <w:t>significant</w:t>
      </w:r>
      <w:r w:rsidR="00E42CF0">
        <w:rPr>
          <w:rFonts w:ascii="Arial" w:hAnsi="Arial" w:cs="Arial"/>
          <w:sz w:val="24"/>
          <w:szCs w:val="24"/>
        </w:rPr>
        <w:t xml:space="preserve"> with many</w:t>
      </w:r>
      <w:r w:rsidR="00393440">
        <w:rPr>
          <w:rFonts w:ascii="Arial" w:hAnsi="Arial" w:cs="Arial"/>
          <w:sz w:val="24"/>
          <w:szCs w:val="24"/>
        </w:rPr>
        <w:t xml:space="preserve"> saying what a </w:t>
      </w:r>
      <w:r w:rsidR="00E42CF0">
        <w:rPr>
          <w:rFonts w:ascii="Arial" w:hAnsi="Arial" w:cs="Arial"/>
          <w:sz w:val="24"/>
          <w:szCs w:val="24"/>
        </w:rPr>
        <w:t xml:space="preserve">positive </w:t>
      </w:r>
      <w:r w:rsidR="00393440">
        <w:rPr>
          <w:rFonts w:ascii="Arial" w:hAnsi="Arial" w:cs="Arial"/>
          <w:sz w:val="24"/>
          <w:szCs w:val="24"/>
        </w:rPr>
        <w:t xml:space="preserve">difference </w:t>
      </w:r>
      <w:r>
        <w:rPr>
          <w:rFonts w:ascii="Arial" w:hAnsi="Arial" w:cs="Arial"/>
          <w:sz w:val="24"/>
          <w:szCs w:val="24"/>
        </w:rPr>
        <w:t>diversion and support</w:t>
      </w:r>
      <w:r w:rsidR="00393440">
        <w:rPr>
          <w:rFonts w:ascii="Arial" w:hAnsi="Arial" w:cs="Arial"/>
          <w:sz w:val="24"/>
          <w:szCs w:val="24"/>
        </w:rPr>
        <w:t xml:space="preserve"> made to their lives, </w:t>
      </w:r>
      <w:r w:rsidR="00E42CF0">
        <w:rPr>
          <w:rFonts w:ascii="Arial" w:hAnsi="Arial" w:cs="Arial"/>
          <w:sz w:val="24"/>
          <w:szCs w:val="24"/>
        </w:rPr>
        <w:t>their</w:t>
      </w:r>
      <w:r w:rsidR="00393440">
        <w:rPr>
          <w:rFonts w:ascii="Arial" w:hAnsi="Arial" w:cs="Arial"/>
          <w:sz w:val="24"/>
          <w:szCs w:val="24"/>
        </w:rPr>
        <w:t xml:space="preserve"> family and overall wellbeing</w:t>
      </w:r>
      <w:r w:rsidR="00393440" w:rsidRPr="00535B5E">
        <w:rPr>
          <w:rFonts w:ascii="Arial" w:hAnsi="Arial" w:cs="Arial"/>
          <w:sz w:val="24"/>
          <w:szCs w:val="24"/>
        </w:rPr>
        <w:t xml:space="preserve"> </w:t>
      </w:r>
      <w:sdt>
        <w:sdtPr>
          <w:rPr>
            <w:rFonts w:ascii="Arial" w:hAnsi="Arial" w:cs="Arial"/>
            <w:sz w:val="24"/>
            <w:szCs w:val="24"/>
          </w:rPr>
          <w:id w:val="-610211650"/>
          <w:citation/>
        </w:sdtPr>
        <w:sdtEndPr/>
        <w:sdtContent>
          <w:r w:rsidR="00393440">
            <w:rPr>
              <w:rFonts w:ascii="Arial" w:hAnsi="Arial" w:cs="Arial"/>
              <w:sz w:val="24"/>
              <w:szCs w:val="24"/>
            </w:rPr>
            <w:fldChar w:fldCharType="begin"/>
          </w:r>
          <w:r w:rsidR="00393440">
            <w:rPr>
              <w:rFonts w:ascii="Arial" w:hAnsi="Arial" w:cs="Arial"/>
              <w:sz w:val="24"/>
              <w:szCs w:val="24"/>
            </w:rPr>
            <w:instrText xml:space="preserve"> CITATION Spy19 \l 2057 </w:instrText>
          </w:r>
          <w:r w:rsidR="00393440">
            <w:rPr>
              <w:rFonts w:ascii="Arial" w:hAnsi="Arial" w:cs="Arial"/>
              <w:sz w:val="24"/>
              <w:szCs w:val="24"/>
            </w:rPr>
            <w:fldChar w:fldCharType="separate"/>
          </w:r>
          <w:r w:rsidR="00393440" w:rsidRPr="00201EBB">
            <w:rPr>
              <w:rFonts w:ascii="Arial" w:hAnsi="Arial" w:cs="Arial"/>
              <w:noProof/>
              <w:sz w:val="24"/>
              <w:szCs w:val="24"/>
            </w:rPr>
            <w:t>(Spyt, et al., 2019)</w:t>
          </w:r>
          <w:r w:rsidR="00393440">
            <w:rPr>
              <w:rFonts w:ascii="Arial" w:hAnsi="Arial" w:cs="Arial"/>
              <w:sz w:val="24"/>
              <w:szCs w:val="24"/>
            </w:rPr>
            <w:fldChar w:fldCharType="end"/>
          </w:r>
        </w:sdtContent>
      </w:sdt>
      <w:r>
        <w:rPr>
          <w:rFonts w:ascii="Arial" w:hAnsi="Arial" w:cs="Arial"/>
          <w:sz w:val="24"/>
          <w:szCs w:val="24"/>
        </w:rPr>
        <w:t>.</w:t>
      </w:r>
    </w:p>
    <w:p w14:paraId="6A7C6D32" w14:textId="00D48DE1" w:rsidR="008275C8" w:rsidRPr="00487068" w:rsidRDefault="008275C8" w:rsidP="008275C8">
      <w:pPr>
        <w:pStyle w:val="Heading1"/>
        <w:rPr>
          <w:b/>
          <w:bCs/>
        </w:rPr>
      </w:pPr>
      <w:r w:rsidRPr="00487068">
        <w:rPr>
          <w:b/>
          <w:bCs/>
        </w:rPr>
        <w:t>CONCLUSION</w:t>
      </w:r>
    </w:p>
    <w:p w14:paraId="755391DB" w14:textId="605C51D7" w:rsidR="008275C8" w:rsidRDefault="008275C8" w:rsidP="008275C8">
      <w:pPr>
        <w:rPr>
          <w:rFonts w:ascii="Arial" w:hAnsi="Arial" w:cs="Arial"/>
          <w:sz w:val="24"/>
          <w:szCs w:val="24"/>
        </w:rPr>
      </w:pPr>
    </w:p>
    <w:p w14:paraId="638DC6AF" w14:textId="46A2BD2F" w:rsidR="00A90E2B" w:rsidRDefault="004A3DCC" w:rsidP="004A3DCC">
      <w:pPr>
        <w:spacing w:line="480" w:lineRule="auto"/>
        <w:jc w:val="both"/>
        <w:rPr>
          <w:rFonts w:ascii="Arial" w:hAnsi="Arial" w:cs="Arial"/>
          <w:sz w:val="24"/>
          <w:szCs w:val="24"/>
        </w:rPr>
      </w:pPr>
      <w:r>
        <w:rPr>
          <w:rFonts w:ascii="Arial" w:hAnsi="Arial" w:cs="Arial"/>
          <w:sz w:val="24"/>
          <w:szCs w:val="24"/>
        </w:rPr>
        <w:t>The research which has been highlighted strongly indicates that people are more likely to engage if the diversion process is positive, without the threat of sanction. Forces will need to consider their approach to participants. Policy making, with clear aims and objectives will be important, and needs to be done in conjunction with partners so that there is a whole-system approach to supporting people with their substance dependency issues.</w:t>
      </w:r>
    </w:p>
    <w:p w14:paraId="68106678" w14:textId="19F25898" w:rsidR="00847EA4" w:rsidRDefault="00A90E2B" w:rsidP="004A3DCC">
      <w:pPr>
        <w:spacing w:line="480" w:lineRule="auto"/>
        <w:jc w:val="both"/>
        <w:rPr>
          <w:rFonts w:ascii="Arial" w:hAnsi="Arial" w:cs="Arial"/>
          <w:sz w:val="24"/>
          <w:szCs w:val="24"/>
          <w:u w:val="single"/>
        </w:rPr>
      </w:pPr>
      <w:r>
        <w:rPr>
          <w:rFonts w:ascii="Arial" w:hAnsi="Arial" w:cs="Arial"/>
          <w:sz w:val="24"/>
          <w:szCs w:val="24"/>
        </w:rPr>
        <w:t xml:space="preserve">Whilst policing in Wales awaits the publication of Welsh Government approach for the coming years, the impending national approach to OOCDs and the existing appetite </w:t>
      </w:r>
      <w:r>
        <w:rPr>
          <w:rFonts w:ascii="Arial" w:hAnsi="Arial" w:cs="Arial"/>
          <w:sz w:val="24"/>
          <w:szCs w:val="24"/>
        </w:rPr>
        <w:lastRenderedPageBreak/>
        <w:t xml:space="preserve">within Wales to improve treatment and support is of critical importance. The theoretical explanation and studies from the UK and overseas highlight some </w:t>
      </w:r>
      <w:r w:rsidR="004A3DCC">
        <w:rPr>
          <w:rFonts w:ascii="Arial" w:hAnsi="Arial" w:cs="Arial"/>
          <w:sz w:val="24"/>
          <w:szCs w:val="24"/>
        </w:rPr>
        <w:t>further final considerations:</w:t>
      </w:r>
    </w:p>
    <w:p w14:paraId="2D27AC65" w14:textId="1D5E8810" w:rsidR="00A078ED" w:rsidRDefault="00E42CF0" w:rsidP="004A3DCC">
      <w:pPr>
        <w:pStyle w:val="ListParagraph"/>
        <w:numPr>
          <w:ilvl w:val="0"/>
          <w:numId w:val="39"/>
        </w:numPr>
        <w:spacing w:line="480" w:lineRule="auto"/>
        <w:jc w:val="both"/>
        <w:rPr>
          <w:rFonts w:ascii="Arial" w:hAnsi="Arial" w:cs="Arial"/>
          <w:sz w:val="24"/>
          <w:szCs w:val="24"/>
        </w:rPr>
      </w:pPr>
      <w:r>
        <w:rPr>
          <w:rFonts w:ascii="Arial" w:hAnsi="Arial" w:cs="Arial"/>
          <w:sz w:val="24"/>
          <w:szCs w:val="24"/>
        </w:rPr>
        <w:t xml:space="preserve">The allocation of funding to the health sector </w:t>
      </w:r>
      <w:r w:rsidR="00A90E2B">
        <w:rPr>
          <w:rFonts w:ascii="Arial" w:hAnsi="Arial" w:cs="Arial"/>
          <w:sz w:val="24"/>
          <w:szCs w:val="24"/>
        </w:rPr>
        <w:t xml:space="preserve">is critical, </w:t>
      </w:r>
      <w:r w:rsidR="0048022A">
        <w:rPr>
          <w:rFonts w:ascii="Arial" w:hAnsi="Arial" w:cs="Arial"/>
          <w:sz w:val="24"/>
          <w:szCs w:val="24"/>
        </w:rPr>
        <w:t>to</w:t>
      </w:r>
      <w:r>
        <w:rPr>
          <w:rFonts w:ascii="Arial" w:hAnsi="Arial" w:cs="Arial"/>
          <w:sz w:val="24"/>
          <w:szCs w:val="24"/>
        </w:rPr>
        <w:t xml:space="preserve"> embed treatment services</w:t>
      </w:r>
      <w:r w:rsidR="00847EA4">
        <w:rPr>
          <w:rFonts w:ascii="Arial" w:hAnsi="Arial" w:cs="Arial"/>
          <w:sz w:val="24"/>
          <w:szCs w:val="24"/>
        </w:rPr>
        <w:t xml:space="preserve"> so that the process is efficient and effective</w:t>
      </w:r>
    </w:p>
    <w:p w14:paraId="3829E29F" w14:textId="51D7F47E" w:rsidR="00E42CF0" w:rsidRDefault="00E42CF0" w:rsidP="004A3DCC">
      <w:pPr>
        <w:pStyle w:val="ListParagraph"/>
        <w:numPr>
          <w:ilvl w:val="0"/>
          <w:numId w:val="39"/>
        </w:numPr>
        <w:spacing w:line="480" w:lineRule="auto"/>
        <w:jc w:val="both"/>
        <w:rPr>
          <w:rFonts w:ascii="Arial" w:hAnsi="Arial" w:cs="Arial"/>
          <w:sz w:val="24"/>
          <w:szCs w:val="24"/>
        </w:rPr>
      </w:pPr>
      <w:r>
        <w:rPr>
          <w:rFonts w:ascii="Arial" w:hAnsi="Arial" w:cs="Arial"/>
          <w:sz w:val="24"/>
          <w:szCs w:val="24"/>
        </w:rPr>
        <w:t xml:space="preserve">Achieving a consistency of approach across policing </w:t>
      </w:r>
      <w:r w:rsidR="00A90E2B">
        <w:rPr>
          <w:rFonts w:ascii="Arial" w:hAnsi="Arial" w:cs="Arial"/>
          <w:sz w:val="24"/>
          <w:szCs w:val="24"/>
        </w:rPr>
        <w:t xml:space="preserve">will be vital </w:t>
      </w:r>
      <w:r>
        <w:rPr>
          <w:rFonts w:ascii="Arial" w:hAnsi="Arial" w:cs="Arial"/>
          <w:sz w:val="24"/>
          <w:szCs w:val="24"/>
        </w:rPr>
        <w:t xml:space="preserve">to </w:t>
      </w:r>
      <w:r w:rsidR="00A90E2B">
        <w:rPr>
          <w:rFonts w:ascii="Arial" w:hAnsi="Arial" w:cs="Arial"/>
          <w:sz w:val="24"/>
          <w:szCs w:val="24"/>
        </w:rPr>
        <w:t>achieve fairness across the justice system</w:t>
      </w:r>
    </w:p>
    <w:p w14:paraId="181F918A" w14:textId="3B718185" w:rsidR="00A90E2B" w:rsidRDefault="00A90E2B" w:rsidP="004A3DCC">
      <w:pPr>
        <w:pStyle w:val="ListParagraph"/>
        <w:numPr>
          <w:ilvl w:val="0"/>
          <w:numId w:val="39"/>
        </w:numPr>
        <w:spacing w:line="480" w:lineRule="auto"/>
        <w:jc w:val="both"/>
        <w:rPr>
          <w:rFonts w:ascii="Arial" w:hAnsi="Arial" w:cs="Arial"/>
          <w:sz w:val="24"/>
          <w:szCs w:val="24"/>
        </w:rPr>
      </w:pPr>
      <w:r>
        <w:rPr>
          <w:rFonts w:ascii="Arial" w:hAnsi="Arial" w:cs="Arial"/>
          <w:sz w:val="24"/>
          <w:szCs w:val="24"/>
        </w:rPr>
        <w:t>Policing will need to consider the wider benefits of new approaches, for instance, efficiency savings within the justice system</w:t>
      </w:r>
    </w:p>
    <w:p w14:paraId="0C82AD07" w14:textId="146B08D5" w:rsidR="00A90E2B" w:rsidRDefault="00A90E2B" w:rsidP="004A3DCC">
      <w:pPr>
        <w:pStyle w:val="ListParagraph"/>
        <w:numPr>
          <w:ilvl w:val="0"/>
          <w:numId w:val="39"/>
        </w:numPr>
        <w:spacing w:line="480" w:lineRule="auto"/>
        <w:jc w:val="both"/>
        <w:rPr>
          <w:rFonts w:ascii="Arial" w:hAnsi="Arial" w:cs="Arial"/>
          <w:sz w:val="24"/>
          <w:szCs w:val="24"/>
        </w:rPr>
      </w:pPr>
      <w:r>
        <w:rPr>
          <w:rFonts w:ascii="Arial" w:hAnsi="Arial" w:cs="Arial"/>
          <w:sz w:val="24"/>
          <w:szCs w:val="24"/>
        </w:rPr>
        <w:t xml:space="preserve">Policing needs to </w:t>
      </w:r>
      <w:r w:rsidR="0074431F">
        <w:rPr>
          <w:rFonts w:ascii="Arial" w:hAnsi="Arial" w:cs="Arial"/>
          <w:sz w:val="24"/>
          <w:szCs w:val="24"/>
        </w:rPr>
        <w:t>evaluate</w:t>
      </w:r>
      <w:r>
        <w:rPr>
          <w:rFonts w:ascii="Arial" w:hAnsi="Arial" w:cs="Arial"/>
          <w:sz w:val="24"/>
          <w:szCs w:val="24"/>
        </w:rPr>
        <w:t xml:space="preserve"> the effectiveness of diversionary measures on reducing the volume of fatal and near-fatal overdoses and re-offending.</w:t>
      </w:r>
    </w:p>
    <w:p w14:paraId="04465176" w14:textId="2D72A078" w:rsidR="0074431F" w:rsidRPr="00E42CF0" w:rsidRDefault="0074431F" w:rsidP="0074431F">
      <w:pPr>
        <w:pStyle w:val="ListParagraph"/>
        <w:numPr>
          <w:ilvl w:val="0"/>
          <w:numId w:val="39"/>
        </w:numPr>
        <w:spacing w:line="480" w:lineRule="auto"/>
        <w:jc w:val="both"/>
        <w:rPr>
          <w:rFonts w:ascii="Arial" w:hAnsi="Arial" w:cs="Arial"/>
          <w:sz w:val="24"/>
          <w:szCs w:val="24"/>
        </w:rPr>
      </w:pPr>
      <w:r>
        <w:rPr>
          <w:rFonts w:ascii="Arial" w:hAnsi="Arial" w:cs="Arial"/>
          <w:sz w:val="24"/>
          <w:szCs w:val="24"/>
        </w:rPr>
        <w:t>Further research on the long-</w:t>
      </w:r>
      <w:r w:rsidRPr="0074431F">
        <w:rPr>
          <w:rFonts w:ascii="Arial" w:hAnsi="Arial" w:cs="Arial"/>
          <w:sz w:val="24"/>
          <w:szCs w:val="24"/>
        </w:rPr>
        <w:t xml:space="preserve"> </w:t>
      </w:r>
      <w:r>
        <w:rPr>
          <w:rFonts w:ascii="Arial" w:hAnsi="Arial" w:cs="Arial"/>
          <w:sz w:val="24"/>
          <w:szCs w:val="24"/>
        </w:rPr>
        <w:t>term benefits of diversion is required to provide a clearer evidence base of its’ effectiveness.</w:t>
      </w:r>
    </w:p>
    <w:p w14:paraId="7D3D0752" w14:textId="2182D7EA" w:rsidR="0074431F" w:rsidRDefault="0074431F" w:rsidP="0074431F">
      <w:pPr>
        <w:pStyle w:val="ListParagraph"/>
        <w:spacing w:line="480" w:lineRule="auto"/>
        <w:jc w:val="both"/>
        <w:rPr>
          <w:rFonts w:ascii="Arial" w:hAnsi="Arial" w:cs="Arial"/>
          <w:sz w:val="24"/>
          <w:szCs w:val="24"/>
        </w:rPr>
      </w:pPr>
    </w:p>
    <w:p w14:paraId="33A1E7F4" w14:textId="654C3B1A" w:rsidR="0074431F" w:rsidRDefault="0074431F" w:rsidP="0074431F">
      <w:pPr>
        <w:pStyle w:val="ListParagraph"/>
        <w:spacing w:line="480" w:lineRule="auto"/>
        <w:jc w:val="both"/>
        <w:rPr>
          <w:rFonts w:ascii="Arial" w:hAnsi="Arial" w:cs="Arial"/>
          <w:sz w:val="24"/>
          <w:szCs w:val="24"/>
        </w:rPr>
      </w:pPr>
    </w:p>
    <w:p w14:paraId="38844EE1" w14:textId="46D2DFEF" w:rsidR="0074431F" w:rsidRDefault="0074431F" w:rsidP="0074431F">
      <w:pPr>
        <w:pStyle w:val="ListParagraph"/>
        <w:spacing w:line="480" w:lineRule="auto"/>
        <w:jc w:val="both"/>
        <w:rPr>
          <w:rFonts w:ascii="Arial" w:hAnsi="Arial" w:cs="Arial"/>
          <w:sz w:val="24"/>
          <w:szCs w:val="24"/>
        </w:rPr>
      </w:pPr>
    </w:p>
    <w:p w14:paraId="22E5B7A1" w14:textId="61C2733A" w:rsidR="0074431F" w:rsidRDefault="0074431F" w:rsidP="0074431F">
      <w:pPr>
        <w:pStyle w:val="ListParagraph"/>
        <w:spacing w:line="480" w:lineRule="auto"/>
        <w:jc w:val="both"/>
        <w:rPr>
          <w:rFonts w:ascii="Arial" w:hAnsi="Arial" w:cs="Arial"/>
          <w:sz w:val="24"/>
          <w:szCs w:val="24"/>
        </w:rPr>
      </w:pPr>
    </w:p>
    <w:p w14:paraId="7BCB6CCE" w14:textId="461A1AE3" w:rsidR="0074431F" w:rsidRDefault="0074431F" w:rsidP="0074431F">
      <w:pPr>
        <w:pStyle w:val="ListParagraph"/>
        <w:spacing w:line="480" w:lineRule="auto"/>
        <w:jc w:val="both"/>
        <w:rPr>
          <w:rFonts w:ascii="Arial" w:hAnsi="Arial" w:cs="Arial"/>
          <w:sz w:val="24"/>
          <w:szCs w:val="24"/>
        </w:rPr>
      </w:pPr>
    </w:p>
    <w:p w14:paraId="728660A3" w14:textId="283635D1" w:rsidR="0074431F" w:rsidRDefault="0074431F" w:rsidP="0074431F">
      <w:pPr>
        <w:pStyle w:val="ListParagraph"/>
        <w:spacing w:line="480" w:lineRule="auto"/>
        <w:jc w:val="both"/>
        <w:rPr>
          <w:rFonts w:ascii="Arial" w:hAnsi="Arial" w:cs="Arial"/>
          <w:sz w:val="24"/>
          <w:szCs w:val="24"/>
        </w:rPr>
      </w:pPr>
    </w:p>
    <w:p w14:paraId="42BB5C48" w14:textId="28D00954" w:rsidR="0074431F" w:rsidRDefault="0074431F" w:rsidP="0074431F">
      <w:pPr>
        <w:pStyle w:val="ListParagraph"/>
        <w:spacing w:line="480" w:lineRule="auto"/>
        <w:jc w:val="both"/>
        <w:rPr>
          <w:rFonts w:ascii="Arial" w:hAnsi="Arial" w:cs="Arial"/>
          <w:sz w:val="24"/>
          <w:szCs w:val="24"/>
        </w:rPr>
      </w:pPr>
    </w:p>
    <w:p w14:paraId="5002A6D1" w14:textId="10C68ED3" w:rsidR="0074431F" w:rsidRDefault="0074431F" w:rsidP="0074431F">
      <w:pPr>
        <w:pStyle w:val="ListParagraph"/>
        <w:spacing w:line="480" w:lineRule="auto"/>
        <w:jc w:val="both"/>
        <w:rPr>
          <w:rFonts w:ascii="Arial" w:hAnsi="Arial" w:cs="Arial"/>
          <w:sz w:val="24"/>
          <w:szCs w:val="24"/>
        </w:rPr>
      </w:pPr>
    </w:p>
    <w:p w14:paraId="2C61E189" w14:textId="4216170A" w:rsidR="0074431F" w:rsidRDefault="0074431F" w:rsidP="0074431F">
      <w:pPr>
        <w:pStyle w:val="ListParagraph"/>
        <w:spacing w:line="480" w:lineRule="auto"/>
        <w:jc w:val="both"/>
        <w:rPr>
          <w:rFonts w:ascii="Arial" w:hAnsi="Arial" w:cs="Arial"/>
          <w:sz w:val="24"/>
          <w:szCs w:val="24"/>
        </w:rPr>
      </w:pPr>
    </w:p>
    <w:p w14:paraId="647EC567" w14:textId="6E67FA66" w:rsidR="0074431F" w:rsidRDefault="0074431F" w:rsidP="0074431F">
      <w:pPr>
        <w:pStyle w:val="ListParagraph"/>
        <w:spacing w:line="480" w:lineRule="auto"/>
        <w:jc w:val="both"/>
        <w:rPr>
          <w:rFonts w:ascii="Arial" w:hAnsi="Arial" w:cs="Arial"/>
          <w:sz w:val="24"/>
          <w:szCs w:val="24"/>
        </w:rPr>
      </w:pPr>
    </w:p>
    <w:p w14:paraId="397A7DBD" w14:textId="77777777" w:rsidR="0074431F" w:rsidRPr="004F5FA4" w:rsidRDefault="0074431F" w:rsidP="004F5FA4">
      <w:pPr>
        <w:spacing w:line="480" w:lineRule="auto"/>
        <w:jc w:val="both"/>
        <w:rPr>
          <w:rFonts w:ascii="Arial" w:hAnsi="Arial" w:cs="Arial"/>
          <w:sz w:val="24"/>
          <w:szCs w:val="24"/>
        </w:rPr>
      </w:pPr>
    </w:p>
    <w:sdt>
      <w:sdtPr>
        <w:rPr>
          <w:caps w:val="0"/>
          <w:color w:val="auto"/>
          <w:spacing w:val="0"/>
          <w:sz w:val="20"/>
          <w:szCs w:val="20"/>
        </w:rPr>
        <w:id w:val="121441097"/>
        <w:docPartObj>
          <w:docPartGallery w:val="Bibliographies"/>
          <w:docPartUnique/>
        </w:docPartObj>
      </w:sdtPr>
      <w:sdtEndPr/>
      <w:sdtContent>
        <w:p w14:paraId="55754D22" w14:textId="412355CA" w:rsidR="0074431F" w:rsidRDefault="0074431F">
          <w:pPr>
            <w:pStyle w:val="Heading1"/>
          </w:pPr>
          <w:r>
            <w:t>References</w:t>
          </w:r>
        </w:p>
        <w:sdt>
          <w:sdtPr>
            <w:id w:val="1386062145"/>
            <w:bibliography/>
          </w:sdtPr>
          <w:sdtEndPr/>
          <w:sdtContent>
            <w:p w14:paraId="42E3F988" w14:textId="77777777" w:rsidR="0074431F" w:rsidRDefault="0074431F" w:rsidP="0074431F">
              <w:pPr>
                <w:pStyle w:val="Bibliography"/>
                <w:rPr>
                  <w:noProof/>
                  <w:sz w:val="24"/>
                  <w:szCs w:val="24"/>
                </w:rPr>
              </w:pPr>
              <w:r>
                <w:fldChar w:fldCharType="begin"/>
              </w:r>
              <w:r>
                <w:instrText xml:space="preserve"> BIBLIOGRAPHY </w:instrText>
              </w:r>
              <w:r>
                <w:fldChar w:fldCharType="separate"/>
              </w:r>
              <w:r>
                <w:rPr>
                  <w:noProof/>
                </w:rPr>
                <w:t xml:space="preserve">Advisory Council on the Misuse of Drugs, 2015. </w:t>
              </w:r>
              <w:r>
                <w:rPr>
                  <w:i/>
                  <w:iCs/>
                  <w:noProof/>
                </w:rPr>
                <w:t xml:space="preserve">ACMD Inquiry on diversion and illicit supply of medicines, </w:t>
              </w:r>
              <w:r>
                <w:rPr>
                  <w:noProof/>
                </w:rPr>
                <w:t>London: Home Office.</w:t>
              </w:r>
            </w:p>
            <w:p w14:paraId="3EE89F29" w14:textId="77777777" w:rsidR="0074431F" w:rsidRDefault="0074431F" w:rsidP="0074431F">
              <w:pPr>
                <w:pStyle w:val="Bibliography"/>
                <w:rPr>
                  <w:noProof/>
                </w:rPr>
              </w:pPr>
              <w:r>
                <w:rPr>
                  <w:noProof/>
                </w:rPr>
                <w:t xml:space="preserve">Anderson, E. &amp; Burris, S., 2017. Policing and public health: Not quite the analogy. </w:t>
              </w:r>
              <w:r>
                <w:rPr>
                  <w:i/>
                  <w:iCs/>
                  <w:noProof/>
                </w:rPr>
                <w:t xml:space="preserve">Policing and Society, </w:t>
              </w:r>
              <w:r>
                <w:rPr>
                  <w:noProof/>
                </w:rPr>
                <w:t>27(3), pp. 300-313.</w:t>
              </w:r>
            </w:p>
            <w:p w14:paraId="7D2ED00B" w14:textId="77777777" w:rsidR="0074431F" w:rsidRDefault="0074431F" w:rsidP="0074431F">
              <w:pPr>
                <w:pStyle w:val="Bibliography"/>
                <w:rPr>
                  <w:noProof/>
                </w:rPr>
              </w:pPr>
              <w:r>
                <w:rPr>
                  <w:noProof/>
                </w:rPr>
                <w:t xml:space="preserve">Asad, Asad, L. &amp; Clair, M., 2018. Racialized Legal Status as a Social Determinant of Health. </w:t>
              </w:r>
              <w:r>
                <w:rPr>
                  <w:i/>
                  <w:iCs/>
                  <w:noProof/>
                </w:rPr>
                <w:t xml:space="preserve">Social Science and Medicine, </w:t>
              </w:r>
              <w:r>
                <w:rPr>
                  <w:noProof/>
                </w:rPr>
                <w:t>Volume 199, pp. 19-28.</w:t>
              </w:r>
            </w:p>
            <w:p w14:paraId="07F02245" w14:textId="77777777" w:rsidR="0074431F" w:rsidRDefault="0074431F" w:rsidP="0074431F">
              <w:pPr>
                <w:pStyle w:val="Bibliography"/>
                <w:rPr>
                  <w:noProof/>
                </w:rPr>
              </w:pPr>
              <w:r>
                <w:rPr>
                  <w:noProof/>
                </w:rPr>
                <w:t xml:space="preserve">Bell, M. C., 2021. Next-Generation Policing Research: Three Propositions. </w:t>
              </w:r>
              <w:r>
                <w:rPr>
                  <w:i/>
                  <w:iCs/>
                  <w:noProof/>
                </w:rPr>
                <w:t xml:space="preserve">The Journal of Economic Perspectives , </w:t>
              </w:r>
              <w:r>
                <w:rPr>
                  <w:noProof/>
                </w:rPr>
                <w:t>35(4), pp. 29-48.</w:t>
              </w:r>
            </w:p>
            <w:p w14:paraId="225F76AD" w14:textId="77777777" w:rsidR="0074431F" w:rsidRDefault="0074431F" w:rsidP="0074431F">
              <w:pPr>
                <w:pStyle w:val="Bibliography"/>
                <w:rPr>
                  <w:noProof/>
                </w:rPr>
              </w:pPr>
              <w:r>
                <w:rPr>
                  <w:noProof/>
                </w:rPr>
                <w:t xml:space="preserve">Corston, J., 2007. </w:t>
              </w:r>
              <w:r>
                <w:rPr>
                  <w:i/>
                  <w:iCs/>
                  <w:noProof/>
                </w:rPr>
                <w:t xml:space="preserve">The Corston Report, </w:t>
              </w:r>
              <w:r>
                <w:rPr>
                  <w:noProof/>
                </w:rPr>
                <w:t>London: Home Office.</w:t>
              </w:r>
            </w:p>
            <w:p w14:paraId="43589ADF" w14:textId="77777777" w:rsidR="0074431F" w:rsidRDefault="0074431F" w:rsidP="0074431F">
              <w:pPr>
                <w:pStyle w:val="Bibliography"/>
                <w:rPr>
                  <w:noProof/>
                </w:rPr>
              </w:pPr>
              <w:r>
                <w:rPr>
                  <w:noProof/>
                </w:rPr>
                <w:t xml:space="preserve">Crofts, N., James, S., Herrington , V. &amp; Thompson, N., 2012. The importance of law enforcement in promoting and protecting the public health. </w:t>
              </w:r>
              <w:r>
                <w:rPr>
                  <w:i/>
                  <w:iCs/>
                  <w:noProof/>
                </w:rPr>
                <w:t xml:space="preserve">Australasian Policing: A Journal of Professional Practice, </w:t>
              </w:r>
              <w:r>
                <w:rPr>
                  <w:noProof/>
                </w:rPr>
                <w:t>4(1), pp. 3-4.</w:t>
              </w:r>
            </w:p>
            <w:p w14:paraId="393A368D" w14:textId="77777777" w:rsidR="0074431F" w:rsidRDefault="0074431F" w:rsidP="0074431F">
              <w:pPr>
                <w:pStyle w:val="Bibliography"/>
                <w:rPr>
                  <w:noProof/>
                </w:rPr>
              </w:pPr>
              <w:r>
                <w:rPr>
                  <w:noProof/>
                </w:rPr>
                <w:t xml:space="preserve">Department of Health and Social Care, 2021. </w:t>
              </w:r>
              <w:r>
                <w:rPr>
                  <w:i/>
                  <w:iCs/>
                  <w:noProof/>
                </w:rPr>
                <w:t xml:space="preserve">Independent report: Review of dugs part two; prevention, treatment, and recovery, </w:t>
              </w:r>
              <w:r>
                <w:rPr>
                  <w:noProof/>
                </w:rPr>
                <w:t>London: UK Government.</w:t>
              </w:r>
            </w:p>
            <w:p w14:paraId="094B9B63" w14:textId="77777777" w:rsidR="0074431F" w:rsidRDefault="0074431F" w:rsidP="0074431F">
              <w:pPr>
                <w:pStyle w:val="Bibliography"/>
                <w:rPr>
                  <w:noProof/>
                </w:rPr>
              </w:pPr>
              <w:r>
                <w:rPr>
                  <w:noProof/>
                </w:rPr>
                <w:t xml:space="preserve">Harvey, E. et al., 2007. The efficacy of diversion and aftercare for adult drug-involved offenders: a summary and metholological review of the outcome literature. </w:t>
              </w:r>
              <w:r>
                <w:rPr>
                  <w:i/>
                  <w:iCs/>
                  <w:noProof/>
                </w:rPr>
                <w:t xml:space="preserve">Drug and Alcohol Review, </w:t>
              </w:r>
              <w:r>
                <w:rPr>
                  <w:noProof/>
                </w:rPr>
                <w:t>Volume 26, pp. 379-387.</w:t>
              </w:r>
            </w:p>
            <w:p w14:paraId="3494E87A" w14:textId="77777777" w:rsidR="0074431F" w:rsidRDefault="0074431F" w:rsidP="0074431F">
              <w:pPr>
                <w:pStyle w:val="Bibliography"/>
                <w:rPr>
                  <w:noProof/>
                </w:rPr>
              </w:pPr>
              <w:r>
                <w:rPr>
                  <w:noProof/>
                </w:rPr>
                <w:t xml:space="preserve">Heaton, R. &amp; Tong, S., 2016. Evidence-Based Policing: From Effectiveness to Cost-Effectiveness. </w:t>
              </w:r>
              <w:r>
                <w:rPr>
                  <w:i/>
                  <w:iCs/>
                  <w:noProof/>
                </w:rPr>
                <w:t xml:space="preserve">Policing: A Journal of Policy and Practice, </w:t>
              </w:r>
              <w:r>
                <w:rPr>
                  <w:noProof/>
                </w:rPr>
                <w:t>10(1), pp. 60-70.</w:t>
              </w:r>
            </w:p>
            <w:p w14:paraId="4FA75D0C" w14:textId="7DD2D0A0" w:rsidR="0074431F" w:rsidRDefault="0074431F" w:rsidP="0074431F">
              <w:pPr>
                <w:pStyle w:val="Bibliography"/>
                <w:rPr>
                  <w:noProof/>
                </w:rPr>
              </w:pPr>
              <w:r>
                <w:rPr>
                  <w:noProof/>
                </w:rPr>
                <w:t xml:space="preserve">HM Government, 2021. </w:t>
              </w:r>
              <w:r w:rsidR="007D3D4C">
                <w:rPr>
                  <w:i/>
                  <w:iCs/>
                  <w:noProof/>
                </w:rPr>
                <w:t>F</w:t>
              </w:r>
              <w:r>
                <w:rPr>
                  <w:i/>
                  <w:iCs/>
                  <w:noProof/>
                </w:rPr>
                <w:t xml:space="preserve">rom Harm to Hope; A 10-year drugs plan to cut crime and save lives, </w:t>
              </w:r>
              <w:r>
                <w:rPr>
                  <w:noProof/>
                </w:rPr>
                <w:t>London: HM Government.</w:t>
              </w:r>
            </w:p>
            <w:p w14:paraId="62A96F32" w14:textId="77777777" w:rsidR="0074431F" w:rsidRDefault="0074431F" w:rsidP="0074431F">
              <w:pPr>
                <w:pStyle w:val="Bibliography"/>
                <w:rPr>
                  <w:noProof/>
                </w:rPr>
              </w:pPr>
              <w:r>
                <w:rPr>
                  <w:noProof/>
                </w:rPr>
                <w:t xml:space="preserve">Holloway, K., Bennett, T. &amp; Farrington, D., 2005. </w:t>
              </w:r>
              <w:r>
                <w:rPr>
                  <w:i/>
                  <w:iCs/>
                  <w:noProof/>
                </w:rPr>
                <w:t xml:space="preserve">The Effectiveness of Criminal Justice and Treatment Programmes in Reducing Drug-related Crime: A Systematic Review, </w:t>
              </w:r>
              <w:r>
                <w:rPr>
                  <w:noProof/>
                </w:rPr>
                <w:t>London: Home Office.</w:t>
              </w:r>
            </w:p>
            <w:p w14:paraId="191BC934" w14:textId="77777777" w:rsidR="0074431F" w:rsidRDefault="0074431F" w:rsidP="0074431F">
              <w:pPr>
                <w:pStyle w:val="Bibliography"/>
                <w:rPr>
                  <w:noProof/>
                </w:rPr>
              </w:pPr>
              <w:r>
                <w:rPr>
                  <w:noProof/>
                </w:rPr>
                <w:t xml:space="preserve">Home Office, 2022. </w:t>
              </w:r>
              <w:r>
                <w:rPr>
                  <w:i/>
                  <w:iCs/>
                  <w:noProof/>
                </w:rPr>
                <w:t xml:space="preserve">Reforms to the adult out of court disposals framework in the Police, Crime, Sentencing and Courts Bill, </w:t>
              </w:r>
              <w:r>
                <w:rPr>
                  <w:noProof/>
                </w:rPr>
                <w:t>London: Home Office.</w:t>
              </w:r>
            </w:p>
            <w:p w14:paraId="5A0282EA" w14:textId="77777777" w:rsidR="0074431F" w:rsidRDefault="0074431F" w:rsidP="0074431F">
              <w:pPr>
                <w:pStyle w:val="Bibliography"/>
                <w:rPr>
                  <w:noProof/>
                </w:rPr>
              </w:pPr>
              <w:r>
                <w:rPr>
                  <w:noProof/>
                </w:rPr>
                <w:t xml:space="preserve">Hughes, C. &amp; Ritter, A., 2008. </w:t>
              </w:r>
              <w:r>
                <w:rPr>
                  <w:i/>
                  <w:iCs/>
                  <w:noProof/>
                </w:rPr>
                <w:t xml:space="preserve">A summary of diversion programs for drug and drug-related offenders in Austrailia, </w:t>
              </w:r>
              <w:r>
                <w:rPr>
                  <w:noProof/>
                </w:rPr>
                <w:t>s.l.: National Drug and Alcohol Research Centre.</w:t>
              </w:r>
            </w:p>
            <w:p w14:paraId="2D653F99" w14:textId="77777777" w:rsidR="0074431F" w:rsidRDefault="0074431F" w:rsidP="0074431F">
              <w:pPr>
                <w:pStyle w:val="Bibliography"/>
                <w:rPr>
                  <w:noProof/>
                </w:rPr>
              </w:pPr>
              <w:r>
                <w:rPr>
                  <w:noProof/>
                </w:rPr>
                <w:t xml:space="preserve">Kammersgaard, T., 2019. Harm Reduction Policing: From Drug Law Enforcement to Protection. </w:t>
              </w:r>
              <w:r>
                <w:rPr>
                  <w:i/>
                  <w:iCs/>
                  <w:noProof/>
                </w:rPr>
                <w:t xml:space="preserve">Contemporary Drug Problems, </w:t>
              </w:r>
              <w:r>
                <w:rPr>
                  <w:noProof/>
                </w:rPr>
                <w:t>46(4), pp. 345-362.</w:t>
              </w:r>
            </w:p>
            <w:p w14:paraId="20459C56" w14:textId="77777777" w:rsidR="0074431F" w:rsidRDefault="0074431F" w:rsidP="0074431F">
              <w:pPr>
                <w:pStyle w:val="Bibliography"/>
                <w:rPr>
                  <w:noProof/>
                </w:rPr>
              </w:pPr>
              <w:r>
                <w:rPr>
                  <w:noProof/>
                </w:rPr>
                <w:t xml:space="preserve">Lange, S., Rehm, J. &amp; Popova, S., 2011. The Effectiveness of Criminal Justice Diversion Initiatives in North America: A Systematic Literature Review. </w:t>
              </w:r>
              <w:r>
                <w:rPr>
                  <w:i/>
                  <w:iCs/>
                  <w:noProof/>
                </w:rPr>
                <w:t xml:space="preserve">International Journal of Forensic Mental Health, </w:t>
              </w:r>
              <w:r>
                <w:rPr>
                  <w:noProof/>
                </w:rPr>
                <w:t>10(3), pp. 200-214.</w:t>
              </w:r>
            </w:p>
            <w:p w14:paraId="298B5B39" w14:textId="77777777" w:rsidR="0074431F" w:rsidRDefault="0074431F" w:rsidP="0074431F">
              <w:pPr>
                <w:pStyle w:val="Bibliography"/>
                <w:rPr>
                  <w:noProof/>
                </w:rPr>
              </w:pPr>
              <w:r>
                <w:rPr>
                  <w:noProof/>
                </w:rPr>
                <w:t xml:space="preserve">Losel, F. et al., 2011. </w:t>
              </w:r>
              <w:r>
                <w:rPr>
                  <w:i/>
                  <w:iCs/>
                  <w:noProof/>
                </w:rPr>
                <w:t xml:space="preserve">Stregthening Transnational Approaches to Reducing Reoffending: Final Report Submitted to the European Commission, </w:t>
              </w:r>
              <w:r>
                <w:rPr>
                  <w:noProof/>
                </w:rPr>
                <w:t>s.l.: s.n.</w:t>
              </w:r>
            </w:p>
            <w:p w14:paraId="62375439" w14:textId="77777777" w:rsidR="0074431F" w:rsidRDefault="0074431F" w:rsidP="0074431F">
              <w:pPr>
                <w:pStyle w:val="Bibliography"/>
                <w:rPr>
                  <w:noProof/>
                </w:rPr>
              </w:pPr>
              <w:r>
                <w:rPr>
                  <w:noProof/>
                </w:rPr>
                <w:t xml:space="preserve">Maher, L. &amp; Dixon, D., 1999. Policing and public health: Law enforcement and harm minimalization in a street-level drug market. </w:t>
              </w:r>
              <w:r>
                <w:rPr>
                  <w:i/>
                  <w:iCs/>
                  <w:noProof/>
                </w:rPr>
                <w:t xml:space="preserve">The British Journal of Criminology, </w:t>
              </w:r>
              <w:r>
                <w:rPr>
                  <w:noProof/>
                </w:rPr>
                <w:t>39(4), pp. 488-512.</w:t>
              </w:r>
            </w:p>
            <w:p w14:paraId="7FA70996" w14:textId="77777777" w:rsidR="0074431F" w:rsidRDefault="0074431F" w:rsidP="0074431F">
              <w:pPr>
                <w:pStyle w:val="Bibliography"/>
                <w:rPr>
                  <w:noProof/>
                </w:rPr>
              </w:pPr>
              <w:r>
                <w:rPr>
                  <w:noProof/>
                </w:rPr>
                <w:t xml:space="preserve">Ministry of Justice, 2015. </w:t>
              </w:r>
              <w:r>
                <w:rPr>
                  <w:i/>
                  <w:iCs/>
                  <w:noProof/>
                </w:rPr>
                <w:t xml:space="preserve">Female Offending Blueprint for Wales, </w:t>
              </w:r>
              <w:r>
                <w:rPr>
                  <w:noProof/>
                </w:rPr>
                <w:t>London: Ministry of Justice.</w:t>
              </w:r>
            </w:p>
            <w:p w14:paraId="4627BB80" w14:textId="77777777" w:rsidR="0074431F" w:rsidRDefault="0074431F" w:rsidP="0074431F">
              <w:pPr>
                <w:pStyle w:val="Bibliography"/>
                <w:rPr>
                  <w:noProof/>
                </w:rPr>
              </w:pPr>
              <w:r>
                <w:rPr>
                  <w:noProof/>
                </w:rPr>
                <w:t xml:space="preserve">National Crime Agency, 2021. </w:t>
              </w:r>
              <w:r>
                <w:rPr>
                  <w:i/>
                  <w:iCs/>
                  <w:noProof/>
                </w:rPr>
                <w:t xml:space="preserve">National Strategic Assessment of Serious and Organised Crime , </w:t>
              </w:r>
              <w:r>
                <w:rPr>
                  <w:noProof/>
                </w:rPr>
                <w:t>s.l.: s.n.</w:t>
              </w:r>
            </w:p>
            <w:p w14:paraId="7D50E8A6" w14:textId="77777777" w:rsidR="0074431F" w:rsidRDefault="0074431F" w:rsidP="0074431F">
              <w:pPr>
                <w:pStyle w:val="Bibliography"/>
                <w:rPr>
                  <w:noProof/>
                </w:rPr>
              </w:pPr>
              <w:r>
                <w:rPr>
                  <w:noProof/>
                </w:rPr>
                <w:lastRenderedPageBreak/>
                <w:t xml:space="preserve">National Institute of Justice, 2019. </w:t>
              </w:r>
              <w:r>
                <w:rPr>
                  <w:i/>
                  <w:iCs/>
                  <w:noProof/>
                </w:rPr>
                <w:t xml:space="preserve">Research and evaluation on the administration of justice, </w:t>
              </w:r>
              <w:r>
                <w:rPr>
                  <w:noProof/>
                </w:rPr>
                <w:t>United States: s.n.</w:t>
              </w:r>
            </w:p>
            <w:p w14:paraId="23FA2FA1" w14:textId="77777777" w:rsidR="0074431F" w:rsidRDefault="0074431F" w:rsidP="0074431F">
              <w:pPr>
                <w:pStyle w:val="Bibliography"/>
                <w:rPr>
                  <w:noProof/>
                </w:rPr>
              </w:pPr>
              <w:r>
                <w:rPr>
                  <w:noProof/>
                </w:rPr>
                <w:t xml:space="preserve">National Police Chiefs' Council, 2017. </w:t>
              </w:r>
              <w:r>
                <w:rPr>
                  <w:i/>
                  <w:iCs/>
                  <w:noProof/>
                </w:rPr>
                <w:t xml:space="preserve">Charging and Out of Court Disposals; a National Strategy 2017-2021, </w:t>
              </w:r>
              <w:r>
                <w:rPr>
                  <w:noProof/>
                </w:rPr>
                <w:t>London: National Police Chiefs' Council.</w:t>
              </w:r>
            </w:p>
            <w:p w14:paraId="5001E8C3" w14:textId="77777777" w:rsidR="0074431F" w:rsidRDefault="0074431F" w:rsidP="0074431F">
              <w:pPr>
                <w:pStyle w:val="Bibliography"/>
                <w:rPr>
                  <w:noProof/>
                </w:rPr>
              </w:pPr>
              <w:r>
                <w:rPr>
                  <w:noProof/>
                </w:rPr>
                <w:t xml:space="preserve">Netherland, J. et al., 2022. Principles and Metrics for Evaluating Oregon’s Innovative Drug Decriminalization Measure. </w:t>
              </w:r>
              <w:r>
                <w:rPr>
                  <w:i/>
                  <w:iCs/>
                  <w:noProof/>
                </w:rPr>
                <w:t xml:space="preserve">Journal of Urban Health, </w:t>
              </w:r>
              <w:r>
                <w:rPr>
                  <w:noProof/>
                </w:rPr>
                <w:t>Volume 99, pp. 328-331.</w:t>
              </w:r>
            </w:p>
            <w:p w14:paraId="744B604C" w14:textId="77777777" w:rsidR="0074431F" w:rsidRDefault="0074431F" w:rsidP="0074431F">
              <w:pPr>
                <w:pStyle w:val="Bibliography"/>
                <w:rPr>
                  <w:noProof/>
                </w:rPr>
              </w:pPr>
              <w:r>
                <w:rPr>
                  <w:noProof/>
                </w:rPr>
                <w:t xml:space="preserve">Platt, L. et al., 2018. Associations between sex work laws and sex workers' health: A systematic review and meta-analysis of quantitative and qualitative studies. </w:t>
              </w:r>
              <w:r>
                <w:rPr>
                  <w:i/>
                  <w:iCs/>
                  <w:noProof/>
                </w:rPr>
                <w:t xml:space="preserve">PLOS Medicine, </w:t>
              </w:r>
              <w:r>
                <w:rPr>
                  <w:noProof/>
                </w:rPr>
                <w:t>15(e1002680).</w:t>
              </w:r>
            </w:p>
            <w:p w14:paraId="0ABA2D30" w14:textId="77777777" w:rsidR="0074431F" w:rsidRDefault="0074431F" w:rsidP="0074431F">
              <w:pPr>
                <w:pStyle w:val="Bibliography"/>
                <w:rPr>
                  <w:noProof/>
                </w:rPr>
              </w:pPr>
              <w:r>
                <w:rPr>
                  <w:noProof/>
                </w:rPr>
                <w:t xml:space="preserve">Policinginsight, 2019. </w:t>
              </w:r>
              <w:r>
                <w:rPr>
                  <w:i/>
                  <w:iCs/>
                  <w:noProof/>
                </w:rPr>
                <w:t xml:space="preserve">Policing Insight. </w:t>
              </w:r>
              <w:r>
                <w:rPr>
                  <w:noProof/>
                </w:rPr>
                <w:t xml:space="preserve">[Online] </w:t>
              </w:r>
              <w:r>
                <w:rPr>
                  <w:noProof/>
                </w:rPr>
                <w:br/>
                <w:t xml:space="preserve">Available at: </w:t>
              </w:r>
              <w:r>
                <w:rPr>
                  <w:noProof/>
                  <w:u w:val="single"/>
                </w:rPr>
                <w:t>https://policinginsight.com/features/analysis/thames-valley-police-journal-diversion-going-soft-on-drugs/</w:t>
              </w:r>
              <w:r>
                <w:rPr>
                  <w:noProof/>
                </w:rPr>
                <w:br/>
                <w:t>[Accessed 02 June 2022].</w:t>
              </w:r>
            </w:p>
            <w:p w14:paraId="23643B5E" w14:textId="77777777" w:rsidR="0074431F" w:rsidRDefault="0074431F" w:rsidP="0074431F">
              <w:pPr>
                <w:pStyle w:val="Bibliography"/>
                <w:rPr>
                  <w:noProof/>
                </w:rPr>
              </w:pPr>
              <w:r>
                <w:rPr>
                  <w:noProof/>
                </w:rPr>
                <w:t xml:space="preserve">Rhodes, T., 2009. Risk environments and drug harms: A social science for harm reduction approach. </w:t>
              </w:r>
              <w:r>
                <w:rPr>
                  <w:i/>
                  <w:iCs/>
                  <w:noProof/>
                </w:rPr>
                <w:t xml:space="preserve">International Journal of Drug Policy, </w:t>
              </w:r>
              <w:r>
                <w:rPr>
                  <w:noProof/>
                </w:rPr>
                <w:t>Volume 3, pp. 85-94.</w:t>
              </w:r>
            </w:p>
            <w:p w14:paraId="57465013" w14:textId="77777777" w:rsidR="0074431F" w:rsidRDefault="0074431F" w:rsidP="0074431F">
              <w:pPr>
                <w:pStyle w:val="Bibliography"/>
                <w:rPr>
                  <w:noProof/>
                </w:rPr>
              </w:pPr>
              <w:r>
                <w:rPr>
                  <w:noProof/>
                </w:rPr>
                <w:t xml:space="preserve">Richards, T., 2022. </w:t>
              </w:r>
              <w:r>
                <w:rPr>
                  <w:i/>
                  <w:iCs/>
                  <w:noProof/>
                </w:rPr>
                <w:t xml:space="preserve">Washington Examiner. </w:t>
              </w:r>
              <w:r>
                <w:rPr>
                  <w:noProof/>
                </w:rPr>
                <w:t xml:space="preserve">[Online] </w:t>
              </w:r>
              <w:r>
                <w:rPr>
                  <w:noProof/>
                </w:rPr>
                <w:br/>
                <w:t xml:space="preserve">Available at: </w:t>
              </w:r>
              <w:r>
                <w:rPr>
                  <w:noProof/>
                  <w:u w:val="single"/>
                </w:rPr>
                <w:t>https://www.washingtonexaminer.com/restoring-america/fairness-justice/oregons-new-drug-treatment-law-a-big-flop</w:t>
              </w:r>
              <w:r>
                <w:rPr>
                  <w:noProof/>
                </w:rPr>
                <w:br/>
                <w:t>[Accessed 06 June 2022].</w:t>
              </w:r>
            </w:p>
            <w:p w14:paraId="3F7ADB51" w14:textId="77777777" w:rsidR="0074431F" w:rsidRDefault="0074431F" w:rsidP="0074431F">
              <w:pPr>
                <w:pStyle w:val="Bibliography"/>
                <w:rPr>
                  <w:noProof/>
                </w:rPr>
              </w:pPr>
              <w:r>
                <w:rPr>
                  <w:noProof/>
                </w:rPr>
                <w:t xml:space="preserve">Robin-D'Cruz, C. &amp; Whitehead, S., 2019. </w:t>
              </w:r>
              <w:r>
                <w:rPr>
                  <w:i/>
                  <w:iCs/>
                  <w:noProof/>
                </w:rPr>
                <w:t xml:space="preserve">Centre for Justice Innovation; Pre-court diversion for adults: an evidence briefing, </w:t>
              </w:r>
              <w:r>
                <w:rPr>
                  <w:noProof/>
                </w:rPr>
                <w:t>London: Creative Commons.</w:t>
              </w:r>
            </w:p>
            <w:p w14:paraId="673C9A46" w14:textId="77777777" w:rsidR="0074431F" w:rsidRDefault="0074431F" w:rsidP="0074431F">
              <w:pPr>
                <w:pStyle w:val="Bibliography"/>
                <w:rPr>
                  <w:noProof/>
                </w:rPr>
              </w:pPr>
              <w:r>
                <w:rPr>
                  <w:noProof/>
                </w:rPr>
                <w:t xml:space="preserve">Routledge, G. &amp; Weir, K., 2019. Checkpoint: An innovative Programme to Navigate People Away from the Cycle of Reoffending: Implementation Phase Evaluation. Policing. </w:t>
              </w:r>
              <w:r>
                <w:rPr>
                  <w:i/>
                  <w:iCs/>
                  <w:noProof/>
                </w:rPr>
                <w:t xml:space="preserve">A journal of Policy and Practice, </w:t>
              </w:r>
              <w:r>
                <w:rPr>
                  <w:noProof/>
                </w:rPr>
                <w:t>pp. 1-20.</w:t>
              </w:r>
            </w:p>
            <w:p w14:paraId="1AF76632" w14:textId="77777777" w:rsidR="0074431F" w:rsidRDefault="0074431F" w:rsidP="0074431F">
              <w:pPr>
                <w:pStyle w:val="Bibliography"/>
                <w:rPr>
                  <w:noProof/>
                </w:rPr>
              </w:pPr>
              <w:r>
                <w:rPr>
                  <w:noProof/>
                </w:rPr>
                <w:t xml:space="preserve">Shanahan, M., Hughes, C. &amp; McSweeney, T., 2017. </w:t>
              </w:r>
              <w:r>
                <w:rPr>
                  <w:i/>
                  <w:iCs/>
                  <w:noProof/>
                </w:rPr>
                <w:t xml:space="preserve">Police diversion for cannabis offences: Assessing outcomes and cost-effectiveness. Trends and issues in crime and criminal justice No. 532, </w:t>
              </w:r>
              <w:r>
                <w:rPr>
                  <w:noProof/>
                </w:rPr>
                <w:t>Canberra: Australian Institute of Criminology.</w:t>
              </w:r>
            </w:p>
            <w:p w14:paraId="20183BD2" w14:textId="77777777" w:rsidR="0074431F" w:rsidRDefault="0074431F" w:rsidP="0074431F">
              <w:pPr>
                <w:pStyle w:val="Bibliography"/>
                <w:rPr>
                  <w:noProof/>
                </w:rPr>
              </w:pPr>
              <w:r>
                <w:rPr>
                  <w:noProof/>
                </w:rPr>
                <w:t xml:space="preserve">Simon, J., 2007. </w:t>
              </w:r>
              <w:r>
                <w:rPr>
                  <w:i/>
                  <w:iCs/>
                  <w:noProof/>
                </w:rPr>
                <w:t xml:space="preserve">Governing Through Crime. How the War on Crime Transformed American Democracy and Created a Culture of Fear. </w:t>
              </w:r>
              <w:r>
                <w:rPr>
                  <w:noProof/>
                </w:rPr>
                <w:t>s.l.:Oxford University Press.</w:t>
              </w:r>
            </w:p>
            <w:p w14:paraId="5CBBAED8" w14:textId="77777777" w:rsidR="0074431F" w:rsidRDefault="0074431F" w:rsidP="0074431F">
              <w:pPr>
                <w:pStyle w:val="Bibliography"/>
                <w:rPr>
                  <w:noProof/>
                </w:rPr>
              </w:pPr>
              <w:r>
                <w:rPr>
                  <w:noProof/>
                </w:rPr>
                <w:t xml:space="preserve">Skodbo, S. et al., 2007. </w:t>
              </w:r>
              <w:r>
                <w:rPr>
                  <w:i/>
                  <w:iCs/>
                  <w:noProof/>
                </w:rPr>
                <w:t xml:space="preserve">The Drug Interventions Programme (DIP): addressing drug use and offending through 'Tough Choices', </w:t>
              </w:r>
              <w:r>
                <w:rPr>
                  <w:noProof/>
                </w:rPr>
                <w:t>London: Home Office.</w:t>
              </w:r>
            </w:p>
            <w:p w14:paraId="272F8038" w14:textId="77777777" w:rsidR="0074431F" w:rsidRDefault="0074431F" w:rsidP="0074431F">
              <w:pPr>
                <w:pStyle w:val="Bibliography"/>
                <w:rPr>
                  <w:noProof/>
                </w:rPr>
              </w:pPr>
              <w:r>
                <w:rPr>
                  <w:noProof/>
                </w:rPr>
                <w:t xml:space="preserve">South Wales Police, 2021. </w:t>
              </w:r>
              <w:r>
                <w:rPr>
                  <w:i/>
                  <w:iCs/>
                  <w:noProof/>
                </w:rPr>
                <w:t xml:space="preserve">Drugs Market Profile , </w:t>
              </w:r>
              <w:r>
                <w:rPr>
                  <w:noProof/>
                </w:rPr>
                <w:t>Bridgend: South Wales Police.</w:t>
              </w:r>
            </w:p>
            <w:p w14:paraId="64569F76" w14:textId="77777777" w:rsidR="0074431F" w:rsidRDefault="0074431F" w:rsidP="0074431F">
              <w:pPr>
                <w:pStyle w:val="Bibliography"/>
                <w:rPr>
                  <w:noProof/>
                </w:rPr>
              </w:pPr>
              <w:r>
                <w:rPr>
                  <w:noProof/>
                </w:rPr>
                <w:t xml:space="preserve">Spyt, W., Barnham, L. &amp; Kew, J., 2019. Diversion: Going soft on drugs?. </w:t>
              </w:r>
              <w:r>
                <w:rPr>
                  <w:i/>
                  <w:iCs/>
                  <w:noProof/>
                </w:rPr>
                <w:t xml:space="preserve">Thames Valley Police Journal, </w:t>
              </w:r>
              <w:r>
                <w:rPr>
                  <w:noProof/>
                </w:rPr>
                <w:t>Volume 4, pp. 44-58.</w:t>
              </w:r>
            </w:p>
            <w:p w14:paraId="6A3057C4" w14:textId="77777777" w:rsidR="0074431F" w:rsidRDefault="0074431F" w:rsidP="0074431F">
              <w:pPr>
                <w:pStyle w:val="Bibliography"/>
                <w:rPr>
                  <w:noProof/>
                </w:rPr>
              </w:pPr>
              <w:r>
                <w:rPr>
                  <w:noProof/>
                </w:rPr>
                <w:t xml:space="preserve">Transform, 2022. </w:t>
              </w:r>
              <w:r>
                <w:rPr>
                  <w:i/>
                  <w:iCs/>
                  <w:noProof/>
                </w:rPr>
                <w:t xml:space="preserve">Transform.org. </w:t>
              </w:r>
              <w:r>
                <w:rPr>
                  <w:noProof/>
                </w:rPr>
                <w:t xml:space="preserve">[Online] </w:t>
              </w:r>
              <w:r>
                <w:rPr>
                  <w:noProof/>
                </w:rPr>
                <w:br/>
                <w:t xml:space="preserve">Available at: </w:t>
              </w:r>
              <w:r>
                <w:rPr>
                  <w:noProof/>
                  <w:u w:val="single"/>
                </w:rPr>
                <w:t>https://www.bing.com/search?q=transform.org+drug+policy+diversion+schemes&amp;cvid=1e0d9acf1b2346ed853093c43f6069c6&amp;aqs=edge..69i57j69i64.15445j0j1&amp;pglt=41&amp;FORM=ANNAB1&amp;PC=U531</w:t>
              </w:r>
              <w:r>
                <w:rPr>
                  <w:noProof/>
                </w:rPr>
                <w:br/>
                <w:t>[Accessed 02 June 2022].</w:t>
              </w:r>
            </w:p>
            <w:p w14:paraId="5BA3FB9A" w14:textId="77777777" w:rsidR="0074431F" w:rsidRDefault="0074431F" w:rsidP="0074431F">
              <w:pPr>
                <w:pStyle w:val="Bibliography"/>
                <w:rPr>
                  <w:noProof/>
                </w:rPr>
              </w:pPr>
              <w:r>
                <w:rPr>
                  <w:noProof/>
                </w:rPr>
                <w:t xml:space="preserve">Welsh Government, 2021. </w:t>
              </w:r>
              <w:r>
                <w:rPr>
                  <w:i/>
                  <w:iCs/>
                  <w:noProof/>
                </w:rPr>
                <w:t xml:space="preserve">Substance Misuse Delivery Plan 2019-2022, </w:t>
              </w:r>
              <w:r>
                <w:rPr>
                  <w:noProof/>
                </w:rPr>
                <w:t>Cardiff: OGL.</w:t>
              </w:r>
            </w:p>
            <w:p w14:paraId="3CF83762" w14:textId="77777777" w:rsidR="0074431F" w:rsidRDefault="0074431F" w:rsidP="0074431F">
              <w:pPr>
                <w:pStyle w:val="Bibliography"/>
                <w:rPr>
                  <w:noProof/>
                </w:rPr>
              </w:pPr>
              <w:r>
                <w:rPr>
                  <w:noProof/>
                </w:rPr>
                <w:lastRenderedPageBreak/>
                <w:t xml:space="preserve">Wood, J. D., 2020. Private Policing and Public Health: A Neglected Relationship. </w:t>
              </w:r>
              <w:r>
                <w:rPr>
                  <w:i/>
                  <w:iCs/>
                  <w:noProof/>
                </w:rPr>
                <w:t xml:space="preserve">Journal of Contemporary Criminal Justice, </w:t>
              </w:r>
              <w:r>
                <w:rPr>
                  <w:noProof/>
                </w:rPr>
                <w:t>36(1), pp. 19-38.</w:t>
              </w:r>
            </w:p>
            <w:p w14:paraId="101CEA72" w14:textId="16010B83" w:rsidR="0074431F" w:rsidRDefault="0074431F" w:rsidP="0074431F">
              <w:r>
                <w:rPr>
                  <w:b/>
                  <w:bCs/>
                  <w:noProof/>
                </w:rPr>
                <w:fldChar w:fldCharType="end"/>
              </w:r>
            </w:p>
          </w:sdtContent>
        </w:sdt>
      </w:sdtContent>
    </w:sdt>
    <w:p w14:paraId="693E93AA" w14:textId="2E85DFF1" w:rsidR="0074431F" w:rsidRPr="00E42CF0" w:rsidRDefault="0074431F" w:rsidP="0074431F">
      <w:pPr>
        <w:pStyle w:val="ListParagraph"/>
        <w:spacing w:line="480" w:lineRule="auto"/>
        <w:jc w:val="both"/>
        <w:rPr>
          <w:rFonts w:ascii="Arial" w:hAnsi="Arial" w:cs="Arial"/>
          <w:sz w:val="24"/>
          <w:szCs w:val="24"/>
        </w:rPr>
      </w:pPr>
    </w:p>
    <w:p w14:paraId="2D9C4DAB" w14:textId="6C409122" w:rsidR="00A078ED" w:rsidRDefault="00A078ED" w:rsidP="008275C8">
      <w:pPr>
        <w:rPr>
          <w:rFonts w:ascii="Arial" w:hAnsi="Arial" w:cs="Arial"/>
          <w:sz w:val="24"/>
          <w:szCs w:val="24"/>
        </w:rPr>
      </w:pPr>
    </w:p>
    <w:p w14:paraId="040CB61F" w14:textId="76B384F9" w:rsidR="004A3DCC" w:rsidRDefault="004A3DCC" w:rsidP="008275C8">
      <w:pPr>
        <w:rPr>
          <w:rFonts w:ascii="Arial" w:hAnsi="Arial" w:cs="Arial"/>
          <w:sz w:val="24"/>
          <w:szCs w:val="24"/>
        </w:rPr>
      </w:pPr>
    </w:p>
    <w:p w14:paraId="600129C2" w14:textId="27ABE77F" w:rsidR="004A3DCC" w:rsidRDefault="004A3DCC" w:rsidP="008275C8">
      <w:pPr>
        <w:rPr>
          <w:rFonts w:ascii="Arial" w:hAnsi="Arial" w:cs="Arial"/>
          <w:sz w:val="24"/>
          <w:szCs w:val="24"/>
        </w:rPr>
      </w:pPr>
    </w:p>
    <w:p w14:paraId="08DCBBD2" w14:textId="171E221C" w:rsidR="004A3DCC" w:rsidRDefault="004A3DCC" w:rsidP="008275C8">
      <w:pPr>
        <w:rPr>
          <w:rFonts w:ascii="Arial" w:hAnsi="Arial" w:cs="Arial"/>
          <w:sz w:val="24"/>
          <w:szCs w:val="24"/>
        </w:rPr>
      </w:pPr>
    </w:p>
    <w:p w14:paraId="7A0F5633" w14:textId="396ACE0D" w:rsidR="004A3DCC" w:rsidRDefault="004A3DCC" w:rsidP="008275C8">
      <w:pPr>
        <w:rPr>
          <w:rFonts w:ascii="Arial" w:hAnsi="Arial" w:cs="Arial"/>
          <w:sz w:val="24"/>
          <w:szCs w:val="24"/>
        </w:rPr>
      </w:pPr>
    </w:p>
    <w:p w14:paraId="516F9560" w14:textId="40C256BF" w:rsidR="004A3DCC" w:rsidRDefault="004A3DCC" w:rsidP="008275C8">
      <w:pPr>
        <w:rPr>
          <w:rFonts w:ascii="Arial" w:hAnsi="Arial" w:cs="Arial"/>
          <w:sz w:val="24"/>
          <w:szCs w:val="24"/>
        </w:rPr>
      </w:pPr>
    </w:p>
    <w:p w14:paraId="7A86B32D" w14:textId="1C94C4BA" w:rsidR="004A3DCC" w:rsidRDefault="004A3DCC" w:rsidP="008275C8">
      <w:pPr>
        <w:rPr>
          <w:rFonts w:ascii="Arial" w:hAnsi="Arial" w:cs="Arial"/>
          <w:sz w:val="24"/>
          <w:szCs w:val="24"/>
        </w:rPr>
      </w:pPr>
    </w:p>
    <w:p w14:paraId="124BE552" w14:textId="04A934CA" w:rsidR="004A3DCC" w:rsidRDefault="004A3DCC" w:rsidP="008275C8">
      <w:pPr>
        <w:rPr>
          <w:rFonts w:ascii="Arial" w:hAnsi="Arial" w:cs="Arial"/>
          <w:sz w:val="24"/>
          <w:szCs w:val="24"/>
        </w:rPr>
      </w:pPr>
    </w:p>
    <w:p w14:paraId="6A5ACD1F" w14:textId="387C10C1" w:rsidR="004A3DCC" w:rsidRDefault="004A3DCC" w:rsidP="008275C8">
      <w:pPr>
        <w:rPr>
          <w:rFonts w:ascii="Arial" w:hAnsi="Arial" w:cs="Arial"/>
          <w:sz w:val="24"/>
          <w:szCs w:val="24"/>
        </w:rPr>
      </w:pPr>
    </w:p>
    <w:p w14:paraId="0A9B8493" w14:textId="0B39A152" w:rsidR="004A3DCC" w:rsidRDefault="004A3DCC" w:rsidP="008275C8">
      <w:pPr>
        <w:rPr>
          <w:rFonts w:ascii="Arial" w:hAnsi="Arial" w:cs="Arial"/>
          <w:sz w:val="24"/>
          <w:szCs w:val="24"/>
        </w:rPr>
      </w:pPr>
    </w:p>
    <w:p w14:paraId="3CEE76D2" w14:textId="23511A53" w:rsidR="004A3DCC" w:rsidRDefault="004A3DCC" w:rsidP="008275C8">
      <w:pPr>
        <w:rPr>
          <w:rFonts w:ascii="Arial" w:hAnsi="Arial" w:cs="Arial"/>
          <w:sz w:val="24"/>
          <w:szCs w:val="24"/>
        </w:rPr>
      </w:pPr>
    </w:p>
    <w:p w14:paraId="796BB94A" w14:textId="34B0559A" w:rsidR="004A3DCC" w:rsidRDefault="004A3DCC" w:rsidP="008275C8">
      <w:pPr>
        <w:rPr>
          <w:rFonts w:ascii="Arial" w:hAnsi="Arial" w:cs="Arial"/>
          <w:sz w:val="24"/>
          <w:szCs w:val="24"/>
        </w:rPr>
      </w:pPr>
    </w:p>
    <w:p w14:paraId="6BD0C963" w14:textId="43CAD001" w:rsidR="004A3DCC" w:rsidRDefault="004A3DCC" w:rsidP="008275C8">
      <w:pPr>
        <w:rPr>
          <w:rFonts w:ascii="Arial" w:hAnsi="Arial" w:cs="Arial"/>
          <w:sz w:val="24"/>
          <w:szCs w:val="24"/>
        </w:rPr>
      </w:pPr>
    </w:p>
    <w:p w14:paraId="569A85B6" w14:textId="01087EAC" w:rsidR="004A3DCC" w:rsidRDefault="004A3DCC" w:rsidP="008275C8">
      <w:pPr>
        <w:rPr>
          <w:rFonts w:ascii="Arial" w:hAnsi="Arial" w:cs="Arial"/>
          <w:sz w:val="24"/>
          <w:szCs w:val="24"/>
        </w:rPr>
      </w:pPr>
    </w:p>
    <w:p w14:paraId="031C0268" w14:textId="6494F3E5" w:rsidR="004A3DCC" w:rsidRDefault="004A3DCC" w:rsidP="008275C8">
      <w:pPr>
        <w:rPr>
          <w:rFonts w:ascii="Arial" w:hAnsi="Arial" w:cs="Arial"/>
          <w:sz w:val="24"/>
          <w:szCs w:val="24"/>
        </w:rPr>
      </w:pPr>
    </w:p>
    <w:p w14:paraId="415D872A" w14:textId="77777777" w:rsidR="004A3DCC" w:rsidRDefault="004A3DCC" w:rsidP="008275C8">
      <w:pPr>
        <w:rPr>
          <w:rFonts w:ascii="Arial" w:hAnsi="Arial" w:cs="Arial"/>
          <w:sz w:val="24"/>
          <w:szCs w:val="24"/>
        </w:rPr>
      </w:pPr>
    </w:p>
    <w:p w14:paraId="3F68D2A1" w14:textId="21D99AA4" w:rsidR="000A5526" w:rsidRDefault="000A5526" w:rsidP="00AE1314">
      <w:pPr>
        <w:pStyle w:val="Title"/>
      </w:pPr>
    </w:p>
    <w:p w14:paraId="340E5CB9" w14:textId="2607E233" w:rsidR="0088071A" w:rsidRDefault="0088071A" w:rsidP="0088071A"/>
    <w:p w14:paraId="177D92D3" w14:textId="47766964" w:rsidR="0088071A" w:rsidRDefault="0088071A" w:rsidP="0088071A"/>
    <w:p w14:paraId="24B5F8C5" w14:textId="7415766E" w:rsidR="0088071A" w:rsidRDefault="0088071A" w:rsidP="0088071A"/>
    <w:p w14:paraId="766D4422" w14:textId="58DBB506" w:rsidR="0088071A" w:rsidRDefault="0088071A" w:rsidP="0088071A"/>
    <w:p w14:paraId="6CF5DE7F" w14:textId="4D88F2BE" w:rsidR="00DD564B" w:rsidRDefault="00DD564B" w:rsidP="0012374F">
      <w:pPr>
        <w:rPr>
          <w:rFonts w:ascii="Arial" w:hAnsi="Arial" w:cs="Arial"/>
          <w:b/>
          <w:bCs/>
          <w:caps/>
          <w:color w:val="FFFFFF" w:themeColor="background1"/>
          <w:spacing w:val="15"/>
          <w:sz w:val="24"/>
          <w:szCs w:val="24"/>
        </w:rPr>
      </w:pPr>
    </w:p>
    <w:p w14:paraId="5566DB41" w14:textId="65F624CD" w:rsidR="0099636A" w:rsidRDefault="0099636A" w:rsidP="0012374F">
      <w:pPr>
        <w:rPr>
          <w:rFonts w:ascii="Arial" w:hAnsi="Arial" w:cs="Arial"/>
          <w:b/>
          <w:bCs/>
          <w:caps/>
          <w:color w:val="FFFFFF" w:themeColor="background1"/>
          <w:spacing w:val="15"/>
          <w:sz w:val="24"/>
          <w:szCs w:val="24"/>
        </w:rPr>
      </w:pPr>
    </w:p>
    <w:p w14:paraId="2EEEC4A9" w14:textId="18FB485C" w:rsidR="0099636A" w:rsidRDefault="0099636A" w:rsidP="0012374F">
      <w:pPr>
        <w:rPr>
          <w:rFonts w:ascii="Arial" w:hAnsi="Arial" w:cs="Arial"/>
          <w:b/>
          <w:bCs/>
          <w:caps/>
          <w:color w:val="FFFFFF" w:themeColor="background1"/>
          <w:spacing w:val="15"/>
          <w:sz w:val="24"/>
          <w:szCs w:val="24"/>
        </w:rPr>
      </w:pPr>
    </w:p>
    <w:p w14:paraId="7B13B767" w14:textId="3E6FDD49" w:rsidR="0099636A" w:rsidRDefault="0099636A" w:rsidP="0012374F">
      <w:pPr>
        <w:rPr>
          <w:rFonts w:ascii="Arial" w:hAnsi="Arial" w:cs="Arial"/>
          <w:b/>
          <w:bCs/>
          <w:caps/>
          <w:color w:val="FFFFFF" w:themeColor="background1"/>
          <w:spacing w:val="15"/>
          <w:sz w:val="24"/>
          <w:szCs w:val="24"/>
        </w:rPr>
      </w:pPr>
    </w:p>
    <w:p w14:paraId="6488FE87" w14:textId="7699660B" w:rsidR="0099636A" w:rsidRDefault="0099636A" w:rsidP="0012374F">
      <w:pPr>
        <w:rPr>
          <w:rFonts w:ascii="Arial" w:hAnsi="Arial" w:cs="Arial"/>
          <w:b/>
          <w:bCs/>
          <w:caps/>
          <w:color w:val="FFFFFF" w:themeColor="background1"/>
          <w:spacing w:val="15"/>
          <w:sz w:val="24"/>
          <w:szCs w:val="24"/>
        </w:rPr>
      </w:pPr>
    </w:p>
    <w:p w14:paraId="75ECAE80" w14:textId="13EF641B" w:rsidR="0099636A" w:rsidRDefault="0099636A" w:rsidP="0012374F">
      <w:pPr>
        <w:rPr>
          <w:rFonts w:ascii="Arial" w:hAnsi="Arial" w:cs="Arial"/>
          <w:b/>
          <w:bCs/>
          <w:caps/>
          <w:color w:val="FFFFFF" w:themeColor="background1"/>
          <w:spacing w:val="15"/>
          <w:sz w:val="24"/>
          <w:szCs w:val="24"/>
        </w:rPr>
      </w:pPr>
    </w:p>
    <w:p w14:paraId="61E0202C" w14:textId="6E3F12F2" w:rsidR="0099636A" w:rsidRDefault="0099636A" w:rsidP="0012374F">
      <w:pPr>
        <w:rPr>
          <w:rFonts w:ascii="Arial" w:hAnsi="Arial" w:cs="Arial"/>
          <w:b/>
          <w:bCs/>
          <w:caps/>
          <w:color w:val="FFFFFF" w:themeColor="background1"/>
          <w:spacing w:val="15"/>
          <w:sz w:val="24"/>
          <w:szCs w:val="24"/>
        </w:rPr>
      </w:pPr>
    </w:p>
    <w:p w14:paraId="04C6BB63" w14:textId="570F86FA" w:rsidR="0099636A" w:rsidRDefault="0099636A" w:rsidP="0012374F">
      <w:pPr>
        <w:rPr>
          <w:rFonts w:ascii="Arial" w:hAnsi="Arial" w:cs="Arial"/>
          <w:b/>
          <w:bCs/>
          <w:caps/>
          <w:color w:val="FFFFFF" w:themeColor="background1"/>
          <w:spacing w:val="15"/>
          <w:sz w:val="24"/>
          <w:szCs w:val="24"/>
        </w:rPr>
      </w:pPr>
    </w:p>
    <w:p w14:paraId="09B9FFA3" w14:textId="3F90C963" w:rsidR="0099636A" w:rsidRDefault="0099636A" w:rsidP="0012374F">
      <w:pPr>
        <w:rPr>
          <w:rFonts w:ascii="Arial" w:hAnsi="Arial" w:cs="Arial"/>
          <w:b/>
          <w:bCs/>
          <w:caps/>
          <w:color w:val="FFFFFF" w:themeColor="background1"/>
          <w:spacing w:val="15"/>
          <w:sz w:val="24"/>
          <w:szCs w:val="24"/>
        </w:rPr>
      </w:pPr>
    </w:p>
    <w:p w14:paraId="308AA525" w14:textId="2D998ECE" w:rsidR="0099636A" w:rsidRDefault="0099636A" w:rsidP="0012374F">
      <w:pPr>
        <w:rPr>
          <w:rFonts w:ascii="Arial" w:hAnsi="Arial" w:cs="Arial"/>
          <w:b/>
          <w:bCs/>
          <w:caps/>
          <w:color w:val="FFFFFF" w:themeColor="background1"/>
          <w:spacing w:val="15"/>
          <w:sz w:val="24"/>
          <w:szCs w:val="24"/>
        </w:rPr>
      </w:pPr>
    </w:p>
    <w:p w14:paraId="77082F47" w14:textId="358087E4" w:rsidR="00C62767" w:rsidRDefault="00C62767" w:rsidP="0012374F">
      <w:pPr>
        <w:rPr>
          <w:rFonts w:ascii="Arial" w:hAnsi="Arial" w:cs="Arial"/>
          <w:b/>
          <w:bCs/>
          <w:caps/>
          <w:color w:val="FFFFFF" w:themeColor="background1"/>
          <w:spacing w:val="15"/>
          <w:sz w:val="24"/>
          <w:szCs w:val="24"/>
        </w:rPr>
      </w:pPr>
    </w:p>
    <w:p w14:paraId="1EEA0F38" w14:textId="1456A592" w:rsidR="00C62767" w:rsidRDefault="00C62767" w:rsidP="0012374F">
      <w:pPr>
        <w:rPr>
          <w:rFonts w:ascii="Arial" w:hAnsi="Arial" w:cs="Arial"/>
          <w:b/>
          <w:bCs/>
          <w:caps/>
          <w:color w:val="FFFFFF" w:themeColor="background1"/>
          <w:spacing w:val="15"/>
          <w:sz w:val="24"/>
          <w:szCs w:val="24"/>
        </w:rPr>
      </w:pPr>
    </w:p>
    <w:p w14:paraId="5B1A9DCA" w14:textId="272440BA" w:rsidR="00C62767" w:rsidRDefault="00C62767" w:rsidP="0012374F">
      <w:pPr>
        <w:rPr>
          <w:rFonts w:ascii="Arial" w:hAnsi="Arial" w:cs="Arial"/>
          <w:b/>
          <w:bCs/>
          <w:caps/>
          <w:color w:val="FFFFFF" w:themeColor="background1"/>
          <w:spacing w:val="15"/>
          <w:sz w:val="24"/>
          <w:szCs w:val="24"/>
        </w:rPr>
      </w:pPr>
    </w:p>
    <w:p w14:paraId="34D3DA17" w14:textId="3E6278E0" w:rsidR="00C62767" w:rsidRDefault="00C62767" w:rsidP="0012374F">
      <w:pPr>
        <w:rPr>
          <w:rFonts w:ascii="Arial" w:hAnsi="Arial" w:cs="Arial"/>
          <w:b/>
          <w:bCs/>
          <w:caps/>
          <w:color w:val="FFFFFF" w:themeColor="background1"/>
          <w:spacing w:val="15"/>
          <w:sz w:val="24"/>
          <w:szCs w:val="24"/>
        </w:rPr>
      </w:pPr>
    </w:p>
    <w:p w14:paraId="62C3FF04" w14:textId="141B2DE6" w:rsidR="00C62767" w:rsidRDefault="00C62767" w:rsidP="0012374F">
      <w:pPr>
        <w:rPr>
          <w:rFonts w:ascii="Arial" w:hAnsi="Arial" w:cs="Arial"/>
          <w:b/>
          <w:bCs/>
          <w:caps/>
          <w:color w:val="FFFFFF" w:themeColor="background1"/>
          <w:spacing w:val="15"/>
          <w:sz w:val="24"/>
          <w:szCs w:val="24"/>
        </w:rPr>
      </w:pPr>
    </w:p>
    <w:p w14:paraId="71BC842D" w14:textId="6827B851" w:rsidR="00C62767" w:rsidRDefault="00C62767" w:rsidP="0012374F">
      <w:pPr>
        <w:rPr>
          <w:rFonts w:ascii="Arial" w:hAnsi="Arial" w:cs="Arial"/>
          <w:b/>
          <w:bCs/>
          <w:caps/>
          <w:color w:val="FFFFFF" w:themeColor="background1"/>
          <w:spacing w:val="15"/>
          <w:sz w:val="24"/>
          <w:szCs w:val="24"/>
        </w:rPr>
      </w:pPr>
    </w:p>
    <w:p w14:paraId="56D6F2EF" w14:textId="0F32B02A" w:rsidR="00C62767" w:rsidRDefault="00C62767" w:rsidP="0012374F">
      <w:pPr>
        <w:rPr>
          <w:rFonts w:ascii="Arial" w:hAnsi="Arial" w:cs="Arial"/>
          <w:b/>
          <w:bCs/>
          <w:caps/>
          <w:color w:val="FFFFFF" w:themeColor="background1"/>
          <w:spacing w:val="15"/>
          <w:sz w:val="24"/>
          <w:szCs w:val="24"/>
        </w:rPr>
      </w:pPr>
    </w:p>
    <w:p w14:paraId="269CFFF8" w14:textId="70149639" w:rsidR="00C62767" w:rsidRDefault="00C62767" w:rsidP="0012374F">
      <w:pPr>
        <w:rPr>
          <w:rFonts w:ascii="Arial" w:hAnsi="Arial" w:cs="Arial"/>
          <w:b/>
          <w:bCs/>
          <w:caps/>
          <w:color w:val="FFFFFF" w:themeColor="background1"/>
          <w:spacing w:val="15"/>
          <w:sz w:val="24"/>
          <w:szCs w:val="24"/>
        </w:rPr>
      </w:pPr>
    </w:p>
    <w:p w14:paraId="60D3ED56" w14:textId="3D44D3FC" w:rsidR="00C62767" w:rsidRDefault="00C62767" w:rsidP="0012374F">
      <w:pPr>
        <w:rPr>
          <w:rFonts w:ascii="Arial" w:hAnsi="Arial" w:cs="Arial"/>
          <w:b/>
          <w:bCs/>
          <w:caps/>
          <w:color w:val="FFFFFF" w:themeColor="background1"/>
          <w:spacing w:val="15"/>
          <w:sz w:val="24"/>
          <w:szCs w:val="24"/>
        </w:rPr>
      </w:pPr>
    </w:p>
    <w:p w14:paraId="148538ED" w14:textId="27A97FE5" w:rsidR="00C62767" w:rsidRDefault="00C62767" w:rsidP="0012374F">
      <w:pPr>
        <w:rPr>
          <w:rFonts w:ascii="Arial" w:hAnsi="Arial" w:cs="Arial"/>
          <w:b/>
          <w:bCs/>
          <w:caps/>
          <w:color w:val="FFFFFF" w:themeColor="background1"/>
          <w:spacing w:val="15"/>
          <w:sz w:val="24"/>
          <w:szCs w:val="24"/>
        </w:rPr>
      </w:pPr>
    </w:p>
    <w:p w14:paraId="2C9C409F" w14:textId="77777777" w:rsidR="00B36C81" w:rsidRDefault="00B36C81" w:rsidP="0012374F">
      <w:pPr>
        <w:rPr>
          <w:rFonts w:ascii="Arial" w:hAnsi="Arial" w:cs="Arial"/>
          <w:b/>
          <w:bCs/>
          <w:caps/>
          <w:color w:val="FFFFFF" w:themeColor="background1"/>
          <w:spacing w:val="15"/>
          <w:sz w:val="24"/>
          <w:szCs w:val="24"/>
        </w:rPr>
      </w:pPr>
    </w:p>
    <w:p w14:paraId="3E6E2578" w14:textId="77777777" w:rsidR="0099636A" w:rsidRDefault="0099636A" w:rsidP="0012374F">
      <w:pPr>
        <w:rPr>
          <w:rFonts w:ascii="Arial" w:hAnsi="Arial" w:cs="Arial"/>
          <w:b/>
          <w:bCs/>
          <w:caps/>
          <w:color w:val="FFFFFF" w:themeColor="background1"/>
          <w:spacing w:val="15"/>
          <w:sz w:val="24"/>
          <w:szCs w:val="24"/>
        </w:rPr>
      </w:pPr>
    </w:p>
    <w:p w14:paraId="346CED77" w14:textId="51DEAFAE" w:rsidR="00B36C81" w:rsidRDefault="00B36C81" w:rsidP="00C62767">
      <w:pPr>
        <w:pStyle w:val="NormalWeb"/>
        <w:shd w:val="clear" w:color="auto" w:fill="FFFFFF"/>
        <w:spacing w:before="0" w:after="0" w:line="480" w:lineRule="auto"/>
        <w:jc w:val="both"/>
        <w:textAlignment w:val="baseline"/>
        <w:rPr>
          <w:rFonts w:ascii="Arial" w:hAnsi="Arial" w:cs="Arial"/>
          <w:color w:val="1F2025"/>
        </w:rPr>
      </w:pPr>
    </w:p>
    <w:p w14:paraId="6706864E" w14:textId="005B49A3" w:rsidR="00B36C81" w:rsidRDefault="00B36C81" w:rsidP="00C62767">
      <w:pPr>
        <w:pStyle w:val="NormalWeb"/>
        <w:shd w:val="clear" w:color="auto" w:fill="FFFFFF"/>
        <w:spacing w:before="0" w:after="0" w:line="480" w:lineRule="auto"/>
        <w:jc w:val="both"/>
        <w:textAlignment w:val="baseline"/>
        <w:rPr>
          <w:rFonts w:ascii="Arial" w:hAnsi="Arial" w:cs="Arial"/>
          <w:color w:val="1F2025"/>
        </w:rPr>
      </w:pPr>
    </w:p>
    <w:p w14:paraId="4924A9E3" w14:textId="1E9641BC" w:rsidR="00B36C81" w:rsidRDefault="00B36C81" w:rsidP="00C62767">
      <w:pPr>
        <w:pStyle w:val="NormalWeb"/>
        <w:shd w:val="clear" w:color="auto" w:fill="FFFFFF"/>
        <w:spacing w:before="0" w:after="0" w:line="480" w:lineRule="auto"/>
        <w:jc w:val="both"/>
        <w:textAlignment w:val="baseline"/>
        <w:rPr>
          <w:rFonts w:ascii="Arial" w:hAnsi="Arial" w:cs="Arial"/>
          <w:color w:val="1F2025"/>
        </w:rPr>
      </w:pPr>
    </w:p>
    <w:p w14:paraId="05648A1D" w14:textId="7D133294" w:rsidR="00B36C81" w:rsidRDefault="00B36C81" w:rsidP="00C62767">
      <w:pPr>
        <w:pStyle w:val="NormalWeb"/>
        <w:shd w:val="clear" w:color="auto" w:fill="FFFFFF"/>
        <w:spacing w:before="0" w:after="0" w:line="480" w:lineRule="auto"/>
        <w:jc w:val="both"/>
        <w:textAlignment w:val="baseline"/>
        <w:rPr>
          <w:rFonts w:ascii="Arial" w:hAnsi="Arial" w:cs="Arial"/>
          <w:color w:val="1F2025"/>
        </w:rPr>
      </w:pPr>
    </w:p>
    <w:p w14:paraId="648852DF" w14:textId="5CE01FA2" w:rsidR="00B36C81" w:rsidRDefault="00B36C81" w:rsidP="00C62767">
      <w:pPr>
        <w:pStyle w:val="NormalWeb"/>
        <w:shd w:val="clear" w:color="auto" w:fill="FFFFFF"/>
        <w:spacing w:before="0" w:after="0" w:line="480" w:lineRule="auto"/>
        <w:jc w:val="both"/>
        <w:textAlignment w:val="baseline"/>
        <w:rPr>
          <w:rFonts w:ascii="Arial" w:hAnsi="Arial" w:cs="Arial"/>
          <w:color w:val="1F2025"/>
        </w:rPr>
      </w:pPr>
    </w:p>
    <w:p w14:paraId="42F9A63C" w14:textId="77777777" w:rsidR="00C62767" w:rsidRPr="00C62767" w:rsidRDefault="00C62767" w:rsidP="00F43C23">
      <w:pPr>
        <w:rPr>
          <w:rFonts w:ascii="Arial" w:hAnsi="Arial" w:cs="Arial"/>
          <w:b/>
          <w:bCs/>
          <w:sz w:val="24"/>
          <w:szCs w:val="24"/>
        </w:rPr>
      </w:pPr>
    </w:p>
    <w:p w14:paraId="68AECA46" w14:textId="177EF85A" w:rsidR="006522BC" w:rsidRPr="008D5C7E" w:rsidRDefault="006522BC" w:rsidP="00C62767">
      <w:pPr>
        <w:pStyle w:val="ListParagraph"/>
        <w:rPr>
          <w:rFonts w:ascii="Arial" w:hAnsi="Arial" w:cs="Arial"/>
          <w:b/>
          <w:bCs/>
          <w:sz w:val="24"/>
          <w:szCs w:val="24"/>
        </w:rPr>
      </w:pPr>
    </w:p>
    <w:p w14:paraId="042D8ECD" w14:textId="7DF5E7CE" w:rsidR="006522BC" w:rsidRPr="00D47F38" w:rsidRDefault="006522BC" w:rsidP="00391012">
      <w:pPr>
        <w:jc w:val="both"/>
      </w:pPr>
    </w:p>
    <w:sectPr w:rsidR="006522BC" w:rsidRPr="00D47F38" w:rsidSect="00DD0D72">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61A29C" w14:textId="77777777" w:rsidR="00581F4D" w:rsidRDefault="00581F4D" w:rsidP="0012374F">
      <w:pPr>
        <w:spacing w:after="0" w:line="240" w:lineRule="auto"/>
      </w:pPr>
      <w:r>
        <w:separator/>
      </w:r>
    </w:p>
  </w:endnote>
  <w:endnote w:type="continuationSeparator" w:id="0">
    <w:p w14:paraId="0C8C25D9" w14:textId="77777777" w:rsidR="00581F4D" w:rsidRDefault="00581F4D" w:rsidP="001237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7E1DA" w14:textId="2C04639B" w:rsidR="00581F4D" w:rsidRDefault="00581F4D" w:rsidP="00DD0D72">
    <w:pPr>
      <w:pStyle w:val="Footer"/>
      <w:rPr>
        <w:color w:val="000000"/>
        <w:sz w:val="17"/>
      </w:rPr>
    </w:pPr>
    <w:bookmarkStart w:id="2" w:name="TITUS1FooterEvenPages"/>
    <w:r w:rsidRPr="00DD0D72">
      <w:rPr>
        <w:color w:val="000000"/>
        <w:sz w:val="17"/>
      </w:rPr>
      <w:t> </w:t>
    </w:r>
  </w:p>
  <w:bookmarkEnd w:id="2" w:displacedByCustomXml="next"/>
  <w:sdt>
    <w:sdtPr>
      <w:id w:val="228200210"/>
      <w:docPartObj>
        <w:docPartGallery w:val="Page Numbers (Bottom of Page)"/>
        <w:docPartUnique/>
      </w:docPartObj>
    </w:sdtPr>
    <w:sdtEndPr>
      <w:rPr>
        <w:noProof/>
      </w:rPr>
    </w:sdtEndPr>
    <w:sdtContent>
      <w:p w14:paraId="30FEA9CE" w14:textId="11988749" w:rsidR="00581F4D" w:rsidRDefault="00581F4D" w:rsidP="00DD0D72">
        <w:pPr>
          <w:pStyle w:val="Footer"/>
          <w:jc w:val="right"/>
        </w:pPr>
        <w:r>
          <w:fldChar w:fldCharType="begin"/>
        </w:r>
        <w:r>
          <w:instrText xml:space="preserve"> PAGE   \* MERGEFORMAT </w:instrText>
        </w:r>
        <w:r>
          <w:fldChar w:fldCharType="separate"/>
        </w:r>
        <w:r>
          <w:rPr>
            <w:noProof/>
          </w:rPr>
          <w:t>18</w:t>
        </w:r>
        <w:r>
          <w:rPr>
            <w:noProof/>
          </w:rPr>
          <w:fldChar w:fldCharType="end"/>
        </w:r>
      </w:p>
    </w:sdtContent>
  </w:sdt>
  <w:p w14:paraId="34C515BC" w14:textId="77777777" w:rsidR="00581F4D" w:rsidRDefault="00581F4D" w:rsidP="00DD0D72">
    <w:pPr>
      <w:pStyle w:val="Footer"/>
    </w:pPr>
  </w:p>
  <w:p w14:paraId="72C7738C" w14:textId="77777777" w:rsidR="00581F4D" w:rsidRDefault="00581F4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D2ACDD" w14:textId="6FD144C8" w:rsidR="00581F4D" w:rsidRDefault="00581F4D" w:rsidP="00DD0D72">
    <w:pPr>
      <w:pStyle w:val="Footer"/>
      <w:rPr>
        <w:color w:val="000000"/>
        <w:sz w:val="17"/>
      </w:rPr>
    </w:pPr>
    <w:bookmarkStart w:id="3" w:name="TITUS1FooterPrimary"/>
    <w:r w:rsidRPr="00DD0D72">
      <w:rPr>
        <w:color w:val="000000"/>
        <w:sz w:val="17"/>
      </w:rPr>
      <w:t> </w:t>
    </w:r>
  </w:p>
  <w:bookmarkEnd w:id="3" w:displacedByCustomXml="next"/>
  <w:sdt>
    <w:sdtPr>
      <w:id w:val="-1403291078"/>
      <w:docPartObj>
        <w:docPartGallery w:val="Page Numbers (Bottom of Page)"/>
        <w:docPartUnique/>
      </w:docPartObj>
    </w:sdtPr>
    <w:sdtEndPr>
      <w:rPr>
        <w:noProof/>
      </w:rPr>
    </w:sdtEndPr>
    <w:sdtContent>
      <w:p w14:paraId="0A949E12" w14:textId="1CF4C0F4" w:rsidR="00581F4D" w:rsidRDefault="00581F4D">
        <w:pPr>
          <w:pStyle w:val="Footer"/>
          <w:jc w:val="right"/>
        </w:pPr>
        <w:r>
          <w:fldChar w:fldCharType="begin"/>
        </w:r>
        <w:r>
          <w:instrText xml:space="preserve"> PAGE   \* MERGEFORMAT </w:instrText>
        </w:r>
        <w:r>
          <w:fldChar w:fldCharType="separate"/>
        </w:r>
        <w:r>
          <w:rPr>
            <w:noProof/>
          </w:rPr>
          <w:t>19</w:t>
        </w:r>
        <w:r>
          <w:rPr>
            <w:noProof/>
          </w:rPr>
          <w:fldChar w:fldCharType="end"/>
        </w:r>
      </w:p>
    </w:sdtContent>
  </w:sdt>
  <w:p w14:paraId="57CCDF6E" w14:textId="77777777" w:rsidR="00581F4D" w:rsidRDefault="00581F4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F299F8" w14:textId="5FD7497A" w:rsidR="00581F4D" w:rsidRDefault="00581F4D" w:rsidP="00DD0D72">
    <w:pPr>
      <w:pStyle w:val="Footer"/>
      <w:rPr>
        <w:color w:val="000000"/>
        <w:sz w:val="17"/>
      </w:rPr>
    </w:pPr>
    <w:bookmarkStart w:id="5" w:name="TITUS1FooterFirstPage"/>
    <w:r w:rsidRPr="00DD0D72">
      <w:rPr>
        <w:color w:val="000000"/>
        <w:sz w:val="17"/>
      </w:rPr>
      <w:t> </w:t>
    </w:r>
  </w:p>
  <w:bookmarkEnd w:id="5" w:displacedByCustomXml="next"/>
  <w:sdt>
    <w:sdtPr>
      <w:id w:val="77417596"/>
      <w:docPartObj>
        <w:docPartGallery w:val="Page Numbers (Bottom of Page)"/>
        <w:docPartUnique/>
      </w:docPartObj>
    </w:sdtPr>
    <w:sdtEndPr>
      <w:rPr>
        <w:noProof/>
      </w:rPr>
    </w:sdtEndPr>
    <w:sdtContent>
      <w:p w14:paraId="496A489F" w14:textId="5545F569" w:rsidR="00581F4D" w:rsidRDefault="00581F4D" w:rsidP="00DD0D72">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0D70CC63" w14:textId="77777777" w:rsidR="00581F4D" w:rsidRDefault="00581F4D" w:rsidP="00DD0D72">
    <w:pPr>
      <w:pStyle w:val="Footer"/>
    </w:pPr>
  </w:p>
  <w:p w14:paraId="0BD05572" w14:textId="77777777" w:rsidR="00581F4D" w:rsidRDefault="00581F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1BDDDE" w14:textId="77777777" w:rsidR="00581F4D" w:rsidRDefault="00581F4D" w:rsidP="0012374F">
      <w:pPr>
        <w:spacing w:after="0" w:line="240" w:lineRule="auto"/>
      </w:pPr>
      <w:r>
        <w:separator/>
      </w:r>
    </w:p>
  </w:footnote>
  <w:footnote w:type="continuationSeparator" w:id="0">
    <w:p w14:paraId="4C2FCF85" w14:textId="77777777" w:rsidR="00581F4D" w:rsidRDefault="00581F4D" w:rsidP="001237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CF7EDA" w14:textId="5C1C0932" w:rsidR="00581F4D" w:rsidRDefault="00581F4D" w:rsidP="00DD0D72">
    <w:pPr>
      <w:pStyle w:val="Header"/>
      <w:rPr>
        <w:color w:val="000000"/>
        <w:sz w:val="17"/>
      </w:rPr>
    </w:pPr>
    <w:bookmarkStart w:id="0" w:name="TITUS1HeaderEvenPages"/>
    <w:r w:rsidRPr="00DD0D72">
      <w:rPr>
        <w:color w:val="000000"/>
        <w:sz w:val="17"/>
      </w:rPr>
      <w:t> </w:t>
    </w:r>
  </w:p>
  <w:bookmarkEnd w:id="0"/>
  <w:p w14:paraId="42C413B6" w14:textId="77777777" w:rsidR="00581F4D" w:rsidRDefault="00581F4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DDEE98" w14:textId="7623F324" w:rsidR="00581F4D" w:rsidRDefault="00581F4D" w:rsidP="00DD0D72">
    <w:pPr>
      <w:pStyle w:val="Header"/>
      <w:rPr>
        <w:color w:val="000000"/>
        <w:sz w:val="17"/>
      </w:rPr>
    </w:pPr>
    <w:bookmarkStart w:id="1" w:name="TITUS1HeaderPrimary"/>
    <w:r w:rsidRPr="00DD0D72">
      <w:rPr>
        <w:color w:val="000000"/>
        <w:sz w:val="17"/>
      </w:rPr>
      <w:t> </w:t>
    </w:r>
  </w:p>
  <w:bookmarkEnd w:id="1"/>
  <w:p w14:paraId="29EEE690" w14:textId="77777777" w:rsidR="00581F4D" w:rsidRDefault="00581F4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D91523" w14:textId="44D367F7" w:rsidR="00581F4D" w:rsidRDefault="00581F4D" w:rsidP="00DD0D72">
    <w:pPr>
      <w:pStyle w:val="Header"/>
      <w:rPr>
        <w:color w:val="000000"/>
        <w:sz w:val="17"/>
      </w:rPr>
    </w:pPr>
    <w:bookmarkStart w:id="4" w:name="TITUS1HeaderFirstPage"/>
    <w:r w:rsidRPr="00DD0D72">
      <w:rPr>
        <w:color w:val="000000"/>
        <w:sz w:val="17"/>
      </w:rPr>
      <w:t> </w:t>
    </w:r>
  </w:p>
  <w:bookmarkEnd w:id="4"/>
  <w:p w14:paraId="0C81EFA7" w14:textId="77777777" w:rsidR="00581F4D" w:rsidRDefault="00581F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6702B"/>
    <w:multiLevelType w:val="hybridMultilevel"/>
    <w:tmpl w:val="0DE8E9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4D333C"/>
    <w:multiLevelType w:val="hybridMultilevel"/>
    <w:tmpl w:val="D3E22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C97359"/>
    <w:multiLevelType w:val="hybridMultilevel"/>
    <w:tmpl w:val="FAD2DA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CC044C"/>
    <w:multiLevelType w:val="hybridMultilevel"/>
    <w:tmpl w:val="25905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DB1E6E"/>
    <w:multiLevelType w:val="hybridMultilevel"/>
    <w:tmpl w:val="0F0A5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C56228"/>
    <w:multiLevelType w:val="hybridMultilevel"/>
    <w:tmpl w:val="A6942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5266AA"/>
    <w:multiLevelType w:val="multilevel"/>
    <w:tmpl w:val="A5843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B1C2D3B"/>
    <w:multiLevelType w:val="multilevel"/>
    <w:tmpl w:val="E4D8D85A"/>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8" w15:restartNumberingAfterBreak="0">
    <w:nsid w:val="29975120"/>
    <w:multiLevelType w:val="hybridMultilevel"/>
    <w:tmpl w:val="45B8FA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E5637C"/>
    <w:multiLevelType w:val="hybridMultilevel"/>
    <w:tmpl w:val="8B56F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083BE2"/>
    <w:multiLevelType w:val="hybridMultilevel"/>
    <w:tmpl w:val="1EE495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B57F84"/>
    <w:multiLevelType w:val="hybridMultilevel"/>
    <w:tmpl w:val="92A67C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2C0C16"/>
    <w:multiLevelType w:val="hybridMultilevel"/>
    <w:tmpl w:val="E15057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FDA77BD"/>
    <w:multiLevelType w:val="multilevel"/>
    <w:tmpl w:val="D7BCE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0685056"/>
    <w:multiLevelType w:val="hybridMultilevel"/>
    <w:tmpl w:val="56682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0FA11F6"/>
    <w:multiLevelType w:val="hybridMultilevel"/>
    <w:tmpl w:val="672A4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D141A3"/>
    <w:multiLevelType w:val="hybridMultilevel"/>
    <w:tmpl w:val="D96200BC"/>
    <w:lvl w:ilvl="0" w:tplc="EED85630">
      <w:start w:val="1"/>
      <w:numFmt w:val="decimal"/>
      <w:lvlText w:val="%1."/>
      <w:lvlJc w:val="left"/>
      <w:pPr>
        <w:ind w:left="720" w:hanging="360"/>
      </w:pPr>
      <w:rPr>
        <w:rFonts w:asciiTheme="minorHAnsi" w:hAnsiTheme="minorHAnsi" w:cstheme="minorBidi" w:hint="default"/>
        <w:b w:val="0"/>
        <w:color w:val="auto"/>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0A77FC6"/>
    <w:multiLevelType w:val="hybridMultilevel"/>
    <w:tmpl w:val="3918B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6600B29"/>
    <w:multiLevelType w:val="hybridMultilevel"/>
    <w:tmpl w:val="0BB21B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76238A4"/>
    <w:multiLevelType w:val="hybridMultilevel"/>
    <w:tmpl w:val="60FAE2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A060C35"/>
    <w:multiLevelType w:val="multilevel"/>
    <w:tmpl w:val="D3D898B4"/>
    <w:lvl w:ilvl="0">
      <w:start w:val="1"/>
      <w:numFmt w:val="decimal"/>
      <w:lvlText w:val="%1."/>
      <w:lvlJc w:val="left"/>
      <w:pPr>
        <w:ind w:left="720" w:hanging="360"/>
      </w:pPr>
      <w:rPr>
        <w:rFonts w:hint="default"/>
      </w:rPr>
    </w:lvl>
    <w:lvl w:ilvl="1">
      <w:start w:val="3"/>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4CD24742"/>
    <w:multiLevelType w:val="hybridMultilevel"/>
    <w:tmpl w:val="F8989F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F2C216E"/>
    <w:multiLevelType w:val="hybridMultilevel"/>
    <w:tmpl w:val="A64AE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1600712"/>
    <w:multiLevelType w:val="hybridMultilevel"/>
    <w:tmpl w:val="F8A09F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5C121AD"/>
    <w:multiLevelType w:val="multilevel"/>
    <w:tmpl w:val="68609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60002B9"/>
    <w:multiLevelType w:val="hybridMultilevel"/>
    <w:tmpl w:val="3DD2EFFA"/>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6" w15:restartNumberingAfterBreak="0">
    <w:nsid w:val="561A7C4E"/>
    <w:multiLevelType w:val="hybridMultilevel"/>
    <w:tmpl w:val="080CF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CB13343"/>
    <w:multiLevelType w:val="hybridMultilevel"/>
    <w:tmpl w:val="A39CFF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DE317D5"/>
    <w:multiLevelType w:val="hybridMultilevel"/>
    <w:tmpl w:val="FB9091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FB01AEE"/>
    <w:multiLevelType w:val="multilevel"/>
    <w:tmpl w:val="BC92D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12510E2"/>
    <w:multiLevelType w:val="hybridMultilevel"/>
    <w:tmpl w:val="B55E5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4C94017"/>
    <w:multiLevelType w:val="hybridMultilevel"/>
    <w:tmpl w:val="EF90E7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97F697D"/>
    <w:multiLevelType w:val="hybridMultilevel"/>
    <w:tmpl w:val="0BB21B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F2C2D7E"/>
    <w:multiLevelType w:val="hybridMultilevel"/>
    <w:tmpl w:val="5BBCD3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64B72D7"/>
    <w:multiLevelType w:val="hybridMultilevel"/>
    <w:tmpl w:val="FEC0AF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6E90FF6"/>
    <w:multiLevelType w:val="hybridMultilevel"/>
    <w:tmpl w:val="0F2A2D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A19707C"/>
    <w:multiLevelType w:val="hybridMultilevel"/>
    <w:tmpl w:val="24F4EE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F617D5F"/>
    <w:multiLevelType w:val="multilevel"/>
    <w:tmpl w:val="0B7628C8"/>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38" w15:restartNumberingAfterBreak="0">
    <w:nsid w:val="7FBE6E4A"/>
    <w:multiLevelType w:val="hybridMultilevel"/>
    <w:tmpl w:val="A9FE1F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20"/>
  </w:num>
  <w:num w:numId="3">
    <w:abstractNumId w:val="21"/>
  </w:num>
  <w:num w:numId="4">
    <w:abstractNumId w:val="5"/>
  </w:num>
  <w:num w:numId="5">
    <w:abstractNumId w:val="17"/>
  </w:num>
  <w:num w:numId="6">
    <w:abstractNumId w:val="33"/>
  </w:num>
  <w:num w:numId="7">
    <w:abstractNumId w:val="27"/>
  </w:num>
  <w:num w:numId="8">
    <w:abstractNumId w:val="1"/>
  </w:num>
  <w:num w:numId="9">
    <w:abstractNumId w:val="22"/>
  </w:num>
  <w:num w:numId="10">
    <w:abstractNumId w:val="38"/>
  </w:num>
  <w:num w:numId="11">
    <w:abstractNumId w:val="34"/>
  </w:num>
  <w:num w:numId="12">
    <w:abstractNumId w:val="10"/>
  </w:num>
  <w:num w:numId="13">
    <w:abstractNumId w:val="2"/>
  </w:num>
  <w:num w:numId="14">
    <w:abstractNumId w:val="26"/>
  </w:num>
  <w:num w:numId="15">
    <w:abstractNumId w:val="3"/>
  </w:num>
  <w:num w:numId="16">
    <w:abstractNumId w:val="29"/>
  </w:num>
  <w:num w:numId="17">
    <w:abstractNumId w:val="23"/>
  </w:num>
  <w:num w:numId="18">
    <w:abstractNumId w:val="35"/>
  </w:num>
  <w:num w:numId="19">
    <w:abstractNumId w:val="37"/>
  </w:num>
  <w:num w:numId="20">
    <w:abstractNumId w:val="7"/>
  </w:num>
  <w:num w:numId="21">
    <w:abstractNumId w:val="4"/>
  </w:num>
  <w:num w:numId="22">
    <w:abstractNumId w:val="0"/>
  </w:num>
  <w:num w:numId="23">
    <w:abstractNumId w:val="32"/>
  </w:num>
  <w:num w:numId="24">
    <w:abstractNumId w:val="18"/>
  </w:num>
  <w:num w:numId="25">
    <w:abstractNumId w:val="24"/>
  </w:num>
  <w:num w:numId="26">
    <w:abstractNumId w:val="30"/>
  </w:num>
  <w:num w:numId="27">
    <w:abstractNumId w:val="11"/>
  </w:num>
  <w:num w:numId="28">
    <w:abstractNumId w:val="31"/>
  </w:num>
  <w:num w:numId="29">
    <w:abstractNumId w:val="28"/>
  </w:num>
  <w:num w:numId="30">
    <w:abstractNumId w:val="25"/>
  </w:num>
  <w:num w:numId="31">
    <w:abstractNumId w:val="9"/>
  </w:num>
  <w:num w:numId="32">
    <w:abstractNumId w:val="14"/>
  </w:num>
  <w:num w:numId="33">
    <w:abstractNumId w:val="8"/>
  </w:num>
  <w:num w:numId="34">
    <w:abstractNumId w:val="36"/>
  </w:num>
  <w:num w:numId="35">
    <w:abstractNumId w:val="13"/>
  </w:num>
  <w:num w:numId="36">
    <w:abstractNumId w:val="6"/>
  </w:num>
  <w:num w:numId="37">
    <w:abstractNumId w:val="19"/>
  </w:num>
  <w:num w:numId="38">
    <w:abstractNumId w:val="12"/>
  </w:num>
  <w:num w:numId="3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evenAndOddHeaders/>
  <w:characterSpacingControl w:val="doNotCompress"/>
  <w:hdrShapeDefaults>
    <o:shapedefaults v:ext="edit" spidmax="16486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4F25"/>
    <w:rsid w:val="00007594"/>
    <w:rsid w:val="00016E33"/>
    <w:rsid w:val="00020CA4"/>
    <w:rsid w:val="00024B12"/>
    <w:rsid w:val="00030C98"/>
    <w:rsid w:val="00033347"/>
    <w:rsid w:val="000349F1"/>
    <w:rsid w:val="00043337"/>
    <w:rsid w:val="00043464"/>
    <w:rsid w:val="000437BD"/>
    <w:rsid w:val="00047E13"/>
    <w:rsid w:val="00052E4E"/>
    <w:rsid w:val="00054B29"/>
    <w:rsid w:val="00061E84"/>
    <w:rsid w:val="00065981"/>
    <w:rsid w:val="00075FC8"/>
    <w:rsid w:val="00081449"/>
    <w:rsid w:val="00082B5A"/>
    <w:rsid w:val="00083A68"/>
    <w:rsid w:val="00087862"/>
    <w:rsid w:val="0009041B"/>
    <w:rsid w:val="000A02B9"/>
    <w:rsid w:val="000A0CB8"/>
    <w:rsid w:val="000A44A5"/>
    <w:rsid w:val="000A5526"/>
    <w:rsid w:val="000B729C"/>
    <w:rsid w:val="000D1BB5"/>
    <w:rsid w:val="000D3476"/>
    <w:rsid w:val="000D544E"/>
    <w:rsid w:val="000D5535"/>
    <w:rsid w:val="000F0FE1"/>
    <w:rsid w:val="000F2AF6"/>
    <w:rsid w:val="000F674A"/>
    <w:rsid w:val="00100B13"/>
    <w:rsid w:val="00100B59"/>
    <w:rsid w:val="00106751"/>
    <w:rsid w:val="00110734"/>
    <w:rsid w:val="00111E52"/>
    <w:rsid w:val="00114C3B"/>
    <w:rsid w:val="00123740"/>
    <w:rsid w:val="0012374F"/>
    <w:rsid w:val="001245C1"/>
    <w:rsid w:val="00126D60"/>
    <w:rsid w:val="00135494"/>
    <w:rsid w:val="00137B61"/>
    <w:rsid w:val="00164C53"/>
    <w:rsid w:val="001652CA"/>
    <w:rsid w:val="00174D44"/>
    <w:rsid w:val="0018050C"/>
    <w:rsid w:val="001A5A28"/>
    <w:rsid w:val="001A5EBB"/>
    <w:rsid w:val="001B49CB"/>
    <w:rsid w:val="001B56D2"/>
    <w:rsid w:val="001C51E4"/>
    <w:rsid w:val="001C7310"/>
    <w:rsid w:val="001D6D07"/>
    <w:rsid w:val="001E4A6D"/>
    <w:rsid w:val="00201EBB"/>
    <w:rsid w:val="00206258"/>
    <w:rsid w:val="00206DEF"/>
    <w:rsid w:val="00207643"/>
    <w:rsid w:val="00217A7A"/>
    <w:rsid w:val="002207FF"/>
    <w:rsid w:val="002228C3"/>
    <w:rsid w:val="002242ED"/>
    <w:rsid w:val="00232D32"/>
    <w:rsid w:val="00234151"/>
    <w:rsid w:val="00245645"/>
    <w:rsid w:val="002467E8"/>
    <w:rsid w:val="00246AEC"/>
    <w:rsid w:val="00254821"/>
    <w:rsid w:val="002618B5"/>
    <w:rsid w:val="00264866"/>
    <w:rsid w:val="00267999"/>
    <w:rsid w:val="0027132F"/>
    <w:rsid w:val="002735D2"/>
    <w:rsid w:val="00273AA2"/>
    <w:rsid w:val="00274730"/>
    <w:rsid w:val="002747B9"/>
    <w:rsid w:val="002849B0"/>
    <w:rsid w:val="00292149"/>
    <w:rsid w:val="002955E9"/>
    <w:rsid w:val="002A174F"/>
    <w:rsid w:val="002A28B8"/>
    <w:rsid w:val="002B5B7E"/>
    <w:rsid w:val="002B74D8"/>
    <w:rsid w:val="002C4874"/>
    <w:rsid w:val="002C7A15"/>
    <w:rsid w:val="002C7C61"/>
    <w:rsid w:val="002D19F3"/>
    <w:rsid w:val="002D418A"/>
    <w:rsid w:val="002D5FAC"/>
    <w:rsid w:val="002E6219"/>
    <w:rsid w:val="002F0A52"/>
    <w:rsid w:val="002F13F7"/>
    <w:rsid w:val="002F2621"/>
    <w:rsid w:val="002F3CD3"/>
    <w:rsid w:val="002F4B49"/>
    <w:rsid w:val="002F624A"/>
    <w:rsid w:val="00300228"/>
    <w:rsid w:val="00311BD9"/>
    <w:rsid w:val="00317ED5"/>
    <w:rsid w:val="003217A9"/>
    <w:rsid w:val="00325D88"/>
    <w:rsid w:val="00330B77"/>
    <w:rsid w:val="00334289"/>
    <w:rsid w:val="00334D43"/>
    <w:rsid w:val="00337FF5"/>
    <w:rsid w:val="00343924"/>
    <w:rsid w:val="0034455D"/>
    <w:rsid w:val="0034489E"/>
    <w:rsid w:val="00344F5A"/>
    <w:rsid w:val="003466B3"/>
    <w:rsid w:val="00346D4E"/>
    <w:rsid w:val="003500DE"/>
    <w:rsid w:val="00354088"/>
    <w:rsid w:val="0036154D"/>
    <w:rsid w:val="00365739"/>
    <w:rsid w:val="00370515"/>
    <w:rsid w:val="00373449"/>
    <w:rsid w:val="0037550A"/>
    <w:rsid w:val="0037737F"/>
    <w:rsid w:val="00383DC7"/>
    <w:rsid w:val="0038515B"/>
    <w:rsid w:val="00385379"/>
    <w:rsid w:val="003855E1"/>
    <w:rsid w:val="00390B16"/>
    <w:rsid w:val="00391012"/>
    <w:rsid w:val="00393440"/>
    <w:rsid w:val="003952D5"/>
    <w:rsid w:val="0039668B"/>
    <w:rsid w:val="003A0EEF"/>
    <w:rsid w:val="003A22AC"/>
    <w:rsid w:val="003A7DA4"/>
    <w:rsid w:val="003B0F91"/>
    <w:rsid w:val="003B1322"/>
    <w:rsid w:val="003B2698"/>
    <w:rsid w:val="003C3F47"/>
    <w:rsid w:val="003C5C23"/>
    <w:rsid w:val="003C7AAE"/>
    <w:rsid w:val="003E1876"/>
    <w:rsid w:val="003E478C"/>
    <w:rsid w:val="003E55F0"/>
    <w:rsid w:val="00400DE6"/>
    <w:rsid w:val="00403387"/>
    <w:rsid w:val="00406ED0"/>
    <w:rsid w:val="00410163"/>
    <w:rsid w:val="004138E4"/>
    <w:rsid w:val="0042013D"/>
    <w:rsid w:val="004213DA"/>
    <w:rsid w:val="00425A22"/>
    <w:rsid w:val="00433832"/>
    <w:rsid w:val="0044001A"/>
    <w:rsid w:val="004425C3"/>
    <w:rsid w:val="0044384D"/>
    <w:rsid w:val="0044508F"/>
    <w:rsid w:val="0045371B"/>
    <w:rsid w:val="00455BD9"/>
    <w:rsid w:val="00464B4E"/>
    <w:rsid w:val="004651A3"/>
    <w:rsid w:val="00476667"/>
    <w:rsid w:val="0048022A"/>
    <w:rsid w:val="0048044E"/>
    <w:rsid w:val="004819BD"/>
    <w:rsid w:val="00487068"/>
    <w:rsid w:val="004A3DCC"/>
    <w:rsid w:val="004A4AEB"/>
    <w:rsid w:val="004B255F"/>
    <w:rsid w:val="004B7E3B"/>
    <w:rsid w:val="004C4F7F"/>
    <w:rsid w:val="004C6C69"/>
    <w:rsid w:val="004D33EC"/>
    <w:rsid w:val="004D6DBD"/>
    <w:rsid w:val="004F03DA"/>
    <w:rsid w:val="004F5FA4"/>
    <w:rsid w:val="004F6BF6"/>
    <w:rsid w:val="0050450C"/>
    <w:rsid w:val="00504BF2"/>
    <w:rsid w:val="0051069A"/>
    <w:rsid w:val="00513227"/>
    <w:rsid w:val="00517C95"/>
    <w:rsid w:val="0052195C"/>
    <w:rsid w:val="0052576D"/>
    <w:rsid w:val="005269AA"/>
    <w:rsid w:val="00526F2D"/>
    <w:rsid w:val="00527665"/>
    <w:rsid w:val="00531192"/>
    <w:rsid w:val="00535B5E"/>
    <w:rsid w:val="00537923"/>
    <w:rsid w:val="00537D5E"/>
    <w:rsid w:val="0055197C"/>
    <w:rsid w:val="005656D7"/>
    <w:rsid w:val="00573EC2"/>
    <w:rsid w:val="00575F1E"/>
    <w:rsid w:val="00581F4D"/>
    <w:rsid w:val="005860C9"/>
    <w:rsid w:val="00590E30"/>
    <w:rsid w:val="00594808"/>
    <w:rsid w:val="005A5D5D"/>
    <w:rsid w:val="005B16F2"/>
    <w:rsid w:val="005B2B0A"/>
    <w:rsid w:val="005C3812"/>
    <w:rsid w:val="005C39E8"/>
    <w:rsid w:val="005C3A45"/>
    <w:rsid w:val="005C50F3"/>
    <w:rsid w:val="005F296C"/>
    <w:rsid w:val="005F5EDE"/>
    <w:rsid w:val="00604E67"/>
    <w:rsid w:val="00605638"/>
    <w:rsid w:val="00610424"/>
    <w:rsid w:val="00612776"/>
    <w:rsid w:val="0061314D"/>
    <w:rsid w:val="0061441F"/>
    <w:rsid w:val="00635FF8"/>
    <w:rsid w:val="006427C1"/>
    <w:rsid w:val="00650BA1"/>
    <w:rsid w:val="006513A8"/>
    <w:rsid w:val="00651F4C"/>
    <w:rsid w:val="006522BC"/>
    <w:rsid w:val="006524B0"/>
    <w:rsid w:val="0066048D"/>
    <w:rsid w:val="0067332F"/>
    <w:rsid w:val="00683AC4"/>
    <w:rsid w:val="00693E16"/>
    <w:rsid w:val="006A35AC"/>
    <w:rsid w:val="006A4F12"/>
    <w:rsid w:val="006B5064"/>
    <w:rsid w:val="006B5181"/>
    <w:rsid w:val="006C151F"/>
    <w:rsid w:val="006C3C98"/>
    <w:rsid w:val="006D6BD4"/>
    <w:rsid w:val="006F5DB0"/>
    <w:rsid w:val="00706A48"/>
    <w:rsid w:val="0071204A"/>
    <w:rsid w:val="007132A8"/>
    <w:rsid w:val="00716F45"/>
    <w:rsid w:val="007301E2"/>
    <w:rsid w:val="00730C07"/>
    <w:rsid w:val="0074431F"/>
    <w:rsid w:val="00750063"/>
    <w:rsid w:val="007567BE"/>
    <w:rsid w:val="007748C1"/>
    <w:rsid w:val="0077558F"/>
    <w:rsid w:val="00796D20"/>
    <w:rsid w:val="007A05EA"/>
    <w:rsid w:val="007A0A45"/>
    <w:rsid w:val="007A7BAF"/>
    <w:rsid w:val="007B3109"/>
    <w:rsid w:val="007B381D"/>
    <w:rsid w:val="007B7EFA"/>
    <w:rsid w:val="007C085F"/>
    <w:rsid w:val="007C4170"/>
    <w:rsid w:val="007C49E4"/>
    <w:rsid w:val="007D1376"/>
    <w:rsid w:val="007D318D"/>
    <w:rsid w:val="007D3D4C"/>
    <w:rsid w:val="007D52C5"/>
    <w:rsid w:val="007E1C4D"/>
    <w:rsid w:val="007E4C1E"/>
    <w:rsid w:val="0080242C"/>
    <w:rsid w:val="00802AD0"/>
    <w:rsid w:val="0081322F"/>
    <w:rsid w:val="00813F3E"/>
    <w:rsid w:val="00814EF6"/>
    <w:rsid w:val="0082648A"/>
    <w:rsid w:val="008275C8"/>
    <w:rsid w:val="00830104"/>
    <w:rsid w:val="008323B9"/>
    <w:rsid w:val="00836BF6"/>
    <w:rsid w:val="00837191"/>
    <w:rsid w:val="008427E1"/>
    <w:rsid w:val="00845156"/>
    <w:rsid w:val="0084573D"/>
    <w:rsid w:val="00845D8B"/>
    <w:rsid w:val="00847EA4"/>
    <w:rsid w:val="00852E5A"/>
    <w:rsid w:val="008605A6"/>
    <w:rsid w:val="008635BB"/>
    <w:rsid w:val="0086530B"/>
    <w:rsid w:val="00867E3B"/>
    <w:rsid w:val="00874BF1"/>
    <w:rsid w:val="0088071A"/>
    <w:rsid w:val="0088234F"/>
    <w:rsid w:val="008851BA"/>
    <w:rsid w:val="00887B07"/>
    <w:rsid w:val="00890325"/>
    <w:rsid w:val="008A57BA"/>
    <w:rsid w:val="008B3528"/>
    <w:rsid w:val="008B726C"/>
    <w:rsid w:val="008D425D"/>
    <w:rsid w:val="008D5C7E"/>
    <w:rsid w:val="008D5CC9"/>
    <w:rsid w:val="008E0DA3"/>
    <w:rsid w:val="008E18F5"/>
    <w:rsid w:val="008E3470"/>
    <w:rsid w:val="008E44B6"/>
    <w:rsid w:val="00901063"/>
    <w:rsid w:val="00903674"/>
    <w:rsid w:val="0091168D"/>
    <w:rsid w:val="00912A9D"/>
    <w:rsid w:val="00913141"/>
    <w:rsid w:val="00914837"/>
    <w:rsid w:val="0092330C"/>
    <w:rsid w:val="00923DAB"/>
    <w:rsid w:val="00927F63"/>
    <w:rsid w:val="0093318F"/>
    <w:rsid w:val="00933DF4"/>
    <w:rsid w:val="00935D47"/>
    <w:rsid w:val="00937DDB"/>
    <w:rsid w:val="00940D40"/>
    <w:rsid w:val="00941AE4"/>
    <w:rsid w:val="00953CE9"/>
    <w:rsid w:val="009658BF"/>
    <w:rsid w:val="00971C07"/>
    <w:rsid w:val="009757CD"/>
    <w:rsid w:val="00980BAA"/>
    <w:rsid w:val="009816FB"/>
    <w:rsid w:val="009836C6"/>
    <w:rsid w:val="00987EF8"/>
    <w:rsid w:val="0099166B"/>
    <w:rsid w:val="0099636A"/>
    <w:rsid w:val="0099662C"/>
    <w:rsid w:val="009A0F43"/>
    <w:rsid w:val="009A7855"/>
    <w:rsid w:val="009B7367"/>
    <w:rsid w:val="009C4111"/>
    <w:rsid w:val="009D0059"/>
    <w:rsid w:val="009D06BA"/>
    <w:rsid w:val="009D667E"/>
    <w:rsid w:val="009E1B41"/>
    <w:rsid w:val="009E4978"/>
    <w:rsid w:val="009F1DE8"/>
    <w:rsid w:val="009F2218"/>
    <w:rsid w:val="009F26CB"/>
    <w:rsid w:val="00A00290"/>
    <w:rsid w:val="00A078ED"/>
    <w:rsid w:val="00A11C6C"/>
    <w:rsid w:val="00A15090"/>
    <w:rsid w:val="00A23F48"/>
    <w:rsid w:val="00A273EA"/>
    <w:rsid w:val="00A27955"/>
    <w:rsid w:val="00A3141F"/>
    <w:rsid w:val="00A32A35"/>
    <w:rsid w:val="00A32E92"/>
    <w:rsid w:val="00A33F81"/>
    <w:rsid w:val="00A40B70"/>
    <w:rsid w:val="00A4110E"/>
    <w:rsid w:val="00A508E9"/>
    <w:rsid w:val="00A647FF"/>
    <w:rsid w:val="00A72EB6"/>
    <w:rsid w:val="00A76010"/>
    <w:rsid w:val="00A840A4"/>
    <w:rsid w:val="00A8609F"/>
    <w:rsid w:val="00A90786"/>
    <w:rsid w:val="00A90E2B"/>
    <w:rsid w:val="00AB3854"/>
    <w:rsid w:val="00AC151A"/>
    <w:rsid w:val="00AC34E8"/>
    <w:rsid w:val="00AC3933"/>
    <w:rsid w:val="00AC44F4"/>
    <w:rsid w:val="00AC7706"/>
    <w:rsid w:val="00AD0DE8"/>
    <w:rsid w:val="00AD3245"/>
    <w:rsid w:val="00AD4664"/>
    <w:rsid w:val="00AE1314"/>
    <w:rsid w:val="00AE2434"/>
    <w:rsid w:val="00AF285C"/>
    <w:rsid w:val="00AF5466"/>
    <w:rsid w:val="00B03753"/>
    <w:rsid w:val="00B136EA"/>
    <w:rsid w:val="00B1464D"/>
    <w:rsid w:val="00B25027"/>
    <w:rsid w:val="00B26D1A"/>
    <w:rsid w:val="00B26E7F"/>
    <w:rsid w:val="00B31BCD"/>
    <w:rsid w:val="00B31C28"/>
    <w:rsid w:val="00B31E51"/>
    <w:rsid w:val="00B34F21"/>
    <w:rsid w:val="00B350AB"/>
    <w:rsid w:val="00B350D9"/>
    <w:rsid w:val="00B36C81"/>
    <w:rsid w:val="00B43476"/>
    <w:rsid w:val="00B45B9D"/>
    <w:rsid w:val="00B6671C"/>
    <w:rsid w:val="00B77529"/>
    <w:rsid w:val="00B77598"/>
    <w:rsid w:val="00B80874"/>
    <w:rsid w:val="00B829E3"/>
    <w:rsid w:val="00B9642E"/>
    <w:rsid w:val="00BA61B1"/>
    <w:rsid w:val="00BA79FA"/>
    <w:rsid w:val="00BB37A7"/>
    <w:rsid w:val="00BD3FF6"/>
    <w:rsid w:val="00BE0B99"/>
    <w:rsid w:val="00BF1406"/>
    <w:rsid w:val="00BF4FE2"/>
    <w:rsid w:val="00BF58B4"/>
    <w:rsid w:val="00BF6EA3"/>
    <w:rsid w:val="00C00C73"/>
    <w:rsid w:val="00C01300"/>
    <w:rsid w:val="00C06757"/>
    <w:rsid w:val="00C245D6"/>
    <w:rsid w:val="00C36CEB"/>
    <w:rsid w:val="00C40920"/>
    <w:rsid w:val="00C56998"/>
    <w:rsid w:val="00C56DB7"/>
    <w:rsid w:val="00C62065"/>
    <w:rsid w:val="00C62767"/>
    <w:rsid w:val="00C70760"/>
    <w:rsid w:val="00C768FE"/>
    <w:rsid w:val="00C81B6D"/>
    <w:rsid w:val="00C831D2"/>
    <w:rsid w:val="00C83BFC"/>
    <w:rsid w:val="00C9229D"/>
    <w:rsid w:val="00C944B2"/>
    <w:rsid w:val="00C9560A"/>
    <w:rsid w:val="00CA4F25"/>
    <w:rsid w:val="00CB3600"/>
    <w:rsid w:val="00CB3C5E"/>
    <w:rsid w:val="00CC0931"/>
    <w:rsid w:val="00CD2821"/>
    <w:rsid w:val="00CD7D57"/>
    <w:rsid w:val="00CE3605"/>
    <w:rsid w:val="00CE3A48"/>
    <w:rsid w:val="00CE659A"/>
    <w:rsid w:val="00CE6842"/>
    <w:rsid w:val="00D00C80"/>
    <w:rsid w:val="00D20961"/>
    <w:rsid w:val="00D2107D"/>
    <w:rsid w:val="00D22748"/>
    <w:rsid w:val="00D37576"/>
    <w:rsid w:val="00D45465"/>
    <w:rsid w:val="00D46246"/>
    <w:rsid w:val="00D47083"/>
    <w:rsid w:val="00D47F38"/>
    <w:rsid w:val="00D52E52"/>
    <w:rsid w:val="00D557A8"/>
    <w:rsid w:val="00D55D6D"/>
    <w:rsid w:val="00D56BA4"/>
    <w:rsid w:val="00D72A6A"/>
    <w:rsid w:val="00D72F15"/>
    <w:rsid w:val="00D83F2A"/>
    <w:rsid w:val="00D86CA5"/>
    <w:rsid w:val="00D934AC"/>
    <w:rsid w:val="00D96D36"/>
    <w:rsid w:val="00DA74A0"/>
    <w:rsid w:val="00DB1069"/>
    <w:rsid w:val="00DC054F"/>
    <w:rsid w:val="00DD0217"/>
    <w:rsid w:val="00DD0D72"/>
    <w:rsid w:val="00DD564B"/>
    <w:rsid w:val="00DE4126"/>
    <w:rsid w:val="00DF2B85"/>
    <w:rsid w:val="00E04FA1"/>
    <w:rsid w:val="00E06D9F"/>
    <w:rsid w:val="00E06DC5"/>
    <w:rsid w:val="00E11616"/>
    <w:rsid w:val="00E144B6"/>
    <w:rsid w:val="00E173A4"/>
    <w:rsid w:val="00E250BD"/>
    <w:rsid w:val="00E30ED7"/>
    <w:rsid w:val="00E375A7"/>
    <w:rsid w:val="00E4104C"/>
    <w:rsid w:val="00E42CF0"/>
    <w:rsid w:val="00E45B74"/>
    <w:rsid w:val="00E50A45"/>
    <w:rsid w:val="00E52006"/>
    <w:rsid w:val="00E52E78"/>
    <w:rsid w:val="00E56735"/>
    <w:rsid w:val="00E57EE8"/>
    <w:rsid w:val="00E60807"/>
    <w:rsid w:val="00E70686"/>
    <w:rsid w:val="00E70BCD"/>
    <w:rsid w:val="00E74C34"/>
    <w:rsid w:val="00E761A9"/>
    <w:rsid w:val="00E82C35"/>
    <w:rsid w:val="00E95AEE"/>
    <w:rsid w:val="00E95B5F"/>
    <w:rsid w:val="00EC6624"/>
    <w:rsid w:val="00ED0E38"/>
    <w:rsid w:val="00ED663B"/>
    <w:rsid w:val="00ED743D"/>
    <w:rsid w:val="00EE2439"/>
    <w:rsid w:val="00EE302D"/>
    <w:rsid w:val="00EF0416"/>
    <w:rsid w:val="00EF6662"/>
    <w:rsid w:val="00EF7B9C"/>
    <w:rsid w:val="00F0109E"/>
    <w:rsid w:val="00F02071"/>
    <w:rsid w:val="00F124D4"/>
    <w:rsid w:val="00F140A8"/>
    <w:rsid w:val="00F150C0"/>
    <w:rsid w:val="00F1647B"/>
    <w:rsid w:val="00F17747"/>
    <w:rsid w:val="00F36B48"/>
    <w:rsid w:val="00F43C23"/>
    <w:rsid w:val="00F547A8"/>
    <w:rsid w:val="00F57ACB"/>
    <w:rsid w:val="00F750F9"/>
    <w:rsid w:val="00F8411F"/>
    <w:rsid w:val="00F93716"/>
    <w:rsid w:val="00FA4230"/>
    <w:rsid w:val="00FC1775"/>
    <w:rsid w:val="00FC3D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4865"/>
    <o:shapelayout v:ext="edit">
      <o:idmap v:ext="edit" data="1"/>
    </o:shapelayout>
  </w:shapeDefaults>
  <w:decimalSymbol w:val="."/>
  <w:listSeparator w:val=","/>
  <w14:docId w14:val="56B39687"/>
  <w15:chartTrackingRefBased/>
  <w15:docId w15:val="{D4192EF0-0674-4F28-8715-D91DCC4851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4F25"/>
  </w:style>
  <w:style w:type="paragraph" w:styleId="Heading1">
    <w:name w:val="heading 1"/>
    <w:basedOn w:val="Normal"/>
    <w:next w:val="Normal"/>
    <w:link w:val="Heading1Char"/>
    <w:uiPriority w:val="9"/>
    <w:qFormat/>
    <w:rsid w:val="00CA4F25"/>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CA4F25"/>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CA4F25"/>
    <w:pPr>
      <w:pBdr>
        <w:top w:val="single" w:sz="6" w:space="2" w:color="4472C4" w:themeColor="accent1"/>
      </w:pBdr>
      <w:spacing w:before="300" w:after="0"/>
      <w:outlineLvl w:val="2"/>
    </w:pPr>
    <w:rPr>
      <w:caps/>
      <w:color w:val="1F3763" w:themeColor="accent1" w:themeShade="7F"/>
      <w:spacing w:val="15"/>
    </w:rPr>
  </w:style>
  <w:style w:type="paragraph" w:styleId="Heading4">
    <w:name w:val="heading 4"/>
    <w:basedOn w:val="Normal"/>
    <w:next w:val="Normal"/>
    <w:link w:val="Heading4Char"/>
    <w:uiPriority w:val="9"/>
    <w:unhideWhenUsed/>
    <w:qFormat/>
    <w:rsid w:val="00CA4F25"/>
    <w:pPr>
      <w:pBdr>
        <w:top w:val="dotted" w:sz="6" w:space="2" w:color="4472C4" w:themeColor="accent1"/>
      </w:pBdr>
      <w:spacing w:before="200" w:after="0"/>
      <w:outlineLvl w:val="3"/>
    </w:pPr>
    <w:rPr>
      <w:caps/>
      <w:color w:val="2F5496" w:themeColor="accent1" w:themeShade="BF"/>
      <w:spacing w:val="10"/>
    </w:rPr>
  </w:style>
  <w:style w:type="paragraph" w:styleId="Heading5">
    <w:name w:val="heading 5"/>
    <w:basedOn w:val="Normal"/>
    <w:next w:val="Normal"/>
    <w:link w:val="Heading5Char"/>
    <w:uiPriority w:val="9"/>
    <w:semiHidden/>
    <w:unhideWhenUsed/>
    <w:qFormat/>
    <w:rsid w:val="00CA4F25"/>
    <w:pPr>
      <w:pBdr>
        <w:bottom w:val="single" w:sz="6" w:space="1" w:color="4472C4" w:themeColor="accent1"/>
      </w:pBdr>
      <w:spacing w:before="200" w:after="0"/>
      <w:outlineLvl w:val="4"/>
    </w:pPr>
    <w:rPr>
      <w:caps/>
      <w:color w:val="2F5496" w:themeColor="accent1" w:themeShade="BF"/>
      <w:spacing w:val="10"/>
    </w:rPr>
  </w:style>
  <w:style w:type="paragraph" w:styleId="Heading6">
    <w:name w:val="heading 6"/>
    <w:basedOn w:val="Normal"/>
    <w:next w:val="Normal"/>
    <w:link w:val="Heading6Char"/>
    <w:uiPriority w:val="9"/>
    <w:semiHidden/>
    <w:unhideWhenUsed/>
    <w:qFormat/>
    <w:rsid w:val="00CA4F25"/>
    <w:pPr>
      <w:pBdr>
        <w:bottom w:val="dotted" w:sz="6" w:space="1" w:color="4472C4" w:themeColor="accent1"/>
      </w:pBdr>
      <w:spacing w:before="200" w:after="0"/>
      <w:outlineLvl w:val="5"/>
    </w:pPr>
    <w:rPr>
      <w:caps/>
      <w:color w:val="2F5496" w:themeColor="accent1" w:themeShade="BF"/>
      <w:spacing w:val="10"/>
    </w:rPr>
  </w:style>
  <w:style w:type="paragraph" w:styleId="Heading7">
    <w:name w:val="heading 7"/>
    <w:basedOn w:val="Normal"/>
    <w:next w:val="Normal"/>
    <w:link w:val="Heading7Char"/>
    <w:uiPriority w:val="9"/>
    <w:semiHidden/>
    <w:unhideWhenUsed/>
    <w:qFormat/>
    <w:rsid w:val="00CA4F25"/>
    <w:pPr>
      <w:spacing w:before="200" w:after="0"/>
      <w:outlineLvl w:val="6"/>
    </w:pPr>
    <w:rPr>
      <w:caps/>
      <w:color w:val="2F5496" w:themeColor="accent1" w:themeShade="BF"/>
      <w:spacing w:val="10"/>
    </w:rPr>
  </w:style>
  <w:style w:type="paragraph" w:styleId="Heading8">
    <w:name w:val="heading 8"/>
    <w:basedOn w:val="Normal"/>
    <w:next w:val="Normal"/>
    <w:link w:val="Heading8Char"/>
    <w:uiPriority w:val="9"/>
    <w:semiHidden/>
    <w:unhideWhenUsed/>
    <w:qFormat/>
    <w:rsid w:val="00CA4F25"/>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CA4F25"/>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4F25"/>
    <w:rPr>
      <w:caps/>
      <w:color w:val="FFFFFF" w:themeColor="background1"/>
      <w:spacing w:val="15"/>
      <w:sz w:val="22"/>
      <w:szCs w:val="22"/>
      <w:shd w:val="clear" w:color="auto" w:fill="4472C4" w:themeFill="accent1"/>
    </w:rPr>
  </w:style>
  <w:style w:type="character" w:customStyle="1" w:styleId="Heading2Char">
    <w:name w:val="Heading 2 Char"/>
    <w:basedOn w:val="DefaultParagraphFont"/>
    <w:link w:val="Heading2"/>
    <w:uiPriority w:val="9"/>
    <w:rsid w:val="00CA4F25"/>
    <w:rPr>
      <w:caps/>
      <w:spacing w:val="15"/>
      <w:shd w:val="clear" w:color="auto" w:fill="D9E2F3" w:themeFill="accent1" w:themeFillTint="33"/>
    </w:rPr>
  </w:style>
  <w:style w:type="character" w:customStyle="1" w:styleId="Heading3Char">
    <w:name w:val="Heading 3 Char"/>
    <w:basedOn w:val="DefaultParagraphFont"/>
    <w:link w:val="Heading3"/>
    <w:uiPriority w:val="9"/>
    <w:rsid w:val="00CA4F25"/>
    <w:rPr>
      <w:caps/>
      <w:color w:val="1F3763" w:themeColor="accent1" w:themeShade="7F"/>
      <w:spacing w:val="15"/>
    </w:rPr>
  </w:style>
  <w:style w:type="character" w:customStyle="1" w:styleId="Heading4Char">
    <w:name w:val="Heading 4 Char"/>
    <w:basedOn w:val="DefaultParagraphFont"/>
    <w:link w:val="Heading4"/>
    <w:uiPriority w:val="9"/>
    <w:rsid w:val="00CA4F25"/>
    <w:rPr>
      <w:caps/>
      <w:color w:val="2F5496" w:themeColor="accent1" w:themeShade="BF"/>
      <w:spacing w:val="10"/>
    </w:rPr>
  </w:style>
  <w:style w:type="character" w:customStyle="1" w:styleId="Heading5Char">
    <w:name w:val="Heading 5 Char"/>
    <w:basedOn w:val="DefaultParagraphFont"/>
    <w:link w:val="Heading5"/>
    <w:uiPriority w:val="9"/>
    <w:semiHidden/>
    <w:rsid w:val="00CA4F25"/>
    <w:rPr>
      <w:caps/>
      <w:color w:val="2F5496" w:themeColor="accent1" w:themeShade="BF"/>
      <w:spacing w:val="10"/>
    </w:rPr>
  </w:style>
  <w:style w:type="character" w:customStyle="1" w:styleId="Heading6Char">
    <w:name w:val="Heading 6 Char"/>
    <w:basedOn w:val="DefaultParagraphFont"/>
    <w:link w:val="Heading6"/>
    <w:uiPriority w:val="9"/>
    <w:semiHidden/>
    <w:rsid w:val="00CA4F25"/>
    <w:rPr>
      <w:caps/>
      <w:color w:val="2F5496" w:themeColor="accent1" w:themeShade="BF"/>
      <w:spacing w:val="10"/>
    </w:rPr>
  </w:style>
  <w:style w:type="character" w:customStyle="1" w:styleId="Heading7Char">
    <w:name w:val="Heading 7 Char"/>
    <w:basedOn w:val="DefaultParagraphFont"/>
    <w:link w:val="Heading7"/>
    <w:uiPriority w:val="9"/>
    <w:semiHidden/>
    <w:rsid w:val="00CA4F25"/>
    <w:rPr>
      <w:caps/>
      <w:color w:val="2F5496" w:themeColor="accent1" w:themeShade="BF"/>
      <w:spacing w:val="10"/>
    </w:rPr>
  </w:style>
  <w:style w:type="character" w:customStyle="1" w:styleId="Heading8Char">
    <w:name w:val="Heading 8 Char"/>
    <w:basedOn w:val="DefaultParagraphFont"/>
    <w:link w:val="Heading8"/>
    <w:uiPriority w:val="9"/>
    <w:semiHidden/>
    <w:rsid w:val="00CA4F25"/>
    <w:rPr>
      <w:caps/>
      <w:spacing w:val="10"/>
      <w:sz w:val="18"/>
      <w:szCs w:val="18"/>
    </w:rPr>
  </w:style>
  <w:style w:type="character" w:customStyle="1" w:styleId="Heading9Char">
    <w:name w:val="Heading 9 Char"/>
    <w:basedOn w:val="DefaultParagraphFont"/>
    <w:link w:val="Heading9"/>
    <w:uiPriority w:val="9"/>
    <w:semiHidden/>
    <w:rsid w:val="00CA4F25"/>
    <w:rPr>
      <w:i/>
      <w:iCs/>
      <w:caps/>
      <w:spacing w:val="10"/>
      <w:sz w:val="18"/>
      <w:szCs w:val="18"/>
    </w:rPr>
  </w:style>
  <w:style w:type="paragraph" w:styleId="Caption">
    <w:name w:val="caption"/>
    <w:basedOn w:val="Normal"/>
    <w:next w:val="Normal"/>
    <w:uiPriority w:val="35"/>
    <w:semiHidden/>
    <w:unhideWhenUsed/>
    <w:qFormat/>
    <w:rsid w:val="00CA4F25"/>
    <w:rPr>
      <w:b/>
      <w:bCs/>
      <w:color w:val="2F5496" w:themeColor="accent1" w:themeShade="BF"/>
      <w:sz w:val="16"/>
      <w:szCs w:val="16"/>
    </w:rPr>
  </w:style>
  <w:style w:type="paragraph" w:styleId="Title">
    <w:name w:val="Title"/>
    <w:basedOn w:val="Normal"/>
    <w:next w:val="Normal"/>
    <w:link w:val="TitleChar"/>
    <w:uiPriority w:val="10"/>
    <w:qFormat/>
    <w:rsid w:val="00CA4F25"/>
    <w:pPr>
      <w:spacing w:after="0"/>
    </w:pPr>
    <w:rPr>
      <w:rFonts w:asciiTheme="majorHAnsi" w:eastAsiaTheme="majorEastAsia" w:hAnsiTheme="majorHAnsi" w:cstheme="majorBidi"/>
      <w:caps/>
      <w:color w:val="4472C4" w:themeColor="accent1"/>
      <w:spacing w:val="10"/>
      <w:sz w:val="52"/>
      <w:szCs w:val="52"/>
    </w:rPr>
  </w:style>
  <w:style w:type="character" w:customStyle="1" w:styleId="TitleChar">
    <w:name w:val="Title Char"/>
    <w:basedOn w:val="DefaultParagraphFont"/>
    <w:link w:val="Title"/>
    <w:uiPriority w:val="10"/>
    <w:rsid w:val="00CA4F25"/>
    <w:rPr>
      <w:rFonts w:asciiTheme="majorHAnsi" w:eastAsiaTheme="majorEastAsia" w:hAnsiTheme="majorHAnsi" w:cstheme="majorBidi"/>
      <w:caps/>
      <w:color w:val="4472C4" w:themeColor="accent1"/>
      <w:spacing w:val="10"/>
      <w:sz w:val="52"/>
      <w:szCs w:val="52"/>
    </w:rPr>
  </w:style>
  <w:style w:type="paragraph" w:styleId="Subtitle">
    <w:name w:val="Subtitle"/>
    <w:basedOn w:val="Normal"/>
    <w:next w:val="Normal"/>
    <w:link w:val="SubtitleChar"/>
    <w:uiPriority w:val="11"/>
    <w:qFormat/>
    <w:rsid w:val="00CA4F25"/>
    <w:pPr>
      <w:spacing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CA4F25"/>
    <w:rPr>
      <w:caps/>
      <w:color w:val="595959" w:themeColor="text1" w:themeTint="A6"/>
      <w:spacing w:val="10"/>
      <w:sz w:val="21"/>
      <w:szCs w:val="21"/>
    </w:rPr>
  </w:style>
  <w:style w:type="character" w:styleId="Strong">
    <w:name w:val="Strong"/>
    <w:uiPriority w:val="22"/>
    <w:qFormat/>
    <w:rsid w:val="00CA4F25"/>
    <w:rPr>
      <w:b/>
      <w:bCs/>
    </w:rPr>
  </w:style>
  <w:style w:type="character" w:styleId="Emphasis">
    <w:name w:val="Emphasis"/>
    <w:uiPriority w:val="20"/>
    <w:qFormat/>
    <w:rsid w:val="00CA4F25"/>
    <w:rPr>
      <w:caps/>
      <w:color w:val="1F3763" w:themeColor="accent1" w:themeShade="7F"/>
      <w:spacing w:val="5"/>
    </w:rPr>
  </w:style>
  <w:style w:type="paragraph" w:styleId="NoSpacing">
    <w:name w:val="No Spacing"/>
    <w:uiPriority w:val="1"/>
    <w:qFormat/>
    <w:rsid w:val="00CA4F25"/>
    <w:pPr>
      <w:spacing w:after="0" w:line="240" w:lineRule="auto"/>
    </w:pPr>
  </w:style>
  <w:style w:type="paragraph" w:styleId="Quote">
    <w:name w:val="Quote"/>
    <w:basedOn w:val="Normal"/>
    <w:next w:val="Normal"/>
    <w:link w:val="QuoteChar"/>
    <w:uiPriority w:val="29"/>
    <w:qFormat/>
    <w:rsid w:val="00CA4F25"/>
    <w:rPr>
      <w:i/>
      <w:iCs/>
      <w:sz w:val="24"/>
      <w:szCs w:val="24"/>
    </w:rPr>
  </w:style>
  <w:style w:type="character" w:customStyle="1" w:styleId="QuoteChar">
    <w:name w:val="Quote Char"/>
    <w:basedOn w:val="DefaultParagraphFont"/>
    <w:link w:val="Quote"/>
    <w:uiPriority w:val="29"/>
    <w:rsid w:val="00CA4F25"/>
    <w:rPr>
      <w:i/>
      <w:iCs/>
      <w:sz w:val="24"/>
      <w:szCs w:val="24"/>
    </w:rPr>
  </w:style>
  <w:style w:type="paragraph" w:styleId="IntenseQuote">
    <w:name w:val="Intense Quote"/>
    <w:basedOn w:val="Normal"/>
    <w:next w:val="Normal"/>
    <w:link w:val="IntenseQuoteChar"/>
    <w:uiPriority w:val="30"/>
    <w:qFormat/>
    <w:rsid w:val="00CA4F25"/>
    <w:pPr>
      <w:spacing w:before="240" w:after="240" w:line="240" w:lineRule="auto"/>
      <w:ind w:left="1080" w:right="1080"/>
      <w:jc w:val="center"/>
    </w:pPr>
    <w:rPr>
      <w:color w:val="4472C4" w:themeColor="accent1"/>
      <w:sz w:val="24"/>
      <w:szCs w:val="24"/>
    </w:rPr>
  </w:style>
  <w:style w:type="character" w:customStyle="1" w:styleId="IntenseQuoteChar">
    <w:name w:val="Intense Quote Char"/>
    <w:basedOn w:val="DefaultParagraphFont"/>
    <w:link w:val="IntenseQuote"/>
    <w:uiPriority w:val="30"/>
    <w:rsid w:val="00CA4F25"/>
    <w:rPr>
      <w:color w:val="4472C4" w:themeColor="accent1"/>
      <w:sz w:val="24"/>
      <w:szCs w:val="24"/>
    </w:rPr>
  </w:style>
  <w:style w:type="character" w:styleId="SubtleEmphasis">
    <w:name w:val="Subtle Emphasis"/>
    <w:uiPriority w:val="19"/>
    <w:qFormat/>
    <w:rsid w:val="00CA4F25"/>
    <w:rPr>
      <w:i/>
      <w:iCs/>
      <w:color w:val="1F3763" w:themeColor="accent1" w:themeShade="7F"/>
    </w:rPr>
  </w:style>
  <w:style w:type="character" w:styleId="IntenseEmphasis">
    <w:name w:val="Intense Emphasis"/>
    <w:uiPriority w:val="21"/>
    <w:qFormat/>
    <w:rsid w:val="00CA4F25"/>
    <w:rPr>
      <w:b/>
      <w:bCs/>
      <w:caps/>
      <w:color w:val="1F3763" w:themeColor="accent1" w:themeShade="7F"/>
      <w:spacing w:val="10"/>
    </w:rPr>
  </w:style>
  <w:style w:type="character" w:styleId="SubtleReference">
    <w:name w:val="Subtle Reference"/>
    <w:uiPriority w:val="31"/>
    <w:qFormat/>
    <w:rsid w:val="00CA4F25"/>
    <w:rPr>
      <w:b/>
      <w:bCs/>
      <w:color w:val="4472C4" w:themeColor="accent1"/>
    </w:rPr>
  </w:style>
  <w:style w:type="character" w:styleId="IntenseReference">
    <w:name w:val="Intense Reference"/>
    <w:uiPriority w:val="32"/>
    <w:qFormat/>
    <w:rsid w:val="00CA4F25"/>
    <w:rPr>
      <w:b/>
      <w:bCs/>
      <w:i/>
      <w:iCs/>
      <w:caps/>
      <w:color w:val="4472C4" w:themeColor="accent1"/>
    </w:rPr>
  </w:style>
  <w:style w:type="character" w:styleId="BookTitle">
    <w:name w:val="Book Title"/>
    <w:uiPriority w:val="33"/>
    <w:qFormat/>
    <w:rsid w:val="00CA4F25"/>
    <w:rPr>
      <w:b/>
      <w:bCs/>
      <w:i/>
      <w:iCs/>
      <w:spacing w:val="0"/>
    </w:rPr>
  </w:style>
  <w:style w:type="paragraph" w:styleId="TOCHeading">
    <w:name w:val="TOC Heading"/>
    <w:basedOn w:val="Heading1"/>
    <w:next w:val="Normal"/>
    <w:uiPriority w:val="39"/>
    <w:unhideWhenUsed/>
    <w:qFormat/>
    <w:rsid w:val="00CA4F25"/>
    <w:pPr>
      <w:outlineLvl w:val="9"/>
    </w:pPr>
  </w:style>
  <w:style w:type="paragraph" w:styleId="TOC1">
    <w:name w:val="toc 1"/>
    <w:basedOn w:val="Normal"/>
    <w:next w:val="Normal"/>
    <w:autoRedefine/>
    <w:uiPriority w:val="39"/>
    <w:unhideWhenUsed/>
    <w:rsid w:val="00CA4F25"/>
    <w:pPr>
      <w:spacing w:after="100"/>
    </w:pPr>
  </w:style>
  <w:style w:type="character" w:styleId="Hyperlink">
    <w:name w:val="Hyperlink"/>
    <w:basedOn w:val="DefaultParagraphFont"/>
    <w:uiPriority w:val="99"/>
    <w:unhideWhenUsed/>
    <w:rsid w:val="00CA4F25"/>
    <w:rPr>
      <w:color w:val="0563C1" w:themeColor="hyperlink"/>
      <w:u w:val="single"/>
    </w:rPr>
  </w:style>
  <w:style w:type="paragraph" w:styleId="Header">
    <w:name w:val="header"/>
    <w:basedOn w:val="Normal"/>
    <w:link w:val="HeaderChar"/>
    <w:uiPriority w:val="99"/>
    <w:unhideWhenUsed/>
    <w:rsid w:val="001237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374F"/>
  </w:style>
  <w:style w:type="paragraph" w:styleId="Footer">
    <w:name w:val="footer"/>
    <w:basedOn w:val="Normal"/>
    <w:link w:val="FooterChar"/>
    <w:uiPriority w:val="99"/>
    <w:unhideWhenUsed/>
    <w:rsid w:val="001237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374F"/>
  </w:style>
  <w:style w:type="paragraph" w:styleId="ListParagraph">
    <w:name w:val="List Paragraph"/>
    <w:basedOn w:val="Normal"/>
    <w:link w:val="ListParagraphChar"/>
    <w:uiPriority w:val="34"/>
    <w:qFormat/>
    <w:rsid w:val="00C00C73"/>
    <w:pPr>
      <w:ind w:left="720"/>
      <w:contextualSpacing/>
    </w:pPr>
  </w:style>
  <w:style w:type="paragraph" w:styleId="NormalWeb">
    <w:name w:val="Normal (Web)"/>
    <w:basedOn w:val="Normal"/>
    <w:uiPriority w:val="99"/>
    <w:unhideWhenUsed/>
    <w:rsid w:val="00D47F3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ibliography">
    <w:name w:val="Bibliography"/>
    <w:basedOn w:val="Normal"/>
    <w:next w:val="Normal"/>
    <w:uiPriority w:val="37"/>
    <w:unhideWhenUsed/>
    <w:rsid w:val="0088071A"/>
  </w:style>
  <w:style w:type="paragraph" w:styleId="TOC2">
    <w:name w:val="toc 2"/>
    <w:basedOn w:val="Normal"/>
    <w:next w:val="Normal"/>
    <w:autoRedefine/>
    <w:uiPriority w:val="39"/>
    <w:unhideWhenUsed/>
    <w:rsid w:val="009658BF"/>
    <w:pPr>
      <w:spacing w:after="100" w:line="259" w:lineRule="auto"/>
      <w:ind w:left="220"/>
    </w:pPr>
    <w:rPr>
      <w:rFonts w:cs="Times New Roman"/>
      <w:sz w:val="22"/>
      <w:szCs w:val="22"/>
      <w:lang w:val="en-US"/>
    </w:rPr>
  </w:style>
  <w:style w:type="paragraph" w:styleId="TOC3">
    <w:name w:val="toc 3"/>
    <w:basedOn w:val="Normal"/>
    <w:next w:val="Normal"/>
    <w:autoRedefine/>
    <w:uiPriority w:val="39"/>
    <w:unhideWhenUsed/>
    <w:rsid w:val="009658BF"/>
    <w:pPr>
      <w:spacing w:after="100" w:line="259" w:lineRule="auto"/>
      <w:ind w:left="440"/>
    </w:pPr>
    <w:rPr>
      <w:rFonts w:cs="Times New Roman"/>
      <w:sz w:val="22"/>
      <w:szCs w:val="22"/>
      <w:lang w:val="en-US"/>
    </w:rPr>
  </w:style>
  <w:style w:type="character" w:customStyle="1" w:styleId="ListParagraphChar">
    <w:name w:val="List Paragraph Char"/>
    <w:link w:val="ListParagraph"/>
    <w:uiPriority w:val="34"/>
    <w:locked/>
    <w:rsid w:val="009836C6"/>
  </w:style>
  <w:style w:type="paragraph" w:customStyle="1" w:styleId="Default">
    <w:name w:val="Default"/>
    <w:rsid w:val="00334D43"/>
    <w:pPr>
      <w:autoSpaceDE w:val="0"/>
      <w:autoSpaceDN w:val="0"/>
      <w:adjustRightInd w:val="0"/>
      <w:spacing w:after="0" w:line="240" w:lineRule="auto"/>
    </w:pPr>
    <w:rPr>
      <w:rFonts w:ascii="Arial" w:eastAsiaTheme="minorHAnsi"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22199">
      <w:bodyDiv w:val="1"/>
      <w:marLeft w:val="0"/>
      <w:marRight w:val="0"/>
      <w:marTop w:val="0"/>
      <w:marBottom w:val="0"/>
      <w:divBdr>
        <w:top w:val="none" w:sz="0" w:space="0" w:color="auto"/>
        <w:left w:val="none" w:sz="0" w:space="0" w:color="auto"/>
        <w:bottom w:val="none" w:sz="0" w:space="0" w:color="auto"/>
        <w:right w:val="none" w:sz="0" w:space="0" w:color="auto"/>
      </w:divBdr>
    </w:div>
    <w:div w:id="13191063">
      <w:bodyDiv w:val="1"/>
      <w:marLeft w:val="0"/>
      <w:marRight w:val="0"/>
      <w:marTop w:val="0"/>
      <w:marBottom w:val="0"/>
      <w:divBdr>
        <w:top w:val="none" w:sz="0" w:space="0" w:color="auto"/>
        <w:left w:val="none" w:sz="0" w:space="0" w:color="auto"/>
        <w:bottom w:val="none" w:sz="0" w:space="0" w:color="auto"/>
        <w:right w:val="none" w:sz="0" w:space="0" w:color="auto"/>
      </w:divBdr>
    </w:div>
    <w:div w:id="19478935">
      <w:bodyDiv w:val="1"/>
      <w:marLeft w:val="0"/>
      <w:marRight w:val="0"/>
      <w:marTop w:val="0"/>
      <w:marBottom w:val="0"/>
      <w:divBdr>
        <w:top w:val="none" w:sz="0" w:space="0" w:color="auto"/>
        <w:left w:val="none" w:sz="0" w:space="0" w:color="auto"/>
        <w:bottom w:val="none" w:sz="0" w:space="0" w:color="auto"/>
        <w:right w:val="none" w:sz="0" w:space="0" w:color="auto"/>
      </w:divBdr>
    </w:div>
    <w:div w:id="24140805">
      <w:bodyDiv w:val="1"/>
      <w:marLeft w:val="0"/>
      <w:marRight w:val="0"/>
      <w:marTop w:val="0"/>
      <w:marBottom w:val="0"/>
      <w:divBdr>
        <w:top w:val="none" w:sz="0" w:space="0" w:color="auto"/>
        <w:left w:val="none" w:sz="0" w:space="0" w:color="auto"/>
        <w:bottom w:val="none" w:sz="0" w:space="0" w:color="auto"/>
        <w:right w:val="none" w:sz="0" w:space="0" w:color="auto"/>
      </w:divBdr>
    </w:div>
    <w:div w:id="24405460">
      <w:bodyDiv w:val="1"/>
      <w:marLeft w:val="0"/>
      <w:marRight w:val="0"/>
      <w:marTop w:val="0"/>
      <w:marBottom w:val="0"/>
      <w:divBdr>
        <w:top w:val="none" w:sz="0" w:space="0" w:color="auto"/>
        <w:left w:val="none" w:sz="0" w:space="0" w:color="auto"/>
        <w:bottom w:val="none" w:sz="0" w:space="0" w:color="auto"/>
        <w:right w:val="none" w:sz="0" w:space="0" w:color="auto"/>
      </w:divBdr>
    </w:div>
    <w:div w:id="45642255">
      <w:bodyDiv w:val="1"/>
      <w:marLeft w:val="0"/>
      <w:marRight w:val="0"/>
      <w:marTop w:val="0"/>
      <w:marBottom w:val="0"/>
      <w:divBdr>
        <w:top w:val="none" w:sz="0" w:space="0" w:color="auto"/>
        <w:left w:val="none" w:sz="0" w:space="0" w:color="auto"/>
        <w:bottom w:val="none" w:sz="0" w:space="0" w:color="auto"/>
        <w:right w:val="none" w:sz="0" w:space="0" w:color="auto"/>
      </w:divBdr>
    </w:div>
    <w:div w:id="50345369">
      <w:bodyDiv w:val="1"/>
      <w:marLeft w:val="0"/>
      <w:marRight w:val="0"/>
      <w:marTop w:val="0"/>
      <w:marBottom w:val="0"/>
      <w:divBdr>
        <w:top w:val="none" w:sz="0" w:space="0" w:color="auto"/>
        <w:left w:val="none" w:sz="0" w:space="0" w:color="auto"/>
        <w:bottom w:val="none" w:sz="0" w:space="0" w:color="auto"/>
        <w:right w:val="none" w:sz="0" w:space="0" w:color="auto"/>
      </w:divBdr>
    </w:div>
    <w:div w:id="65685546">
      <w:bodyDiv w:val="1"/>
      <w:marLeft w:val="0"/>
      <w:marRight w:val="0"/>
      <w:marTop w:val="0"/>
      <w:marBottom w:val="0"/>
      <w:divBdr>
        <w:top w:val="none" w:sz="0" w:space="0" w:color="auto"/>
        <w:left w:val="none" w:sz="0" w:space="0" w:color="auto"/>
        <w:bottom w:val="none" w:sz="0" w:space="0" w:color="auto"/>
        <w:right w:val="none" w:sz="0" w:space="0" w:color="auto"/>
      </w:divBdr>
    </w:div>
    <w:div w:id="75053173">
      <w:bodyDiv w:val="1"/>
      <w:marLeft w:val="0"/>
      <w:marRight w:val="0"/>
      <w:marTop w:val="0"/>
      <w:marBottom w:val="0"/>
      <w:divBdr>
        <w:top w:val="none" w:sz="0" w:space="0" w:color="auto"/>
        <w:left w:val="none" w:sz="0" w:space="0" w:color="auto"/>
        <w:bottom w:val="none" w:sz="0" w:space="0" w:color="auto"/>
        <w:right w:val="none" w:sz="0" w:space="0" w:color="auto"/>
      </w:divBdr>
    </w:div>
    <w:div w:id="76218737">
      <w:bodyDiv w:val="1"/>
      <w:marLeft w:val="0"/>
      <w:marRight w:val="0"/>
      <w:marTop w:val="0"/>
      <w:marBottom w:val="0"/>
      <w:divBdr>
        <w:top w:val="none" w:sz="0" w:space="0" w:color="auto"/>
        <w:left w:val="none" w:sz="0" w:space="0" w:color="auto"/>
        <w:bottom w:val="none" w:sz="0" w:space="0" w:color="auto"/>
        <w:right w:val="none" w:sz="0" w:space="0" w:color="auto"/>
      </w:divBdr>
    </w:div>
    <w:div w:id="80107968">
      <w:bodyDiv w:val="1"/>
      <w:marLeft w:val="0"/>
      <w:marRight w:val="0"/>
      <w:marTop w:val="0"/>
      <w:marBottom w:val="0"/>
      <w:divBdr>
        <w:top w:val="none" w:sz="0" w:space="0" w:color="auto"/>
        <w:left w:val="none" w:sz="0" w:space="0" w:color="auto"/>
        <w:bottom w:val="none" w:sz="0" w:space="0" w:color="auto"/>
        <w:right w:val="none" w:sz="0" w:space="0" w:color="auto"/>
      </w:divBdr>
    </w:div>
    <w:div w:id="92438359">
      <w:bodyDiv w:val="1"/>
      <w:marLeft w:val="0"/>
      <w:marRight w:val="0"/>
      <w:marTop w:val="0"/>
      <w:marBottom w:val="0"/>
      <w:divBdr>
        <w:top w:val="none" w:sz="0" w:space="0" w:color="auto"/>
        <w:left w:val="none" w:sz="0" w:space="0" w:color="auto"/>
        <w:bottom w:val="none" w:sz="0" w:space="0" w:color="auto"/>
        <w:right w:val="none" w:sz="0" w:space="0" w:color="auto"/>
      </w:divBdr>
    </w:div>
    <w:div w:id="97601961">
      <w:bodyDiv w:val="1"/>
      <w:marLeft w:val="0"/>
      <w:marRight w:val="0"/>
      <w:marTop w:val="0"/>
      <w:marBottom w:val="0"/>
      <w:divBdr>
        <w:top w:val="none" w:sz="0" w:space="0" w:color="auto"/>
        <w:left w:val="none" w:sz="0" w:space="0" w:color="auto"/>
        <w:bottom w:val="none" w:sz="0" w:space="0" w:color="auto"/>
        <w:right w:val="none" w:sz="0" w:space="0" w:color="auto"/>
      </w:divBdr>
    </w:div>
    <w:div w:id="103617831">
      <w:bodyDiv w:val="1"/>
      <w:marLeft w:val="0"/>
      <w:marRight w:val="0"/>
      <w:marTop w:val="0"/>
      <w:marBottom w:val="0"/>
      <w:divBdr>
        <w:top w:val="none" w:sz="0" w:space="0" w:color="auto"/>
        <w:left w:val="none" w:sz="0" w:space="0" w:color="auto"/>
        <w:bottom w:val="none" w:sz="0" w:space="0" w:color="auto"/>
        <w:right w:val="none" w:sz="0" w:space="0" w:color="auto"/>
      </w:divBdr>
    </w:div>
    <w:div w:id="111217193">
      <w:bodyDiv w:val="1"/>
      <w:marLeft w:val="0"/>
      <w:marRight w:val="0"/>
      <w:marTop w:val="0"/>
      <w:marBottom w:val="0"/>
      <w:divBdr>
        <w:top w:val="none" w:sz="0" w:space="0" w:color="auto"/>
        <w:left w:val="none" w:sz="0" w:space="0" w:color="auto"/>
        <w:bottom w:val="none" w:sz="0" w:space="0" w:color="auto"/>
        <w:right w:val="none" w:sz="0" w:space="0" w:color="auto"/>
      </w:divBdr>
    </w:div>
    <w:div w:id="115562974">
      <w:bodyDiv w:val="1"/>
      <w:marLeft w:val="0"/>
      <w:marRight w:val="0"/>
      <w:marTop w:val="0"/>
      <w:marBottom w:val="0"/>
      <w:divBdr>
        <w:top w:val="none" w:sz="0" w:space="0" w:color="auto"/>
        <w:left w:val="none" w:sz="0" w:space="0" w:color="auto"/>
        <w:bottom w:val="none" w:sz="0" w:space="0" w:color="auto"/>
        <w:right w:val="none" w:sz="0" w:space="0" w:color="auto"/>
      </w:divBdr>
    </w:div>
    <w:div w:id="123155986">
      <w:bodyDiv w:val="1"/>
      <w:marLeft w:val="0"/>
      <w:marRight w:val="0"/>
      <w:marTop w:val="0"/>
      <w:marBottom w:val="0"/>
      <w:divBdr>
        <w:top w:val="none" w:sz="0" w:space="0" w:color="auto"/>
        <w:left w:val="none" w:sz="0" w:space="0" w:color="auto"/>
        <w:bottom w:val="none" w:sz="0" w:space="0" w:color="auto"/>
        <w:right w:val="none" w:sz="0" w:space="0" w:color="auto"/>
      </w:divBdr>
    </w:div>
    <w:div w:id="125046613">
      <w:bodyDiv w:val="1"/>
      <w:marLeft w:val="0"/>
      <w:marRight w:val="0"/>
      <w:marTop w:val="0"/>
      <w:marBottom w:val="0"/>
      <w:divBdr>
        <w:top w:val="none" w:sz="0" w:space="0" w:color="auto"/>
        <w:left w:val="none" w:sz="0" w:space="0" w:color="auto"/>
        <w:bottom w:val="none" w:sz="0" w:space="0" w:color="auto"/>
        <w:right w:val="none" w:sz="0" w:space="0" w:color="auto"/>
      </w:divBdr>
    </w:div>
    <w:div w:id="128011952">
      <w:bodyDiv w:val="1"/>
      <w:marLeft w:val="0"/>
      <w:marRight w:val="0"/>
      <w:marTop w:val="0"/>
      <w:marBottom w:val="0"/>
      <w:divBdr>
        <w:top w:val="none" w:sz="0" w:space="0" w:color="auto"/>
        <w:left w:val="none" w:sz="0" w:space="0" w:color="auto"/>
        <w:bottom w:val="none" w:sz="0" w:space="0" w:color="auto"/>
        <w:right w:val="none" w:sz="0" w:space="0" w:color="auto"/>
      </w:divBdr>
    </w:div>
    <w:div w:id="130490169">
      <w:bodyDiv w:val="1"/>
      <w:marLeft w:val="0"/>
      <w:marRight w:val="0"/>
      <w:marTop w:val="0"/>
      <w:marBottom w:val="0"/>
      <w:divBdr>
        <w:top w:val="none" w:sz="0" w:space="0" w:color="auto"/>
        <w:left w:val="none" w:sz="0" w:space="0" w:color="auto"/>
        <w:bottom w:val="none" w:sz="0" w:space="0" w:color="auto"/>
        <w:right w:val="none" w:sz="0" w:space="0" w:color="auto"/>
      </w:divBdr>
    </w:div>
    <w:div w:id="132018479">
      <w:bodyDiv w:val="1"/>
      <w:marLeft w:val="0"/>
      <w:marRight w:val="0"/>
      <w:marTop w:val="0"/>
      <w:marBottom w:val="0"/>
      <w:divBdr>
        <w:top w:val="none" w:sz="0" w:space="0" w:color="auto"/>
        <w:left w:val="none" w:sz="0" w:space="0" w:color="auto"/>
        <w:bottom w:val="none" w:sz="0" w:space="0" w:color="auto"/>
        <w:right w:val="none" w:sz="0" w:space="0" w:color="auto"/>
      </w:divBdr>
    </w:div>
    <w:div w:id="140002445">
      <w:bodyDiv w:val="1"/>
      <w:marLeft w:val="0"/>
      <w:marRight w:val="0"/>
      <w:marTop w:val="0"/>
      <w:marBottom w:val="0"/>
      <w:divBdr>
        <w:top w:val="none" w:sz="0" w:space="0" w:color="auto"/>
        <w:left w:val="none" w:sz="0" w:space="0" w:color="auto"/>
        <w:bottom w:val="none" w:sz="0" w:space="0" w:color="auto"/>
        <w:right w:val="none" w:sz="0" w:space="0" w:color="auto"/>
      </w:divBdr>
    </w:div>
    <w:div w:id="170486257">
      <w:bodyDiv w:val="1"/>
      <w:marLeft w:val="0"/>
      <w:marRight w:val="0"/>
      <w:marTop w:val="0"/>
      <w:marBottom w:val="0"/>
      <w:divBdr>
        <w:top w:val="none" w:sz="0" w:space="0" w:color="auto"/>
        <w:left w:val="none" w:sz="0" w:space="0" w:color="auto"/>
        <w:bottom w:val="none" w:sz="0" w:space="0" w:color="auto"/>
        <w:right w:val="none" w:sz="0" w:space="0" w:color="auto"/>
      </w:divBdr>
    </w:div>
    <w:div w:id="177427991">
      <w:bodyDiv w:val="1"/>
      <w:marLeft w:val="0"/>
      <w:marRight w:val="0"/>
      <w:marTop w:val="0"/>
      <w:marBottom w:val="0"/>
      <w:divBdr>
        <w:top w:val="none" w:sz="0" w:space="0" w:color="auto"/>
        <w:left w:val="none" w:sz="0" w:space="0" w:color="auto"/>
        <w:bottom w:val="none" w:sz="0" w:space="0" w:color="auto"/>
        <w:right w:val="none" w:sz="0" w:space="0" w:color="auto"/>
      </w:divBdr>
    </w:div>
    <w:div w:id="178862433">
      <w:bodyDiv w:val="1"/>
      <w:marLeft w:val="0"/>
      <w:marRight w:val="0"/>
      <w:marTop w:val="0"/>
      <w:marBottom w:val="0"/>
      <w:divBdr>
        <w:top w:val="none" w:sz="0" w:space="0" w:color="auto"/>
        <w:left w:val="none" w:sz="0" w:space="0" w:color="auto"/>
        <w:bottom w:val="none" w:sz="0" w:space="0" w:color="auto"/>
        <w:right w:val="none" w:sz="0" w:space="0" w:color="auto"/>
      </w:divBdr>
    </w:div>
    <w:div w:id="180508072">
      <w:bodyDiv w:val="1"/>
      <w:marLeft w:val="0"/>
      <w:marRight w:val="0"/>
      <w:marTop w:val="0"/>
      <w:marBottom w:val="0"/>
      <w:divBdr>
        <w:top w:val="none" w:sz="0" w:space="0" w:color="auto"/>
        <w:left w:val="none" w:sz="0" w:space="0" w:color="auto"/>
        <w:bottom w:val="none" w:sz="0" w:space="0" w:color="auto"/>
        <w:right w:val="none" w:sz="0" w:space="0" w:color="auto"/>
      </w:divBdr>
    </w:div>
    <w:div w:id="192350416">
      <w:bodyDiv w:val="1"/>
      <w:marLeft w:val="0"/>
      <w:marRight w:val="0"/>
      <w:marTop w:val="0"/>
      <w:marBottom w:val="0"/>
      <w:divBdr>
        <w:top w:val="none" w:sz="0" w:space="0" w:color="auto"/>
        <w:left w:val="none" w:sz="0" w:space="0" w:color="auto"/>
        <w:bottom w:val="none" w:sz="0" w:space="0" w:color="auto"/>
        <w:right w:val="none" w:sz="0" w:space="0" w:color="auto"/>
      </w:divBdr>
    </w:div>
    <w:div w:id="202065436">
      <w:bodyDiv w:val="1"/>
      <w:marLeft w:val="0"/>
      <w:marRight w:val="0"/>
      <w:marTop w:val="0"/>
      <w:marBottom w:val="0"/>
      <w:divBdr>
        <w:top w:val="none" w:sz="0" w:space="0" w:color="auto"/>
        <w:left w:val="none" w:sz="0" w:space="0" w:color="auto"/>
        <w:bottom w:val="none" w:sz="0" w:space="0" w:color="auto"/>
        <w:right w:val="none" w:sz="0" w:space="0" w:color="auto"/>
      </w:divBdr>
    </w:div>
    <w:div w:id="210727877">
      <w:bodyDiv w:val="1"/>
      <w:marLeft w:val="0"/>
      <w:marRight w:val="0"/>
      <w:marTop w:val="0"/>
      <w:marBottom w:val="0"/>
      <w:divBdr>
        <w:top w:val="none" w:sz="0" w:space="0" w:color="auto"/>
        <w:left w:val="none" w:sz="0" w:space="0" w:color="auto"/>
        <w:bottom w:val="none" w:sz="0" w:space="0" w:color="auto"/>
        <w:right w:val="none" w:sz="0" w:space="0" w:color="auto"/>
      </w:divBdr>
    </w:div>
    <w:div w:id="213857104">
      <w:bodyDiv w:val="1"/>
      <w:marLeft w:val="0"/>
      <w:marRight w:val="0"/>
      <w:marTop w:val="0"/>
      <w:marBottom w:val="0"/>
      <w:divBdr>
        <w:top w:val="none" w:sz="0" w:space="0" w:color="auto"/>
        <w:left w:val="none" w:sz="0" w:space="0" w:color="auto"/>
        <w:bottom w:val="none" w:sz="0" w:space="0" w:color="auto"/>
        <w:right w:val="none" w:sz="0" w:space="0" w:color="auto"/>
      </w:divBdr>
    </w:div>
    <w:div w:id="213977308">
      <w:bodyDiv w:val="1"/>
      <w:marLeft w:val="0"/>
      <w:marRight w:val="0"/>
      <w:marTop w:val="0"/>
      <w:marBottom w:val="0"/>
      <w:divBdr>
        <w:top w:val="none" w:sz="0" w:space="0" w:color="auto"/>
        <w:left w:val="none" w:sz="0" w:space="0" w:color="auto"/>
        <w:bottom w:val="none" w:sz="0" w:space="0" w:color="auto"/>
        <w:right w:val="none" w:sz="0" w:space="0" w:color="auto"/>
      </w:divBdr>
    </w:div>
    <w:div w:id="218395398">
      <w:bodyDiv w:val="1"/>
      <w:marLeft w:val="0"/>
      <w:marRight w:val="0"/>
      <w:marTop w:val="0"/>
      <w:marBottom w:val="0"/>
      <w:divBdr>
        <w:top w:val="none" w:sz="0" w:space="0" w:color="auto"/>
        <w:left w:val="none" w:sz="0" w:space="0" w:color="auto"/>
        <w:bottom w:val="none" w:sz="0" w:space="0" w:color="auto"/>
        <w:right w:val="none" w:sz="0" w:space="0" w:color="auto"/>
      </w:divBdr>
    </w:div>
    <w:div w:id="226769455">
      <w:bodyDiv w:val="1"/>
      <w:marLeft w:val="0"/>
      <w:marRight w:val="0"/>
      <w:marTop w:val="0"/>
      <w:marBottom w:val="0"/>
      <w:divBdr>
        <w:top w:val="none" w:sz="0" w:space="0" w:color="auto"/>
        <w:left w:val="none" w:sz="0" w:space="0" w:color="auto"/>
        <w:bottom w:val="none" w:sz="0" w:space="0" w:color="auto"/>
        <w:right w:val="none" w:sz="0" w:space="0" w:color="auto"/>
      </w:divBdr>
    </w:div>
    <w:div w:id="233972065">
      <w:bodyDiv w:val="1"/>
      <w:marLeft w:val="0"/>
      <w:marRight w:val="0"/>
      <w:marTop w:val="0"/>
      <w:marBottom w:val="0"/>
      <w:divBdr>
        <w:top w:val="none" w:sz="0" w:space="0" w:color="auto"/>
        <w:left w:val="none" w:sz="0" w:space="0" w:color="auto"/>
        <w:bottom w:val="none" w:sz="0" w:space="0" w:color="auto"/>
        <w:right w:val="none" w:sz="0" w:space="0" w:color="auto"/>
      </w:divBdr>
    </w:div>
    <w:div w:id="235432929">
      <w:bodyDiv w:val="1"/>
      <w:marLeft w:val="0"/>
      <w:marRight w:val="0"/>
      <w:marTop w:val="0"/>
      <w:marBottom w:val="0"/>
      <w:divBdr>
        <w:top w:val="none" w:sz="0" w:space="0" w:color="auto"/>
        <w:left w:val="none" w:sz="0" w:space="0" w:color="auto"/>
        <w:bottom w:val="none" w:sz="0" w:space="0" w:color="auto"/>
        <w:right w:val="none" w:sz="0" w:space="0" w:color="auto"/>
      </w:divBdr>
    </w:div>
    <w:div w:id="237253490">
      <w:bodyDiv w:val="1"/>
      <w:marLeft w:val="0"/>
      <w:marRight w:val="0"/>
      <w:marTop w:val="0"/>
      <w:marBottom w:val="0"/>
      <w:divBdr>
        <w:top w:val="none" w:sz="0" w:space="0" w:color="auto"/>
        <w:left w:val="none" w:sz="0" w:space="0" w:color="auto"/>
        <w:bottom w:val="none" w:sz="0" w:space="0" w:color="auto"/>
        <w:right w:val="none" w:sz="0" w:space="0" w:color="auto"/>
      </w:divBdr>
    </w:div>
    <w:div w:id="254443492">
      <w:bodyDiv w:val="1"/>
      <w:marLeft w:val="0"/>
      <w:marRight w:val="0"/>
      <w:marTop w:val="0"/>
      <w:marBottom w:val="0"/>
      <w:divBdr>
        <w:top w:val="none" w:sz="0" w:space="0" w:color="auto"/>
        <w:left w:val="none" w:sz="0" w:space="0" w:color="auto"/>
        <w:bottom w:val="none" w:sz="0" w:space="0" w:color="auto"/>
        <w:right w:val="none" w:sz="0" w:space="0" w:color="auto"/>
      </w:divBdr>
    </w:div>
    <w:div w:id="258606185">
      <w:bodyDiv w:val="1"/>
      <w:marLeft w:val="0"/>
      <w:marRight w:val="0"/>
      <w:marTop w:val="0"/>
      <w:marBottom w:val="0"/>
      <w:divBdr>
        <w:top w:val="none" w:sz="0" w:space="0" w:color="auto"/>
        <w:left w:val="none" w:sz="0" w:space="0" w:color="auto"/>
        <w:bottom w:val="none" w:sz="0" w:space="0" w:color="auto"/>
        <w:right w:val="none" w:sz="0" w:space="0" w:color="auto"/>
      </w:divBdr>
    </w:div>
    <w:div w:id="261187592">
      <w:bodyDiv w:val="1"/>
      <w:marLeft w:val="0"/>
      <w:marRight w:val="0"/>
      <w:marTop w:val="0"/>
      <w:marBottom w:val="0"/>
      <w:divBdr>
        <w:top w:val="none" w:sz="0" w:space="0" w:color="auto"/>
        <w:left w:val="none" w:sz="0" w:space="0" w:color="auto"/>
        <w:bottom w:val="none" w:sz="0" w:space="0" w:color="auto"/>
        <w:right w:val="none" w:sz="0" w:space="0" w:color="auto"/>
      </w:divBdr>
    </w:div>
    <w:div w:id="264121314">
      <w:bodyDiv w:val="1"/>
      <w:marLeft w:val="0"/>
      <w:marRight w:val="0"/>
      <w:marTop w:val="0"/>
      <w:marBottom w:val="0"/>
      <w:divBdr>
        <w:top w:val="none" w:sz="0" w:space="0" w:color="auto"/>
        <w:left w:val="none" w:sz="0" w:space="0" w:color="auto"/>
        <w:bottom w:val="none" w:sz="0" w:space="0" w:color="auto"/>
        <w:right w:val="none" w:sz="0" w:space="0" w:color="auto"/>
      </w:divBdr>
    </w:div>
    <w:div w:id="266162911">
      <w:bodyDiv w:val="1"/>
      <w:marLeft w:val="0"/>
      <w:marRight w:val="0"/>
      <w:marTop w:val="0"/>
      <w:marBottom w:val="0"/>
      <w:divBdr>
        <w:top w:val="none" w:sz="0" w:space="0" w:color="auto"/>
        <w:left w:val="none" w:sz="0" w:space="0" w:color="auto"/>
        <w:bottom w:val="none" w:sz="0" w:space="0" w:color="auto"/>
        <w:right w:val="none" w:sz="0" w:space="0" w:color="auto"/>
      </w:divBdr>
    </w:div>
    <w:div w:id="275186554">
      <w:bodyDiv w:val="1"/>
      <w:marLeft w:val="0"/>
      <w:marRight w:val="0"/>
      <w:marTop w:val="0"/>
      <w:marBottom w:val="0"/>
      <w:divBdr>
        <w:top w:val="none" w:sz="0" w:space="0" w:color="auto"/>
        <w:left w:val="none" w:sz="0" w:space="0" w:color="auto"/>
        <w:bottom w:val="none" w:sz="0" w:space="0" w:color="auto"/>
        <w:right w:val="none" w:sz="0" w:space="0" w:color="auto"/>
      </w:divBdr>
    </w:div>
    <w:div w:id="277492934">
      <w:bodyDiv w:val="1"/>
      <w:marLeft w:val="0"/>
      <w:marRight w:val="0"/>
      <w:marTop w:val="0"/>
      <w:marBottom w:val="0"/>
      <w:divBdr>
        <w:top w:val="none" w:sz="0" w:space="0" w:color="auto"/>
        <w:left w:val="none" w:sz="0" w:space="0" w:color="auto"/>
        <w:bottom w:val="none" w:sz="0" w:space="0" w:color="auto"/>
        <w:right w:val="none" w:sz="0" w:space="0" w:color="auto"/>
      </w:divBdr>
    </w:div>
    <w:div w:id="280036451">
      <w:bodyDiv w:val="1"/>
      <w:marLeft w:val="0"/>
      <w:marRight w:val="0"/>
      <w:marTop w:val="0"/>
      <w:marBottom w:val="0"/>
      <w:divBdr>
        <w:top w:val="none" w:sz="0" w:space="0" w:color="auto"/>
        <w:left w:val="none" w:sz="0" w:space="0" w:color="auto"/>
        <w:bottom w:val="none" w:sz="0" w:space="0" w:color="auto"/>
        <w:right w:val="none" w:sz="0" w:space="0" w:color="auto"/>
      </w:divBdr>
    </w:div>
    <w:div w:id="282730296">
      <w:bodyDiv w:val="1"/>
      <w:marLeft w:val="0"/>
      <w:marRight w:val="0"/>
      <w:marTop w:val="0"/>
      <w:marBottom w:val="0"/>
      <w:divBdr>
        <w:top w:val="none" w:sz="0" w:space="0" w:color="auto"/>
        <w:left w:val="none" w:sz="0" w:space="0" w:color="auto"/>
        <w:bottom w:val="none" w:sz="0" w:space="0" w:color="auto"/>
        <w:right w:val="none" w:sz="0" w:space="0" w:color="auto"/>
      </w:divBdr>
    </w:div>
    <w:div w:id="284120342">
      <w:bodyDiv w:val="1"/>
      <w:marLeft w:val="0"/>
      <w:marRight w:val="0"/>
      <w:marTop w:val="0"/>
      <w:marBottom w:val="0"/>
      <w:divBdr>
        <w:top w:val="none" w:sz="0" w:space="0" w:color="auto"/>
        <w:left w:val="none" w:sz="0" w:space="0" w:color="auto"/>
        <w:bottom w:val="none" w:sz="0" w:space="0" w:color="auto"/>
        <w:right w:val="none" w:sz="0" w:space="0" w:color="auto"/>
      </w:divBdr>
    </w:div>
    <w:div w:id="289214596">
      <w:bodyDiv w:val="1"/>
      <w:marLeft w:val="0"/>
      <w:marRight w:val="0"/>
      <w:marTop w:val="0"/>
      <w:marBottom w:val="0"/>
      <w:divBdr>
        <w:top w:val="none" w:sz="0" w:space="0" w:color="auto"/>
        <w:left w:val="none" w:sz="0" w:space="0" w:color="auto"/>
        <w:bottom w:val="none" w:sz="0" w:space="0" w:color="auto"/>
        <w:right w:val="none" w:sz="0" w:space="0" w:color="auto"/>
      </w:divBdr>
    </w:div>
    <w:div w:id="304746358">
      <w:bodyDiv w:val="1"/>
      <w:marLeft w:val="0"/>
      <w:marRight w:val="0"/>
      <w:marTop w:val="0"/>
      <w:marBottom w:val="0"/>
      <w:divBdr>
        <w:top w:val="none" w:sz="0" w:space="0" w:color="auto"/>
        <w:left w:val="none" w:sz="0" w:space="0" w:color="auto"/>
        <w:bottom w:val="none" w:sz="0" w:space="0" w:color="auto"/>
        <w:right w:val="none" w:sz="0" w:space="0" w:color="auto"/>
      </w:divBdr>
    </w:div>
    <w:div w:id="316031176">
      <w:bodyDiv w:val="1"/>
      <w:marLeft w:val="0"/>
      <w:marRight w:val="0"/>
      <w:marTop w:val="0"/>
      <w:marBottom w:val="0"/>
      <w:divBdr>
        <w:top w:val="none" w:sz="0" w:space="0" w:color="auto"/>
        <w:left w:val="none" w:sz="0" w:space="0" w:color="auto"/>
        <w:bottom w:val="none" w:sz="0" w:space="0" w:color="auto"/>
        <w:right w:val="none" w:sz="0" w:space="0" w:color="auto"/>
      </w:divBdr>
    </w:div>
    <w:div w:id="321856655">
      <w:bodyDiv w:val="1"/>
      <w:marLeft w:val="0"/>
      <w:marRight w:val="0"/>
      <w:marTop w:val="0"/>
      <w:marBottom w:val="0"/>
      <w:divBdr>
        <w:top w:val="none" w:sz="0" w:space="0" w:color="auto"/>
        <w:left w:val="none" w:sz="0" w:space="0" w:color="auto"/>
        <w:bottom w:val="none" w:sz="0" w:space="0" w:color="auto"/>
        <w:right w:val="none" w:sz="0" w:space="0" w:color="auto"/>
      </w:divBdr>
    </w:div>
    <w:div w:id="330447470">
      <w:bodyDiv w:val="1"/>
      <w:marLeft w:val="0"/>
      <w:marRight w:val="0"/>
      <w:marTop w:val="0"/>
      <w:marBottom w:val="0"/>
      <w:divBdr>
        <w:top w:val="none" w:sz="0" w:space="0" w:color="auto"/>
        <w:left w:val="none" w:sz="0" w:space="0" w:color="auto"/>
        <w:bottom w:val="none" w:sz="0" w:space="0" w:color="auto"/>
        <w:right w:val="none" w:sz="0" w:space="0" w:color="auto"/>
      </w:divBdr>
    </w:div>
    <w:div w:id="375158660">
      <w:bodyDiv w:val="1"/>
      <w:marLeft w:val="0"/>
      <w:marRight w:val="0"/>
      <w:marTop w:val="0"/>
      <w:marBottom w:val="0"/>
      <w:divBdr>
        <w:top w:val="none" w:sz="0" w:space="0" w:color="auto"/>
        <w:left w:val="none" w:sz="0" w:space="0" w:color="auto"/>
        <w:bottom w:val="none" w:sz="0" w:space="0" w:color="auto"/>
        <w:right w:val="none" w:sz="0" w:space="0" w:color="auto"/>
      </w:divBdr>
    </w:div>
    <w:div w:id="378435789">
      <w:bodyDiv w:val="1"/>
      <w:marLeft w:val="0"/>
      <w:marRight w:val="0"/>
      <w:marTop w:val="0"/>
      <w:marBottom w:val="0"/>
      <w:divBdr>
        <w:top w:val="none" w:sz="0" w:space="0" w:color="auto"/>
        <w:left w:val="none" w:sz="0" w:space="0" w:color="auto"/>
        <w:bottom w:val="none" w:sz="0" w:space="0" w:color="auto"/>
        <w:right w:val="none" w:sz="0" w:space="0" w:color="auto"/>
      </w:divBdr>
    </w:div>
    <w:div w:id="380330517">
      <w:bodyDiv w:val="1"/>
      <w:marLeft w:val="0"/>
      <w:marRight w:val="0"/>
      <w:marTop w:val="0"/>
      <w:marBottom w:val="0"/>
      <w:divBdr>
        <w:top w:val="none" w:sz="0" w:space="0" w:color="auto"/>
        <w:left w:val="none" w:sz="0" w:space="0" w:color="auto"/>
        <w:bottom w:val="none" w:sz="0" w:space="0" w:color="auto"/>
        <w:right w:val="none" w:sz="0" w:space="0" w:color="auto"/>
      </w:divBdr>
    </w:div>
    <w:div w:id="394165423">
      <w:bodyDiv w:val="1"/>
      <w:marLeft w:val="0"/>
      <w:marRight w:val="0"/>
      <w:marTop w:val="0"/>
      <w:marBottom w:val="0"/>
      <w:divBdr>
        <w:top w:val="none" w:sz="0" w:space="0" w:color="auto"/>
        <w:left w:val="none" w:sz="0" w:space="0" w:color="auto"/>
        <w:bottom w:val="none" w:sz="0" w:space="0" w:color="auto"/>
        <w:right w:val="none" w:sz="0" w:space="0" w:color="auto"/>
      </w:divBdr>
    </w:div>
    <w:div w:id="398401579">
      <w:bodyDiv w:val="1"/>
      <w:marLeft w:val="0"/>
      <w:marRight w:val="0"/>
      <w:marTop w:val="0"/>
      <w:marBottom w:val="0"/>
      <w:divBdr>
        <w:top w:val="none" w:sz="0" w:space="0" w:color="auto"/>
        <w:left w:val="none" w:sz="0" w:space="0" w:color="auto"/>
        <w:bottom w:val="none" w:sz="0" w:space="0" w:color="auto"/>
        <w:right w:val="none" w:sz="0" w:space="0" w:color="auto"/>
      </w:divBdr>
    </w:div>
    <w:div w:id="408817818">
      <w:bodyDiv w:val="1"/>
      <w:marLeft w:val="0"/>
      <w:marRight w:val="0"/>
      <w:marTop w:val="0"/>
      <w:marBottom w:val="0"/>
      <w:divBdr>
        <w:top w:val="none" w:sz="0" w:space="0" w:color="auto"/>
        <w:left w:val="none" w:sz="0" w:space="0" w:color="auto"/>
        <w:bottom w:val="none" w:sz="0" w:space="0" w:color="auto"/>
        <w:right w:val="none" w:sz="0" w:space="0" w:color="auto"/>
      </w:divBdr>
    </w:div>
    <w:div w:id="413939666">
      <w:bodyDiv w:val="1"/>
      <w:marLeft w:val="0"/>
      <w:marRight w:val="0"/>
      <w:marTop w:val="0"/>
      <w:marBottom w:val="0"/>
      <w:divBdr>
        <w:top w:val="none" w:sz="0" w:space="0" w:color="auto"/>
        <w:left w:val="none" w:sz="0" w:space="0" w:color="auto"/>
        <w:bottom w:val="none" w:sz="0" w:space="0" w:color="auto"/>
        <w:right w:val="none" w:sz="0" w:space="0" w:color="auto"/>
      </w:divBdr>
    </w:div>
    <w:div w:id="414202739">
      <w:bodyDiv w:val="1"/>
      <w:marLeft w:val="0"/>
      <w:marRight w:val="0"/>
      <w:marTop w:val="0"/>
      <w:marBottom w:val="0"/>
      <w:divBdr>
        <w:top w:val="none" w:sz="0" w:space="0" w:color="auto"/>
        <w:left w:val="none" w:sz="0" w:space="0" w:color="auto"/>
        <w:bottom w:val="none" w:sz="0" w:space="0" w:color="auto"/>
        <w:right w:val="none" w:sz="0" w:space="0" w:color="auto"/>
      </w:divBdr>
    </w:div>
    <w:div w:id="419133690">
      <w:bodyDiv w:val="1"/>
      <w:marLeft w:val="0"/>
      <w:marRight w:val="0"/>
      <w:marTop w:val="0"/>
      <w:marBottom w:val="0"/>
      <w:divBdr>
        <w:top w:val="none" w:sz="0" w:space="0" w:color="auto"/>
        <w:left w:val="none" w:sz="0" w:space="0" w:color="auto"/>
        <w:bottom w:val="none" w:sz="0" w:space="0" w:color="auto"/>
        <w:right w:val="none" w:sz="0" w:space="0" w:color="auto"/>
      </w:divBdr>
    </w:div>
    <w:div w:id="429668557">
      <w:bodyDiv w:val="1"/>
      <w:marLeft w:val="0"/>
      <w:marRight w:val="0"/>
      <w:marTop w:val="0"/>
      <w:marBottom w:val="0"/>
      <w:divBdr>
        <w:top w:val="none" w:sz="0" w:space="0" w:color="auto"/>
        <w:left w:val="none" w:sz="0" w:space="0" w:color="auto"/>
        <w:bottom w:val="none" w:sz="0" w:space="0" w:color="auto"/>
        <w:right w:val="none" w:sz="0" w:space="0" w:color="auto"/>
      </w:divBdr>
    </w:div>
    <w:div w:id="435029916">
      <w:bodyDiv w:val="1"/>
      <w:marLeft w:val="0"/>
      <w:marRight w:val="0"/>
      <w:marTop w:val="0"/>
      <w:marBottom w:val="0"/>
      <w:divBdr>
        <w:top w:val="none" w:sz="0" w:space="0" w:color="auto"/>
        <w:left w:val="none" w:sz="0" w:space="0" w:color="auto"/>
        <w:bottom w:val="none" w:sz="0" w:space="0" w:color="auto"/>
        <w:right w:val="none" w:sz="0" w:space="0" w:color="auto"/>
      </w:divBdr>
    </w:div>
    <w:div w:id="439498885">
      <w:bodyDiv w:val="1"/>
      <w:marLeft w:val="0"/>
      <w:marRight w:val="0"/>
      <w:marTop w:val="0"/>
      <w:marBottom w:val="0"/>
      <w:divBdr>
        <w:top w:val="none" w:sz="0" w:space="0" w:color="auto"/>
        <w:left w:val="none" w:sz="0" w:space="0" w:color="auto"/>
        <w:bottom w:val="none" w:sz="0" w:space="0" w:color="auto"/>
        <w:right w:val="none" w:sz="0" w:space="0" w:color="auto"/>
      </w:divBdr>
    </w:div>
    <w:div w:id="474690158">
      <w:bodyDiv w:val="1"/>
      <w:marLeft w:val="0"/>
      <w:marRight w:val="0"/>
      <w:marTop w:val="0"/>
      <w:marBottom w:val="0"/>
      <w:divBdr>
        <w:top w:val="none" w:sz="0" w:space="0" w:color="auto"/>
        <w:left w:val="none" w:sz="0" w:space="0" w:color="auto"/>
        <w:bottom w:val="none" w:sz="0" w:space="0" w:color="auto"/>
        <w:right w:val="none" w:sz="0" w:space="0" w:color="auto"/>
      </w:divBdr>
    </w:div>
    <w:div w:id="480973169">
      <w:bodyDiv w:val="1"/>
      <w:marLeft w:val="0"/>
      <w:marRight w:val="0"/>
      <w:marTop w:val="0"/>
      <w:marBottom w:val="0"/>
      <w:divBdr>
        <w:top w:val="none" w:sz="0" w:space="0" w:color="auto"/>
        <w:left w:val="none" w:sz="0" w:space="0" w:color="auto"/>
        <w:bottom w:val="none" w:sz="0" w:space="0" w:color="auto"/>
        <w:right w:val="none" w:sz="0" w:space="0" w:color="auto"/>
      </w:divBdr>
    </w:div>
    <w:div w:id="482039687">
      <w:bodyDiv w:val="1"/>
      <w:marLeft w:val="0"/>
      <w:marRight w:val="0"/>
      <w:marTop w:val="0"/>
      <w:marBottom w:val="0"/>
      <w:divBdr>
        <w:top w:val="none" w:sz="0" w:space="0" w:color="auto"/>
        <w:left w:val="none" w:sz="0" w:space="0" w:color="auto"/>
        <w:bottom w:val="none" w:sz="0" w:space="0" w:color="auto"/>
        <w:right w:val="none" w:sz="0" w:space="0" w:color="auto"/>
      </w:divBdr>
    </w:div>
    <w:div w:id="483469996">
      <w:bodyDiv w:val="1"/>
      <w:marLeft w:val="0"/>
      <w:marRight w:val="0"/>
      <w:marTop w:val="0"/>
      <w:marBottom w:val="0"/>
      <w:divBdr>
        <w:top w:val="none" w:sz="0" w:space="0" w:color="auto"/>
        <w:left w:val="none" w:sz="0" w:space="0" w:color="auto"/>
        <w:bottom w:val="none" w:sz="0" w:space="0" w:color="auto"/>
        <w:right w:val="none" w:sz="0" w:space="0" w:color="auto"/>
      </w:divBdr>
    </w:div>
    <w:div w:id="508176200">
      <w:bodyDiv w:val="1"/>
      <w:marLeft w:val="0"/>
      <w:marRight w:val="0"/>
      <w:marTop w:val="0"/>
      <w:marBottom w:val="0"/>
      <w:divBdr>
        <w:top w:val="none" w:sz="0" w:space="0" w:color="auto"/>
        <w:left w:val="none" w:sz="0" w:space="0" w:color="auto"/>
        <w:bottom w:val="none" w:sz="0" w:space="0" w:color="auto"/>
        <w:right w:val="none" w:sz="0" w:space="0" w:color="auto"/>
      </w:divBdr>
    </w:div>
    <w:div w:id="510487970">
      <w:bodyDiv w:val="1"/>
      <w:marLeft w:val="0"/>
      <w:marRight w:val="0"/>
      <w:marTop w:val="0"/>
      <w:marBottom w:val="0"/>
      <w:divBdr>
        <w:top w:val="none" w:sz="0" w:space="0" w:color="auto"/>
        <w:left w:val="none" w:sz="0" w:space="0" w:color="auto"/>
        <w:bottom w:val="none" w:sz="0" w:space="0" w:color="auto"/>
        <w:right w:val="none" w:sz="0" w:space="0" w:color="auto"/>
      </w:divBdr>
    </w:div>
    <w:div w:id="515270066">
      <w:bodyDiv w:val="1"/>
      <w:marLeft w:val="0"/>
      <w:marRight w:val="0"/>
      <w:marTop w:val="0"/>
      <w:marBottom w:val="0"/>
      <w:divBdr>
        <w:top w:val="none" w:sz="0" w:space="0" w:color="auto"/>
        <w:left w:val="none" w:sz="0" w:space="0" w:color="auto"/>
        <w:bottom w:val="none" w:sz="0" w:space="0" w:color="auto"/>
        <w:right w:val="none" w:sz="0" w:space="0" w:color="auto"/>
      </w:divBdr>
    </w:div>
    <w:div w:id="518784868">
      <w:bodyDiv w:val="1"/>
      <w:marLeft w:val="0"/>
      <w:marRight w:val="0"/>
      <w:marTop w:val="0"/>
      <w:marBottom w:val="0"/>
      <w:divBdr>
        <w:top w:val="none" w:sz="0" w:space="0" w:color="auto"/>
        <w:left w:val="none" w:sz="0" w:space="0" w:color="auto"/>
        <w:bottom w:val="none" w:sz="0" w:space="0" w:color="auto"/>
        <w:right w:val="none" w:sz="0" w:space="0" w:color="auto"/>
      </w:divBdr>
    </w:div>
    <w:div w:id="525213698">
      <w:bodyDiv w:val="1"/>
      <w:marLeft w:val="0"/>
      <w:marRight w:val="0"/>
      <w:marTop w:val="0"/>
      <w:marBottom w:val="0"/>
      <w:divBdr>
        <w:top w:val="none" w:sz="0" w:space="0" w:color="auto"/>
        <w:left w:val="none" w:sz="0" w:space="0" w:color="auto"/>
        <w:bottom w:val="none" w:sz="0" w:space="0" w:color="auto"/>
        <w:right w:val="none" w:sz="0" w:space="0" w:color="auto"/>
      </w:divBdr>
    </w:div>
    <w:div w:id="529298286">
      <w:bodyDiv w:val="1"/>
      <w:marLeft w:val="0"/>
      <w:marRight w:val="0"/>
      <w:marTop w:val="0"/>
      <w:marBottom w:val="0"/>
      <w:divBdr>
        <w:top w:val="none" w:sz="0" w:space="0" w:color="auto"/>
        <w:left w:val="none" w:sz="0" w:space="0" w:color="auto"/>
        <w:bottom w:val="none" w:sz="0" w:space="0" w:color="auto"/>
        <w:right w:val="none" w:sz="0" w:space="0" w:color="auto"/>
      </w:divBdr>
    </w:div>
    <w:div w:id="530531615">
      <w:bodyDiv w:val="1"/>
      <w:marLeft w:val="0"/>
      <w:marRight w:val="0"/>
      <w:marTop w:val="0"/>
      <w:marBottom w:val="0"/>
      <w:divBdr>
        <w:top w:val="none" w:sz="0" w:space="0" w:color="auto"/>
        <w:left w:val="none" w:sz="0" w:space="0" w:color="auto"/>
        <w:bottom w:val="none" w:sz="0" w:space="0" w:color="auto"/>
        <w:right w:val="none" w:sz="0" w:space="0" w:color="auto"/>
      </w:divBdr>
    </w:div>
    <w:div w:id="568423585">
      <w:bodyDiv w:val="1"/>
      <w:marLeft w:val="0"/>
      <w:marRight w:val="0"/>
      <w:marTop w:val="0"/>
      <w:marBottom w:val="0"/>
      <w:divBdr>
        <w:top w:val="none" w:sz="0" w:space="0" w:color="auto"/>
        <w:left w:val="none" w:sz="0" w:space="0" w:color="auto"/>
        <w:bottom w:val="none" w:sz="0" w:space="0" w:color="auto"/>
        <w:right w:val="none" w:sz="0" w:space="0" w:color="auto"/>
      </w:divBdr>
    </w:div>
    <w:div w:id="571889745">
      <w:bodyDiv w:val="1"/>
      <w:marLeft w:val="0"/>
      <w:marRight w:val="0"/>
      <w:marTop w:val="0"/>
      <w:marBottom w:val="0"/>
      <w:divBdr>
        <w:top w:val="none" w:sz="0" w:space="0" w:color="auto"/>
        <w:left w:val="none" w:sz="0" w:space="0" w:color="auto"/>
        <w:bottom w:val="none" w:sz="0" w:space="0" w:color="auto"/>
        <w:right w:val="none" w:sz="0" w:space="0" w:color="auto"/>
      </w:divBdr>
    </w:div>
    <w:div w:id="577594518">
      <w:bodyDiv w:val="1"/>
      <w:marLeft w:val="0"/>
      <w:marRight w:val="0"/>
      <w:marTop w:val="0"/>
      <w:marBottom w:val="0"/>
      <w:divBdr>
        <w:top w:val="none" w:sz="0" w:space="0" w:color="auto"/>
        <w:left w:val="none" w:sz="0" w:space="0" w:color="auto"/>
        <w:bottom w:val="none" w:sz="0" w:space="0" w:color="auto"/>
        <w:right w:val="none" w:sz="0" w:space="0" w:color="auto"/>
      </w:divBdr>
    </w:div>
    <w:div w:id="585309234">
      <w:bodyDiv w:val="1"/>
      <w:marLeft w:val="0"/>
      <w:marRight w:val="0"/>
      <w:marTop w:val="0"/>
      <w:marBottom w:val="0"/>
      <w:divBdr>
        <w:top w:val="none" w:sz="0" w:space="0" w:color="auto"/>
        <w:left w:val="none" w:sz="0" w:space="0" w:color="auto"/>
        <w:bottom w:val="none" w:sz="0" w:space="0" w:color="auto"/>
        <w:right w:val="none" w:sz="0" w:space="0" w:color="auto"/>
      </w:divBdr>
    </w:div>
    <w:div w:id="593899741">
      <w:bodyDiv w:val="1"/>
      <w:marLeft w:val="0"/>
      <w:marRight w:val="0"/>
      <w:marTop w:val="0"/>
      <w:marBottom w:val="0"/>
      <w:divBdr>
        <w:top w:val="none" w:sz="0" w:space="0" w:color="auto"/>
        <w:left w:val="none" w:sz="0" w:space="0" w:color="auto"/>
        <w:bottom w:val="none" w:sz="0" w:space="0" w:color="auto"/>
        <w:right w:val="none" w:sz="0" w:space="0" w:color="auto"/>
      </w:divBdr>
    </w:div>
    <w:div w:id="594247150">
      <w:bodyDiv w:val="1"/>
      <w:marLeft w:val="0"/>
      <w:marRight w:val="0"/>
      <w:marTop w:val="0"/>
      <w:marBottom w:val="0"/>
      <w:divBdr>
        <w:top w:val="none" w:sz="0" w:space="0" w:color="auto"/>
        <w:left w:val="none" w:sz="0" w:space="0" w:color="auto"/>
        <w:bottom w:val="none" w:sz="0" w:space="0" w:color="auto"/>
        <w:right w:val="none" w:sz="0" w:space="0" w:color="auto"/>
      </w:divBdr>
    </w:div>
    <w:div w:id="603808130">
      <w:bodyDiv w:val="1"/>
      <w:marLeft w:val="0"/>
      <w:marRight w:val="0"/>
      <w:marTop w:val="0"/>
      <w:marBottom w:val="0"/>
      <w:divBdr>
        <w:top w:val="none" w:sz="0" w:space="0" w:color="auto"/>
        <w:left w:val="none" w:sz="0" w:space="0" w:color="auto"/>
        <w:bottom w:val="none" w:sz="0" w:space="0" w:color="auto"/>
        <w:right w:val="none" w:sz="0" w:space="0" w:color="auto"/>
      </w:divBdr>
    </w:div>
    <w:div w:id="606229253">
      <w:bodyDiv w:val="1"/>
      <w:marLeft w:val="0"/>
      <w:marRight w:val="0"/>
      <w:marTop w:val="0"/>
      <w:marBottom w:val="0"/>
      <w:divBdr>
        <w:top w:val="none" w:sz="0" w:space="0" w:color="auto"/>
        <w:left w:val="none" w:sz="0" w:space="0" w:color="auto"/>
        <w:bottom w:val="none" w:sz="0" w:space="0" w:color="auto"/>
        <w:right w:val="none" w:sz="0" w:space="0" w:color="auto"/>
      </w:divBdr>
    </w:div>
    <w:div w:id="609289027">
      <w:bodyDiv w:val="1"/>
      <w:marLeft w:val="0"/>
      <w:marRight w:val="0"/>
      <w:marTop w:val="0"/>
      <w:marBottom w:val="0"/>
      <w:divBdr>
        <w:top w:val="none" w:sz="0" w:space="0" w:color="auto"/>
        <w:left w:val="none" w:sz="0" w:space="0" w:color="auto"/>
        <w:bottom w:val="none" w:sz="0" w:space="0" w:color="auto"/>
        <w:right w:val="none" w:sz="0" w:space="0" w:color="auto"/>
      </w:divBdr>
    </w:div>
    <w:div w:id="621349977">
      <w:bodyDiv w:val="1"/>
      <w:marLeft w:val="0"/>
      <w:marRight w:val="0"/>
      <w:marTop w:val="0"/>
      <w:marBottom w:val="0"/>
      <w:divBdr>
        <w:top w:val="none" w:sz="0" w:space="0" w:color="auto"/>
        <w:left w:val="none" w:sz="0" w:space="0" w:color="auto"/>
        <w:bottom w:val="none" w:sz="0" w:space="0" w:color="auto"/>
        <w:right w:val="none" w:sz="0" w:space="0" w:color="auto"/>
      </w:divBdr>
    </w:div>
    <w:div w:id="622343773">
      <w:bodyDiv w:val="1"/>
      <w:marLeft w:val="0"/>
      <w:marRight w:val="0"/>
      <w:marTop w:val="0"/>
      <w:marBottom w:val="0"/>
      <w:divBdr>
        <w:top w:val="none" w:sz="0" w:space="0" w:color="auto"/>
        <w:left w:val="none" w:sz="0" w:space="0" w:color="auto"/>
        <w:bottom w:val="none" w:sz="0" w:space="0" w:color="auto"/>
        <w:right w:val="none" w:sz="0" w:space="0" w:color="auto"/>
      </w:divBdr>
    </w:div>
    <w:div w:id="624580976">
      <w:bodyDiv w:val="1"/>
      <w:marLeft w:val="0"/>
      <w:marRight w:val="0"/>
      <w:marTop w:val="0"/>
      <w:marBottom w:val="0"/>
      <w:divBdr>
        <w:top w:val="none" w:sz="0" w:space="0" w:color="auto"/>
        <w:left w:val="none" w:sz="0" w:space="0" w:color="auto"/>
        <w:bottom w:val="none" w:sz="0" w:space="0" w:color="auto"/>
        <w:right w:val="none" w:sz="0" w:space="0" w:color="auto"/>
      </w:divBdr>
    </w:div>
    <w:div w:id="625626856">
      <w:bodyDiv w:val="1"/>
      <w:marLeft w:val="0"/>
      <w:marRight w:val="0"/>
      <w:marTop w:val="0"/>
      <w:marBottom w:val="0"/>
      <w:divBdr>
        <w:top w:val="none" w:sz="0" w:space="0" w:color="auto"/>
        <w:left w:val="none" w:sz="0" w:space="0" w:color="auto"/>
        <w:bottom w:val="none" w:sz="0" w:space="0" w:color="auto"/>
        <w:right w:val="none" w:sz="0" w:space="0" w:color="auto"/>
      </w:divBdr>
    </w:div>
    <w:div w:id="630525492">
      <w:bodyDiv w:val="1"/>
      <w:marLeft w:val="0"/>
      <w:marRight w:val="0"/>
      <w:marTop w:val="0"/>
      <w:marBottom w:val="0"/>
      <w:divBdr>
        <w:top w:val="none" w:sz="0" w:space="0" w:color="auto"/>
        <w:left w:val="none" w:sz="0" w:space="0" w:color="auto"/>
        <w:bottom w:val="none" w:sz="0" w:space="0" w:color="auto"/>
        <w:right w:val="none" w:sz="0" w:space="0" w:color="auto"/>
      </w:divBdr>
    </w:div>
    <w:div w:id="635792733">
      <w:bodyDiv w:val="1"/>
      <w:marLeft w:val="0"/>
      <w:marRight w:val="0"/>
      <w:marTop w:val="0"/>
      <w:marBottom w:val="0"/>
      <w:divBdr>
        <w:top w:val="none" w:sz="0" w:space="0" w:color="auto"/>
        <w:left w:val="none" w:sz="0" w:space="0" w:color="auto"/>
        <w:bottom w:val="none" w:sz="0" w:space="0" w:color="auto"/>
        <w:right w:val="none" w:sz="0" w:space="0" w:color="auto"/>
      </w:divBdr>
    </w:div>
    <w:div w:id="644118194">
      <w:bodyDiv w:val="1"/>
      <w:marLeft w:val="0"/>
      <w:marRight w:val="0"/>
      <w:marTop w:val="0"/>
      <w:marBottom w:val="0"/>
      <w:divBdr>
        <w:top w:val="none" w:sz="0" w:space="0" w:color="auto"/>
        <w:left w:val="none" w:sz="0" w:space="0" w:color="auto"/>
        <w:bottom w:val="none" w:sz="0" w:space="0" w:color="auto"/>
        <w:right w:val="none" w:sz="0" w:space="0" w:color="auto"/>
      </w:divBdr>
    </w:div>
    <w:div w:id="654377494">
      <w:bodyDiv w:val="1"/>
      <w:marLeft w:val="0"/>
      <w:marRight w:val="0"/>
      <w:marTop w:val="0"/>
      <w:marBottom w:val="0"/>
      <w:divBdr>
        <w:top w:val="none" w:sz="0" w:space="0" w:color="auto"/>
        <w:left w:val="none" w:sz="0" w:space="0" w:color="auto"/>
        <w:bottom w:val="none" w:sz="0" w:space="0" w:color="auto"/>
        <w:right w:val="none" w:sz="0" w:space="0" w:color="auto"/>
      </w:divBdr>
    </w:div>
    <w:div w:id="671301436">
      <w:bodyDiv w:val="1"/>
      <w:marLeft w:val="0"/>
      <w:marRight w:val="0"/>
      <w:marTop w:val="0"/>
      <w:marBottom w:val="0"/>
      <w:divBdr>
        <w:top w:val="none" w:sz="0" w:space="0" w:color="auto"/>
        <w:left w:val="none" w:sz="0" w:space="0" w:color="auto"/>
        <w:bottom w:val="none" w:sz="0" w:space="0" w:color="auto"/>
        <w:right w:val="none" w:sz="0" w:space="0" w:color="auto"/>
      </w:divBdr>
    </w:div>
    <w:div w:id="687221628">
      <w:bodyDiv w:val="1"/>
      <w:marLeft w:val="0"/>
      <w:marRight w:val="0"/>
      <w:marTop w:val="0"/>
      <w:marBottom w:val="0"/>
      <w:divBdr>
        <w:top w:val="none" w:sz="0" w:space="0" w:color="auto"/>
        <w:left w:val="none" w:sz="0" w:space="0" w:color="auto"/>
        <w:bottom w:val="none" w:sz="0" w:space="0" w:color="auto"/>
        <w:right w:val="none" w:sz="0" w:space="0" w:color="auto"/>
      </w:divBdr>
    </w:div>
    <w:div w:id="688485402">
      <w:bodyDiv w:val="1"/>
      <w:marLeft w:val="0"/>
      <w:marRight w:val="0"/>
      <w:marTop w:val="0"/>
      <w:marBottom w:val="0"/>
      <w:divBdr>
        <w:top w:val="none" w:sz="0" w:space="0" w:color="auto"/>
        <w:left w:val="none" w:sz="0" w:space="0" w:color="auto"/>
        <w:bottom w:val="none" w:sz="0" w:space="0" w:color="auto"/>
        <w:right w:val="none" w:sz="0" w:space="0" w:color="auto"/>
      </w:divBdr>
    </w:div>
    <w:div w:id="713116077">
      <w:bodyDiv w:val="1"/>
      <w:marLeft w:val="0"/>
      <w:marRight w:val="0"/>
      <w:marTop w:val="0"/>
      <w:marBottom w:val="0"/>
      <w:divBdr>
        <w:top w:val="none" w:sz="0" w:space="0" w:color="auto"/>
        <w:left w:val="none" w:sz="0" w:space="0" w:color="auto"/>
        <w:bottom w:val="none" w:sz="0" w:space="0" w:color="auto"/>
        <w:right w:val="none" w:sz="0" w:space="0" w:color="auto"/>
      </w:divBdr>
    </w:div>
    <w:div w:id="739595808">
      <w:bodyDiv w:val="1"/>
      <w:marLeft w:val="0"/>
      <w:marRight w:val="0"/>
      <w:marTop w:val="0"/>
      <w:marBottom w:val="0"/>
      <w:divBdr>
        <w:top w:val="none" w:sz="0" w:space="0" w:color="auto"/>
        <w:left w:val="none" w:sz="0" w:space="0" w:color="auto"/>
        <w:bottom w:val="none" w:sz="0" w:space="0" w:color="auto"/>
        <w:right w:val="none" w:sz="0" w:space="0" w:color="auto"/>
      </w:divBdr>
    </w:div>
    <w:div w:id="748966343">
      <w:bodyDiv w:val="1"/>
      <w:marLeft w:val="0"/>
      <w:marRight w:val="0"/>
      <w:marTop w:val="0"/>
      <w:marBottom w:val="0"/>
      <w:divBdr>
        <w:top w:val="none" w:sz="0" w:space="0" w:color="auto"/>
        <w:left w:val="none" w:sz="0" w:space="0" w:color="auto"/>
        <w:bottom w:val="none" w:sz="0" w:space="0" w:color="auto"/>
        <w:right w:val="none" w:sz="0" w:space="0" w:color="auto"/>
      </w:divBdr>
    </w:div>
    <w:div w:id="756904314">
      <w:bodyDiv w:val="1"/>
      <w:marLeft w:val="0"/>
      <w:marRight w:val="0"/>
      <w:marTop w:val="0"/>
      <w:marBottom w:val="0"/>
      <w:divBdr>
        <w:top w:val="none" w:sz="0" w:space="0" w:color="auto"/>
        <w:left w:val="none" w:sz="0" w:space="0" w:color="auto"/>
        <w:bottom w:val="none" w:sz="0" w:space="0" w:color="auto"/>
        <w:right w:val="none" w:sz="0" w:space="0" w:color="auto"/>
      </w:divBdr>
    </w:div>
    <w:div w:id="764879560">
      <w:bodyDiv w:val="1"/>
      <w:marLeft w:val="0"/>
      <w:marRight w:val="0"/>
      <w:marTop w:val="0"/>
      <w:marBottom w:val="0"/>
      <w:divBdr>
        <w:top w:val="none" w:sz="0" w:space="0" w:color="auto"/>
        <w:left w:val="none" w:sz="0" w:space="0" w:color="auto"/>
        <w:bottom w:val="none" w:sz="0" w:space="0" w:color="auto"/>
        <w:right w:val="none" w:sz="0" w:space="0" w:color="auto"/>
      </w:divBdr>
    </w:div>
    <w:div w:id="770517673">
      <w:bodyDiv w:val="1"/>
      <w:marLeft w:val="0"/>
      <w:marRight w:val="0"/>
      <w:marTop w:val="0"/>
      <w:marBottom w:val="0"/>
      <w:divBdr>
        <w:top w:val="none" w:sz="0" w:space="0" w:color="auto"/>
        <w:left w:val="none" w:sz="0" w:space="0" w:color="auto"/>
        <w:bottom w:val="none" w:sz="0" w:space="0" w:color="auto"/>
        <w:right w:val="none" w:sz="0" w:space="0" w:color="auto"/>
      </w:divBdr>
    </w:div>
    <w:div w:id="787118761">
      <w:bodyDiv w:val="1"/>
      <w:marLeft w:val="0"/>
      <w:marRight w:val="0"/>
      <w:marTop w:val="0"/>
      <w:marBottom w:val="0"/>
      <w:divBdr>
        <w:top w:val="none" w:sz="0" w:space="0" w:color="auto"/>
        <w:left w:val="none" w:sz="0" w:space="0" w:color="auto"/>
        <w:bottom w:val="none" w:sz="0" w:space="0" w:color="auto"/>
        <w:right w:val="none" w:sz="0" w:space="0" w:color="auto"/>
      </w:divBdr>
    </w:div>
    <w:div w:id="798033942">
      <w:bodyDiv w:val="1"/>
      <w:marLeft w:val="0"/>
      <w:marRight w:val="0"/>
      <w:marTop w:val="0"/>
      <w:marBottom w:val="0"/>
      <w:divBdr>
        <w:top w:val="none" w:sz="0" w:space="0" w:color="auto"/>
        <w:left w:val="none" w:sz="0" w:space="0" w:color="auto"/>
        <w:bottom w:val="none" w:sz="0" w:space="0" w:color="auto"/>
        <w:right w:val="none" w:sz="0" w:space="0" w:color="auto"/>
      </w:divBdr>
    </w:div>
    <w:div w:id="799229594">
      <w:bodyDiv w:val="1"/>
      <w:marLeft w:val="0"/>
      <w:marRight w:val="0"/>
      <w:marTop w:val="0"/>
      <w:marBottom w:val="0"/>
      <w:divBdr>
        <w:top w:val="none" w:sz="0" w:space="0" w:color="auto"/>
        <w:left w:val="none" w:sz="0" w:space="0" w:color="auto"/>
        <w:bottom w:val="none" w:sz="0" w:space="0" w:color="auto"/>
        <w:right w:val="none" w:sz="0" w:space="0" w:color="auto"/>
      </w:divBdr>
    </w:div>
    <w:div w:id="809445353">
      <w:bodyDiv w:val="1"/>
      <w:marLeft w:val="0"/>
      <w:marRight w:val="0"/>
      <w:marTop w:val="0"/>
      <w:marBottom w:val="0"/>
      <w:divBdr>
        <w:top w:val="none" w:sz="0" w:space="0" w:color="auto"/>
        <w:left w:val="none" w:sz="0" w:space="0" w:color="auto"/>
        <w:bottom w:val="none" w:sz="0" w:space="0" w:color="auto"/>
        <w:right w:val="none" w:sz="0" w:space="0" w:color="auto"/>
      </w:divBdr>
    </w:div>
    <w:div w:id="817116269">
      <w:bodyDiv w:val="1"/>
      <w:marLeft w:val="0"/>
      <w:marRight w:val="0"/>
      <w:marTop w:val="0"/>
      <w:marBottom w:val="0"/>
      <w:divBdr>
        <w:top w:val="none" w:sz="0" w:space="0" w:color="auto"/>
        <w:left w:val="none" w:sz="0" w:space="0" w:color="auto"/>
        <w:bottom w:val="none" w:sz="0" w:space="0" w:color="auto"/>
        <w:right w:val="none" w:sz="0" w:space="0" w:color="auto"/>
      </w:divBdr>
    </w:div>
    <w:div w:id="835535065">
      <w:bodyDiv w:val="1"/>
      <w:marLeft w:val="0"/>
      <w:marRight w:val="0"/>
      <w:marTop w:val="0"/>
      <w:marBottom w:val="0"/>
      <w:divBdr>
        <w:top w:val="none" w:sz="0" w:space="0" w:color="auto"/>
        <w:left w:val="none" w:sz="0" w:space="0" w:color="auto"/>
        <w:bottom w:val="none" w:sz="0" w:space="0" w:color="auto"/>
        <w:right w:val="none" w:sz="0" w:space="0" w:color="auto"/>
      </w:divBdr>
    </w:div>
    <w:div w:id="862788409">
      <w:bodyDiv w:val="1"/>
      <w:marLeft w:val="0"/>
      <w:marRight w:val="0"/>
      <w:marTop w:val="0"/>
      <w:marBottom w:val="0"/>
      <w:divBdr>
        <w:top w:val="none" w:sz="0" w:space="0" w:color="auto"/>
        <w:left w:val="none" w:sz="0" w:space="0" w:color="auto"/>
        <w:bottom w:val="none" w:sz="0" w:space="0" w:color="auto"/>
        <w:right w:val="none" w:sz="0" w:space="0" w:color="auto"/>
      </w:divBdr>
    </w:div>
    <w:div w:id="869876069">
      <w:bodyDiv w:val="1"/>
      <w:marLeft w:val="0"/>
      <w:marRight w:val="0"/>
      <w:marTop w:val="0"/>
      <w:marBottom w:val="0"/>
      <w:divBdr>
        <w:top w:val="none" w:sz="0" w:space="0" w:color="auto"/>
        <w:left w:val="none" w:sz="0" w:space="0" w:color="auto"/>
        <w:bottom w:val="none" w:sz="0" w:space="0" w:color="auto"/>
        <w:right w:val="none" w:sz="0" w:space="0" w:color="auto"/>
      </w:divBdr>
    </w:div>
    <w:div w:id="882867573">
      <w:bodyDiv w:val="1"/>
      <w:marLeft w:val="0"/>
      <w:marRight w:val="0"/>
      <w:marTop w:val="0"/>
      <w:marBottom w:val="0"/>
      <w:divBdr>
        <w:top w:val="none" w:sz="0" w:space="0" w:color="auto"/>
        <w:left w:val="none" w:sz="0" w:space="0" w:color="auto"/>
        <w:bottom w:val="none" w:sz="0" w:space="0" w:color="auto"/>
        <w:right w:val="none" w:sz="0" w:space="0" w:color="auto"/>
      </w:divBdr>
    </w:div>
    <w:div w:id="884562880">
      <w:bodyDiv w:val="1"/>
      <w:marLeft w:val="0"/>
      <w:marRight w:val="0"/>
      <w:marTop w:val="0"/>
      <w:marBottom w:val="0"/>
      <w:divBdr>
        <w:top w:val="none" w:sz="0" w:space="0" w:color="auto"/>
        <w:left w:val="none" w:sz="0" w:space="0" w:color="auto"/>
        <w:bottom w:val="none" w:sz="0" w:space="0" w:color="auto"/>
        <w:right w:val="none" w:sz="0" w:space="0" w:color="auto"/>
      </w:divBdr>
    </w:div>
    <w:div w:id="896353860">
      <w:bodyDiv w:val="1"/>
      <w:marLeft w:val="0"/>
      <w:marRight w:val="0"/>
      <w:marTop w:val="0"/>
      <w:marBottom w:val="0"/>
      <w:divBdr>
        <w:top w:val="none" w:sz="0" w:space="0" w:color="auto"/>
        <w:left w:val="none" w:sz="0" w:space="0" w:color="auto"/>
        <w:bottom w:val="none" w:sz="0" w:space="0" w:color="auto"/>
        <w:right w:val="none" w:sz="0" w:space="0" w:color="auto"/>
      </w:divBdr>
    </w:div>
    <w:div w:id="914316846">
      <w:bodyDiv w:val="1"/>
      <w:marLeft w:val="0"/>
      <w:marRight w:val="0"/>
      <w:marTop w:val="0"/>
      <w:marBottom w:val="0"/>
      <w:divBdr>
        <w:top w:val="none" w:sz="0" w:space="0" w:color="auto"/>
        <w:left w:val="none" w:sz="0" w:space="0" w:color="auto"/>
        <w:bottom w:val="none" w:sz="0" w:space="0" w:color="auto"/>
        <w:right w:val="none" w:sz="0" w:space="0" w:color="auto"/>
      </w:divBdr>
    </w:div>
    <w:div w:id="924613773">
      <w:bodyDiv w:val="1"/>
      <w:marLeft w:val="0"/>
      <w:marRight w:val="0"/>
      <w:marTop w:val="0"/>
      <w:marBottom w:val="0"/>
      <w:divBdr>
        <w:top w:val="none" w:sz="0" w:space="0" w:color="auto"/>
        <w:left w:val="none" w:sz="0" w:space="0" w:color="auto"/>
        <w:bottom w:val="none" w:sz="0" w:space="0" w:color="auto"/>
        <w:right w:val="none" w:sz="0" w:space="0" w:color="auto"/>
      </w:divBdr>
    </w:div>
    <w:div w:id="928583092">
      <w:bodyDiv w:val="1"/>
      <w:marLeft w:val="0"/>
      <w:marRight w:val="0"/>
      <w:marTop w:val="0"/>
      <w:marBottom w:val="0"/>
      <w:divBdr>
        <w:top w:val="none" w:sz="0" w:space="0" w:color="auto"/>
        <w:left w:val="none" w:sz="0" w:space="0" w:color="auto"/>
        <w:bottom w:val="none" w:sz="0" w:space="0" w:color="auto"/>
        <w:right w:val="none" w:sz="0" w:space="0" w:color="auto"/>
      </w:divBdr>
    </w:div>
    <w:div w:id="943731985">
      <w:bodyDiv w:val="1"/>
      <w:marLeft w:val="0"/>
      <w:marRight w:val="0"/>
      <w:marTop w:val="0"/>
      <w:marBottom w:val="0"/>
      <w:divBdr>
        <w:top w:val="none" w:sz="0" w:space="0" w:color="auto"/>
        <w:left w:val="none" w:sz="0" w:space="0" w:color="auto"/>
        <w:bottom w:val="none" w:sz="0" w:space="0" w:color="auto"/>
        <w:right w:val="none" w:sz="0" w:space="0" w:color="auto"/>
      </w:divBdr>
    </w:div>
    <w:div w:id="949820047">
      <w:bodyDiv w:val="1"/>
      <w:marLeft w:val="0"/>
      <w:marRight w:val="0"/>
      <w:marTop w:val="0"/>
      <w:marBottom w:val="0"/>
      <w:divBdr>
        <w:top w:val="none" w:sz="0" w:space="0" w:color="auto"/>
        <w:left w:val="none" w:sz="0" w:space="0" w:color="auto"/>
        <w:bottom w:val="none" w:sz="0" w:space="0" w:color="auto"/>
        <w:right w:val="none" w:sz="0" w:space="0" w:color="auto"/>
      </w:divBdr>
    </w:div>
    <w:div w:id="950823710">
      <w:bodyDiv w:val="1"/>
      <w:marLeft w:val="0"/>
      <w:marRight w:val="0"/>
      <w:marTop w:val="0"/>
      <w:marBottom w:val="0"/>
      <w:divBdr>
        <w:top w:val="none" w:sz="0" w:space="0" w:color="auto"/>
        <w:left w:val="none" w:sz="0" w:space="0" w:color="auto"/>
        <w:bottom w:val="none" w:sz="0" w:space="0" w:color="auto"/>
        <w:right w:val="none" w:sz="0" w:space="0" w:color="auto"/>
      </w:divBdr>
    </w:div>
    <w:div w:id="955605282">
      <w:bodyDiv w:val="1"/>
      <w:marLeft w:val="0"/>
      <w:marRight w:val="0"/>
      <w:marTop w:val="0"/>
      <w:marBottom w:val="0"/>
      <w:divBdr>
        <w:top w:val="none" w:sz="0" w:space="0" w:color="auto"/>
        <w:left w:val="none" w:sz="0" w:space="0" w:color="auto"/>
        <w:bottom w:val="none" w:sz="0" w:space="0" w:color="auto"/>
        <w:right w:val="none" w:sz="0" w:space="0" w:color="auto"/>
      </w:divBdr>
    </w:div>
    <w:div w:id="956107563">
      <w:bodyDiv w:val="1"/>
      <w:marLeft w:val="0"/>
      <w:marRight w:val="0"/>
      <w:marTop w:val="0"/>
      <w:marBottom w:val="0"/>
      <w:divBdr>
        <w:top w:val="none" w:sz="0" w:space="0" w:color="auto"/>
        <w:left w:val="none" w:sz="0" w:space="0" w:color="auto"/>
        <w:bottom w:val="none" w:sz="0" w:space="0" w:color="auto"/>
        <w:right w:val="none" w:sz="0" w:space="0" w:color="auto"/>
      </w:divBdr>
    </w:div>
    <w:div w:id="960190533">
      <w:bodyDiv w:val="1"/>
      <w:marLeft w:val="0"/>
      <w:marRight w:val="0"/>
      <w:marTop w:val="0"/>
      <w:marBottom w:val="0"/>
      <w:divBdr>
        <w:top w:val="none" w:sz="0" w:space="0" w:color="auto"/>
        <w:left w:val="none" w:sz="0" w:space="0" w:color="auto"/>
        <w:bottom w:val="none" w:sz="0" w:space="0" w:color="auto"/>
        <w:right w:val="none" w:sz="0" w:space="0" w:color="auto"/>
      </w:divBdr>
    </w:div>
    <w:div w:id="969898472">
      <w:bodyDiv w:val="1"/>
      <w:marLeft w:val="0"/>
      <w:marRight w:val="0"/>
      <w:marTop w:val="0"/>
      <w:marBottom w:val="0"/>
      <w:divBdr>
        <w:top w:val="none" w:sz="0" w:space="0" w:color="auto"/>
        <w:left w:val="none" w:sz="0" w:space="0" w:color="auto"/>
        <w:bottom w:val="none" w:sz="0" w:space="0" w:color="auto"/>
        <w:right w:val="none" w:sz="0" w:space="0" w:color="auto"/>
      </w:divBdr>
    </w:div>
    <w:div w:id="974408147">
      <w:bodyDiv w:val="1"/>
      <w:marLeft w:val="0"/>
      <w:marRight w:val="0"/>
      <w:marTop w:val="0"/>
      <w:marBottom w:val="0"/>
      <w:divBdr>
        <w:top w:val="none" w:sz="0" w:space="0" w:color="auto"/>
        <w:left w:val="none" w:sz="0" w:space="0" w:color="auto"/>
        <w:bottom w:val="none" w:sz="0" w:space="0" w:color="auto"/>
        <w:right w:val="none" w:sz="0" w:space="0" w:color="auto"/>
      </w:divBdr>
    </w:div>
    <w:div w:id="976447222">
      <w:bodyDiv w:val="1"/>
      <w:marLeft w:val="0"/>
      <w:marRight w:val="0"/>
      <w:marTop w:val="0"/>
      <w:marBottom w:val="0"/>
      <w:divBdr>
        <w:top w:val="none" w:sz="0" w:space="0" w:color="auto"/>
        <w:left w:val="none" w:sz="0" w:space="0" w:color="auto"/>
        <w:bottom w:val="none" w:sz="0" w:space="0" w:color="auto"/>
        <w:right w:val="none" w:sz="0" w:space="0" w:color="auto"/>
      </w:divBdr>
    </w:div>
    <w:div w:id="976641249">
      <w:bodyDiv w:val="1"/>
      <w:marLeft w:val="0"/>
      <w:marRight w:val="0"/>
      <w:marTop w:val="0"/>
      <w:marBottom w:val="0"/>
      <w:divBdr>
        <w:top w:val="none" w:sz="0" w:space="0" w:color="auto"/>
        <w:left w:val="none" w:sz="0" w:space="0" w:color="auto"/>
        <w:bottom w:val="none" w:sz="0" w:space="0" w:color="auto"/>
        <w:right w:val="none" w:sz="0" w:space="0" w:color="auto"/>
      </w:divBdr>
    </w:div>
    <w:div w:id="981081764">
      <w:bodyDiv w:val="1"/>
      <w:marLeft w:val="0"/>
      <w:marRight w:val="0"/>
      <w:marTop w:val="0"/>
      <w:marBottom w:val="0"/>
      <w:divBdr>
        <w:top w:val="none" w:sz="0" w:space="0" w:color="auto"/>
        <w:left w:val="none" w:sz="0" w:space="0" w:color="auto"/>
        <w:bottom w:val="none" w:sz="0" w:space="0" w:color="auto"/>
        <w:right w:val="none" w:sz="0" w:space="0" w:color="auto"/>
      </w:divBdr>
    </w:div>
    <w:div w:id="992295428">
      <w:bodyDiv w:val="1"/>
      <w:marLeft w:val="0"/>
      <w:marRight w:val="0"/>
      <w:marTop w:val="0"/>
      <w:marBottom w:val="0"/>
      <w:divBdr>
        <w:top w:val="none" w:sz="0" w:space="0" w:color="auto"/>
        <w:left w:val="none" w:sz="0" w:space="0" w:color="auto"/>
        <w:bottom w:val="none" w:sz="0" w:space="0" w:color="auto"/>
        <w:right w:val="none" w:sz="0" w:space="0" w:color="auto"/>
      </w:divBdr>
    </w:div>
    <w:div w:id="996542994">
      <w:bodyDiv w:val="1"/>
      <w:marLeft w:val="0"/>
      <w:marRight w:val="0"/>
      <w:marTop w:val="0"/>
      <w:marBottom w:val="0"/>
      <w:divBdr>
        <w:top w:val="none" w:sz="0" w:space="0" w:color="auto"/>
        <w:left w:val="none" w:sz="0" w:space="0" w:color="auto"/>
        <w:bottom w:val="none" w:sz="0" w:space="0" w:color="auto"/>
        <w:right w:val="none" w:sz="0" w:space="0" w:color="auto"/>
      </w:divBdr>
    </w:div>
    <w:div w:id="1001465538">
      <w:bodyDiv w:val="1"/>
      <w:marLeft w:val="0"/>
      <w:marRight w:val="0"/>
      <w:marTop w:val="0"/>
      <w:marBottom w:val="0"/>
      <w:divBdr>
        <w:top w:val="none" w:sz="0" w:space="0" w:color="auto"/>
        <w:left w:val="none" w:sz="0" w:space="0" w:color="auto"/>
        <w:bottom w:val="none" w:sz="0" w:space="0" w:color="auto"/>
        <w:right w:val="none" w:sz="0" w:space="0" w:color="auto"/>
      </w:divBdr>
    </w:div>
    <w:div w:id="1009986039">
      <w:bodyDiv w:val="1"/>
      <w:marLeft w:val="0"/>
      <w:marRight w:val="0"/>
      <w:marTop w:val="0"/>
      <w:marBottom w:val="0"/>
      <w:divBdr>
        <w:top w:val="none" w:sz="0" w:space="0" w:color="auto"/>
        <w:left w:val="none" w:sz="0" w:space="0" w:color="auto"/>
        <w:bottom w:val="none" w:sz="0" w:space="0" w:color="auto"/>
        <w:right w:val="none" w:sz="0" w:space="0" w:color="auto"/>
      </w:divBdr>
    </w:div>
    <w:div w:id="1011839885">
      <w:bodyDiv w:val="1"/>
      <w:marLeft w:val="0"/>
      <w:marRight w:val="0"/>
      <w:marTop w:val="0"/>
      <w:marBottom w:val="0"/>
      <w:divBdr>
        <w:top w:val="none" w:sz="0" w:space="0" w:color="auto"/>
        <w:left w:val="none" w:sz="0" w:space="0" w:color="auto"/>
        <w:bottom w:val="none" w:sz="0" w:space="0" w:color="auto"/>
        <w:right w:val="none" w:sz="0" w:space="0" w:color="auto"/>
      </w:divBdr>
    </w:div>
    <w:div w:id="1012223732">
      <w:bodyDiv w:val="1"/>
      <w:marLeft w:val="0"/>
      <w:marRight w:val="0"/>
      <w:marTop w:val="0"/>
      <w:marBottom w:val="0"/>
      <w:divBdr>
        <w:top w:val="none" w:sz="0" w:space="0" w:color="auto"/>
        <w:left w:val="none" w:sz="0" w:space="0" w:color="auto"/>
        <w:bottom w:val="none" w:sz="0" w:space="0" w:color="auto"/>
        <w:right w:val="none" w:sz="0" w:space="0" w:color="auto"/>
      </w:divBdr>
    </w:div>
    <w:div w:id="1025055231">
      <w:bodyDiv w:val="1"/>
      <w:marLeft w:val="0"/>
      <w:marRight w:val="0"/>
      <w:marTop w:val="0"/>
      <w:marBottom w:val="0"/>
      <w:divBdr>
        <w:top w:val="none" w:sz="0" w:space="0" w:color="auto"/>
        <w:left w:val="none" w:sz="0" w:space="0" w:color="auto"/>
        <w:bottom w:val="none" w:sz="0" w:space="0" w:color="auto"/>
        <w:right w:val="none" w:sz="0" w:space="0" w:color="auto"/>
      </w:divBdr>
    </w:div>
    <w:div w:id="1035234684">
      <w:bodyDiv w:val="1"/>
      <w:marLeft w:val="0"/>
      <w:marRight w:val="0"/>
      <w:marTop w:val="0"/>
      <w:marBottom w:val="0"/>
      <w:divBdr>
        <w:top w:val="none" w:sz="0" w:space="0" w:color="auto"/>
        <w:left w:val="none" w:sz="0" w:space="0" w:color="auto"/>
        <w:bottom w:val="none" w:sz="0" w:space="0" w:color="auto"/>
        <w:right w:val="none" w:sz="0" w:space="0" w:color="auto"/>
      </w:divBdr>
    </w:div>
    <w:div w:id="1039672050">
      <w:bodyDiv w:val="1"/>
      <w:marLeft w:val="0"/>
      <w:marRight w:val="0"/>
      <w:marTop w:val="0"/>
      <w:marBottom w:val="0"/>
      <w:divBdr>
        <w:top w:val="none" w:sz="0" w:space="0" w:color="auto"/>
        <w:left w:val="none" w:sz="0" w:space="0" w:color="auto"/>
        <w:bottom w:val="none" w:sz="0" w:space="0" w:color="auto"/>
        <w:right w:val="none" w:sz="0" w:space="0" w:color="auto"/>
      </w:divBdr>
    </w:div>
    <w:div w:id="1042678491">
      <w:bodyDiv w:val="1"/>
      <w:marLeft w:val="0"/>
      <w:marRight w:val="0"/>
      <w:marTop w:val="0"/>
      <w:marBottom w:val="0"/>
      <w:divBdr>
        <w:top w:val="none" w:sz="0" w:space="0" w:color="auto"/>
        <w:left w:val="none" w:sz="0" w:space="0" w:color="auto"/>
        <w:bottom w:val="none" w:sz="0" w:space="0" w:color="auto"/>
        <w:right w:val="none" w:sz="0" w:space="0" w:color="auto"/>
      </w:divBdr>
    </w:div>
    <w:div w:id="1052657087">
      <w:bodyDiv w:val="1"/>
      <w:marLeft w:val="0"/>
      <w:marRight w:val="0"/>
      <w:marTop w:val="0"/>
      <w:marBottom w:val="0"/>
      <w:divBdr>
        <w:top w:val="none" w:sz="0" w:space="0" w:color="auto"/>
        <w:left w:val="none" w:sz="0" w:space="0" w:color="auto"/>
        <w:bottom w:val="none" w:sz="0" w:space="0" w:color="auto"/>
        <w:right w:val="none" w:sz="0" w:space="0" w:color="auto"/>
      </w:divBdr>
    </w:div>
    <w:div w:id="1072317468">
      <w:bodyDiv w:val="1"/>
      <w:marLeft w:val="0"/>
      <w:marRight w:val="0"/>
      <w:marTop w:val="0"/>
      <w:marBottom w:val="0"/>
      <w:divBdr>
        <w:top w:val="none" w:sz="0" w:space="0" w:color="auto"/>
        <w:left w:val="none" w:sz="0" w:space="0" w:color="auto"/>
        <w:bottom w:val="none" w:sz="0" w:space="0" w:color="auto"/>
        <w:right w:val="none" w:sz="0" w:space="0" w:color="auto"/>
      </w:divBdr>
    </w:div>
    <w:div w:id="1078211770">
      <w:bodyDiv w:val="1"/>
      <w:marLeft w:val="0"/>
      <w:marRight w:val="0"/>
      <w:marTop w:val="0"/>
      <w:marBottom w:val="0"/>
      <w:divBdr>
        <w:top w:val="none" w:sz="0" w:space="0" w:color="auto"/>
        <w:left w:val="none" w:sz="0" w:space="0" w:color="auto"/>
        <w:bottom w:val="none" w:sz="0" w:space="0" w:color="auto"/>
        <w:right w:val="none" w:sz="0" w:space="0" w:color="auto"/>
      </w:divBdr>
    </w:div>
    <w:div w:id="1079670267">
      <w:bodyDiv w:val="1"/>
      <w:marLeft w:val="0"/>
      <w:marRight w:val="0"/>
      <w:marTop w:val="0"/>
      <w:marBottom w:val="0"/>
      <w:divBdr>
        <w:top w:val="none" w:sz="0" w:space="0" w:color="auto"/>
        <w:left w:val="none" w:sz="0" w:space="0" w:color="auto"/>
        <w:bottom w:val="none" w:sz="0" w:space="0" w:color="auto"/>
        <w:right w:val="none" w:sz="0" w:space="0" w:color="auto"/>
      </w:divBdr>
    </w:div>
    <w:div w:id="1080831030">
      <w:bodyDiv w:val="1"/>
      <w:marLeft w:val="0"/>
      <w:marRight w:val="0"/>
      <w:marTop w:val="0"/>
      <w:marBottom w:val="0"/>
      <w:divBdr>
        <w:top w:val="none" w:sz="0" w:space="0" w:color="auto"/>
        <w:left w:val="none" w:sz="0" w:space="0" w:color="auto"/>
        <w:bottom w:val="none" w:sz="0" w:space="0" w:color="auto"/>
        <w:right w:val="none" w:sz="0" w:space="0" w:color="auto"/>
      </w:divBdr>
    </w:div>
    <w:div w:id="1091319924">
      <w:bodyDiv w:val="1"/>
      <w:marLeft w:val="0"/>
      <w:marRight w:val="0"/>
      <w:marTop w:val="0"/>
      <w:marBottom w:val="0"/>
      <w:divBdr>
        <w:top w:val="none" w:sz="0" w:space="0" w:color="auto"/>
        <w:left w:val="none" w:sz="0" w:space="0" w:color="auto"/>
        <w:bottom w:val="none" w:sz="0" w:space="0" w:color="auto"/>
        <w:right w:val="none" w:sz="0" w:space="0" w:color="auto"/>
      </w:divBdr>
    </w:div>
    <w:div w:id="1109811024">
      <w:bodyDiv w:val="1"/>
      <w:marLeft w:val="0"/>
      <w:marRight w:val="0"/>
      <w:marTop w:val="0"/>
      <w:marBottom w:val="0"/>
      <w:divBdr>
        <w:top w:val="none" w:sz="0" w:space="0" w:color="auto"/>
        <w:left w:val="none" w:sz="0" w:space="0" w:color="auto"/>
        <w:bottom w:val="none" w:sz="0" w:space="0" w:color="auto"/>
        <w:right w:val="none" w:sz="0" w:space="0" w:color="auto"/>
      </w:divBdr>
    </w:div>
    <w:div w:id="1110784728">
      <w:bodyDiv w:val="1"/>
      <w:marLeft w:val="0"/>
      <w:marRight w:val="0"/>
      <w:marTop w:val="0"/>
      <w:marBottom w:val="0"/>
      <w:divBdr>
        <w:top w:val="none" w:sz="0" w:space="0" w:color="auto"/>
        <w:left w:val="none" w:sz="0" w:space="0" w:color="auto"/>
        <w:bottom w:val="none" w:sz="0" w:space="0" w:color="auto"/>
        <w:right w:val="none" w:sz="0" w:space="0" w:color="auto"/>
      </w:divBdr>
    </w:div>
    <w:div w:id="1111777431">
      <w:bodyDiv w:val="1"/>
      <w:marLeft w:val="0"/>
      <w:marRight w:val="0"/>
      <w:marTop w:val="0"/>
      <w:marBottom w:val="0"/>
      <w:divBdr>
        <w:top w:val="none" w:sz="0" w:space="0" w:color="auto"/>
        <w:left w:val="none" w:sz="0" w:space="0" w:color="auto"/>
        <w:bottom w:val="none" w:sz="0" w:space="0" w:color="auto"/>
        <w:right w:val="none" w:sz="0" w:space="0" w:color="auto"/>
      </w:divBdr>
    </w:div>
    <w:div w:id="1112093712">
      <w:bodyDiv w:val="1"/>
      <w:marLeft w:val="0"/>
      <w:marRight w:val="0"/>
      <w:marTop w:val="0"/>
      <w:marBottom w:val="0"/>
      <w:divBdr>
        <w:top w:val="none" w:sz="0" w:space="0" w:color="auto"/>
        <w:left w:val="none" w:sz="0" w:space="0" w:color="auto"/>
        <w:bottom w:val="none" w:sz="0" w:space="0" w:color="auto"/>
        <w:right w:val="none" w:sz="0" w:space="0" w:color="auto"/>
      </w:divBdr>
    </w:div>
    <w:div w:id="1128007591">
      <w:bodyDiv w:val="1"/>
      <w:marLeft w:val="0"/>
      <w:marRight w:val="0"/>
      <w:marTop w:val="0"/>
      <w:marBottom w:val="0"/>
      <w:divBdr>
        <w:top w:val="none" w:sz="0" w:space="0" w:color="auto"/>
        <w:left w:val="none" w:sz="0" w:space="0" w:color="auto"/>
        <w:bottom w:val="none" w:sz="0" w:space="0" w:color="auto"/>
        <w:right w:val="none" w:sz="0" w:space="0" w:color="auto"/>
      </w:divBdr>
    </w:div>
    <w:div w:id="1130778456">
      <w:bodyDiv w:val="1"/>
      <w:marLeft w:val="0"/>
      <w:marRight w:val="0"/>
      <w:marTop w:val="0"/>
      <w:marBottom w:val="0"/>
      <w:divBdr>
        <w:top w:val="none" w:sz="0" w:space="0" w:color="auto"/>
        <w:left w:val="none" w:sz="0" w:space="0" w:color="auto"/>
        <w:bottom w:val="none" w:sz="0" w:space="0" w:color="auto"/>
        <w:right w:val="none" w:sz="0" w:space="0" w:color="auto"/>
      </w:divBdr>
    </w:div>
    <w:div w:id="1133059958">
      <w:bodyDiv w:val="1"/>
      <w:marLeft w:val="0"/>
      <w:marRight w:val="0"/>
      <w:marTop w:val="0"/>
      <w:marBottom w:val="0"/>
      <w:divBdr>
        <w:top w:val="none" w:sz="0" w:space="0" w:color="auto"/>
        <w:left w:val="none" w:sz="0" w:space="0" w:color="auto"/>
        <w:bottom w:val="none" w:sz="0" w:space="0" w:color="auto"/>
        <w:right w:val="none" w:sz="0" w:space="0" w:color="auto"/>
      </w:divBdr>
    </w:div>
    <w:div w:id="1135220044">
      <w:bodyDiv w:val="1"/>
      <w:marLeft w:val="0"/>
      <w:marRight w:val="0"/>
      <w:marTop w:val="0"/>
      <w:marBottom w:val="0"/>
      <w:divBdr>
        <w:top w:val="none" w:sz="0" w:space="0" w:color="auto"/>
        <w:left w:val="none" w:sz="0" w:space="0" w:color="auto"/>
        <w:bottom w:val="none" w:sz="0" w:space="0" w:color="auto"/>
        <w:right w:val="none" w:sz="0" w:space="0" w:color="auto"/>
      </w:divBdr>
    </w:div>
    <w:div w:id="1142847374">
      <w:bodyDiv w:val="1"/>
      <w:marLeft w:val="0"/>
      <w:marRight w:val="0"/>
      <w:marTop w:val="0"/>
      <w:marBottom w:val="0"/>
      <w:divBdr>
        <w:top w:val="none" w:sz="0" w:space="0" w:color="auto"/>
        <w:left w:val="none" w:sz="0" w:space="0" w:color="auto"/>
        <w:bottom w:val="none" w:sz="0" w:space="0" w:color="auto"/>
        <w:right w:val="none" w:sz="0" w:space="0" w:color="auto"/>
      </w:divBdr>
    </w:div>
    <w:div w:id="1159342644">
      <w:bodyDiv w:val="1"/>
      <w:marLeft w:val="0"/>
      <w:marRight w:val="0"/>
      <w:marTop w:val="0"/>
      <w:marBottom w:val="0"/>
      <w:divBdr>
        <w:top w:val="none" w:sz="0" w:space="0" w:color="auto"/>
        <w:left w:val="none" w:sz="0" w:space="0" w:color="auto"/>
        <w:bottom w:val="none" w:sz="0" w:space="0" w:color="auto"/>
        <w:right w:val="none" w:sz="0" w:space="0" w:color="auto"/>
      </w:divBdr>
    </w:div>
    <w:div w:id="1162309822">
      <w:bodyDiv w:val="1"/>
      <w:marLeft w:val="0"/>
      <w:marRight w:val="0"/>
      <w:marTop w:val="0"/>
      <w:marBottom w:val="0"/>
      <w:divBdr>
        <w:top w:val="none" w:sz="0" w:space="0" w:color="auto"/>
        <w:left w:val="none" w:sz="0" w:space="0" w:color="auto"/>
        <w:bottom w:val="none" w:sz="0" w:space="0" w:color="auto"/>
        <w:right w:val="none" w:sz="0" w:space="0" w:color="auto"/>
      </w:divBdr>
    </w:div>
    <w:div w:id="1211112855">
      <w:bodyDiv w:val="1"/>
      <w:marLeft w:val="0"/>
      <w:marRight w:val="0"/>
      <w:marTop w:val="0"/>
      <w:marBottom w:val="0"/>
      <w:divBdr>
        <w:top w:val="none" w:sz="0" w:space="0" w:color="auto"/>
        <w:left w:val="none" w:sz="0" w:space="0" w:color="auto"/>
        <w:bottom w:val="none" w:sz="0" w:space="0" w:color="auto"/>
        <w:right w:val="none" w:sz="0" w:space="0" w:color="auto"/>
      </w:divBdr>
    </w:div>
    <w:div w:id="1230731180">
      <w:bodyDiv w:val="1"/>
      <w:marLeft w:val="0"/>
      <w:marRight w:val="0"/>
      <w:marTop w:val="0"/>
      <w:marBottom w:val="0"/>
      <w:divBdr>
        <w:top w:val="none" w:sz="0" w:space="0" w:color="auto"/>
        <w:left w:val="none" w:sz="0" w:space="0" w:color="auto"/>
        <w:bottom w:val="none" w:sz="0" w:space="0" w:color="auto"/>
        <w:right w:val="none" w:sz="0" w:space="0" w:color="auto"/>
      </w:divBdr>
    </w:div>
    <w:div w:id="1236091227">
      <w:bodyDiv w:val="1"/>
      <w:marLeft w:val="0"/>
      <w:marRight w:val="0"/>
      <w:marTop w:val="0"/>
      <w:marBottom w:val="0"/>
      <w:divBdr>
        <w:top w:val="none" w:sz="0" w:space="0" w:color="auto"/>
        <w:left w:val="none" w:sz="0" w:space="0" w:color="auto"/>
        <w:bottom w:val="none" w:sz="0" w:space="0" w:color="auto"/>
        <w:right w:val="none" w:sz="0" w:space="0" w:color="auto"/>
      </w:divBdr>
    </w:div>
    <w:div w:id="1236629563">
      <w:bodyDiv w:val="1"/>
      <w:marLeft w:val="0"/>
      <w:marRight w:val="0"/>
      <w:marTop w:val="0"/>
      <w:marBottom w:val="0"/>
      <w:divBdr>
        <w:top w:val="none" w:sz="0" w:space="0" w:color="auto"/>
        <w:left w:val="none" w:sz="0" w:space="0" w:color="auto"/>
        <w:bottom w:val="none" w:sz="0" w:space="0" w:color="auto"/>
        <w:right w:val="none" w:sz="0" w:space="0" w:color="auto"/>
      </w:divBdr>
    </w:div>
    <w:div w:id="1238786458">
      <w:bodyDiv w:val="1"/>
      <w:marLeft w:val="0"/>
      <w:marRight w:val="0"/>
      <w:marTop w:val="0"/>
      <w:marBottom w:val="0"/>
      <w:divBdr>
        <w:top w:val="none" w:sz="0" w:space="0" w:color="auto"/>
        <w:left w:val="none" w:sz="0" w:space="0" w:color="auto"/>
        <w:bottom w:val="none" w:sz="0" w:space="0" w:color="auto"/>
        <w:right w:val="none" w:sz="0" w:space="0" w:color="auto"/>
      </w:divBdr>
    </w:div>
    <w:div w:id="1256667379">
      <w:bodyDiv w:val="1"/>
      <w:marLeft w:val="0"/>
      <w:marRight w:val="0"/>
      <w:marTop w:val="0"/>
      <w:marBottom w:val="0"/>
      <w:divBdr>
        <w:top w:val="none" w:sz="0" w:space="0" w:color="auto"/>
        <w:left w:val="none" w:sz="0" w:space="0" w:color="auto"/>
        <w:bottom w:val="none" w:sz="0" w:space="0" w:color="auto"/>
        <w:right w:val="none" w:sz="0" w:space="0" w:color="auto"/>
      </w:divBdr>
      <w:divsChild>
        <w:div w:id="2082754541">
          <w:marLeft w:val="0"/>
          <w:marRight w:val="0"/>
          <w:marTop w:val="0"/>
          <w:marBottom w:val="0"/>
          <w:divBdr>
            <w:top w:val="none" w:sz="0" w:space="0" w:color="auto"/>
            <w:left w:val="none" w:sz="0" w:space="0" w:color="auto"/>
            <w:bottom w:val="none" w:sz="0" w:space="0" w:color="auto"/>
            <w:right w:val="none" w:sz="0" w:space="0" w:color="auto"/>
          </w:divBdr>
          <w:divsChild>
            <w:div w:id="2015566139">
              <w:marLeft w:val="0"/>
              <w:marRight w:val="0"/>
              <w:marTop w:val="0"/>
              <w:marBottom w:val="0"/>
              <w:divBdr>
                <w:top w:val="none" w:sz="0" w:space="0" w:color="auto"/>
                <w:left w:val="none" w:sz="0" w:space="0" w:color="auto"/>
                <w:bottom w:val="none" w:sz="0" w:space="0" w:color="auto"/>
                <w:right w:val="none" w:sz="0" w:space="0" w:color="auto"/>
              </w:divBdr>
              <w:divsChild>
                <w:div w:id="1903835053">
                  <w:marLeft w:val="2735"/>
                  <w:marRight w:val="175"/>
                  <w:marTop w:val="0"/>
                  <w:marBottom w:val="0"/>
                  <w:divBdr>
                    <w:top w:val="none" w:sz="0" w:space="0" w:color="auto"/>
                    <w:left w:val="none" w:sz="0" w:space="0" w:color="auto"/>
                    <w:bottom w:val="none" w:sz="0" w:space="0" w:color="auto"/>
                    <w:right w:val="none" w:sz="0" w:space="0" w:color="auto"/>
                  </w:divBdr>
                </w:div>
              </w:divsChild>
            </w:div>
          </w:divsChild>
        </w:div>
        <w:div w:id="855923704">
          <w:marLeft w:val="0"/>
          <w:marRight w:val="0"/>
          <w:marTop w:val="0"/>
          <w:marBottom w:val="0"/>
          <w:divBdr>
            <w:top w:val="none" w:sz="0" w:space="0" w:color="auto"/>
            <w:left w:val="none" w:sz="0" w:space="0" w:color="auto"/>
            <w:bottom w:val="none" w:sz="0" w:space="0" w:color="auto"/>
            <w:right w:val="none" w:sz="0" w:space="0" w:color="auto"/>
          </w:divBdr>
          <w:divsChild>
            <w:div w:id="1306206378">
              <w:marLeft w:val="2735"/>
              <w:marRight w:val="175"/>
              <w:marTop w:val="0"/>
              <w:marBottom w:val="0"/>
              <w:divBdr>
                <w:top w:val="none" w:sz="0" w:space="0" w:color="auto"/>
                <w:left w:val="none" w:sz="0" w:space="0" w:color="auto"/>
                <w:bottom w:val="none" w:sz="0" w:space="0" w:color="auto"/>
                <w:right w:val="none" w:sz="0" w:space="0" w:color="auto"/>
              </w:divBdr>
              <w:divsChild>
                <w:div w:id="204679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8752999">
      <w:bodyDiv w:val="1"/>
      <w:marLeft w:val="0"/>
      <w:marRight w:val="0"/>
      <w:marTop w:val="0"/>
      <w:marBottom w:val="0"/>
      <w:divBdr>
        <w:top w:val="none" w:sz="0" w:space="0" w:color="auto"/>
        <w:left w:val="none" w:sz="0" w:space="0" w:color="auto"/>
        <w:bottom w:val="none" w:sz="0" w:space="0" w:color="auto"/>
        <w:right w:val="none" w:sz="0" w:space="0" w:color="auto"/>
      </w:divBdr>
    </w:div>
    <w:div w:id="1276014968">
      <w:bodyDiv w:val="1"/>
      <w:marLeft w:val="0"/>
      <w:marRight w:val="0"/>
      <w:marTop w:val="0"/>
      <w:marBottom w:val="0"/>
      <w:divBdr>
        <w:top w:val="none" w:sz="0" w:space="0" w:color="auto"/>
        <w:left w:val="none" w:sz="0" w:space="0" w:color="auto"/>
        <w:bottom w:val="none" w:sz="0" w:space="0" w:color="auto"/>
        <w:right w:val="none" w:sz="0" w:space="0" w:color="auto"/>
      </w:divBdr>
    </w:div>
    <w:div w:id="1281451117">
      <w:bodyDiv w:val="1"/>
      <w:marLeft w:val="0"/>
      <w:marRight w:val="0"/>
      <w:marTop w:val="0"/>
      <w:marBottom w:val="0"/>
      <w:divBdr>
        <w:top w:val="none" w:sz="0" w:space="0" w:color="auto"/>
        <w:left w:val="none" w:sz="0" w:space="0" w:color="auto"/>
        <w:bottom w:val="none" w:sz="0" w:space="0" w:color="auto"/>
        <w:right w:val="none" w:sz="0" w:space="0" w:color="auto"/>
      </w:divBdr>
    </w:div>
    <w:div w:id="1287084035">
      <w:bodyDiv w:val="1"/>
      <w:marLeft w:val="0"/>
      <w:marRight w:val="0"/>
      <w:marTop w:val="0"/>
      <w:marBottom w:val="0"/>
      <w:divBdr>
        <w:top w:val="none" w:sz="0" w:space="0" w:color="auto"/>
        <w:left w:val="none" w:sz="0" w:space="0" w:color="auto"/>
        <w:bottom w:val="none" w:sz="0" w:space="0" w:color="auto"/>
        <w:right w:val="none" w:sz="0" w:space="0" w:color="auto"/>
      </w:divBdr>
    </w:div>
    <w:div w:id="1299649145">
      <w:bodyDiv w:val="1"/>
      <w:marLeft w:val="0"/>
      <w:marRight w:val="0"/>
      <w:marTop w:val="0"/>
      <w:marBottom w:val="0"/>
      <w:divBdr>
        <w:top w:val="none" w:sz="0" w:space="0" w:color="auto"/>
        <w:left w:val="none" w:sz="0" w:space="0" w:color="auto"/>
        <w:bottom w:val="none" w:sz="0" w:space="0" w:color="auto"/>
        <w:right w:val="none" w:sz="0" w:space="0" w:color="auto"/>
      </w:divBdr>
    </w:div>
    <w:div w:id="1299651539">
      <w:bodyDiv w:val="1"/>
      <w:marLeft w:val="0"/>
      <w:marRight w:val="0"/>
      <w:marTop w:val="0"/>
      <w:marBottom w:val="0"/>
      <w:divBdr>
        <w:top w:val="none" w:sz="0" w:space="0" w:color="auto"/>
        <w:left w:val="none" w:sz="0" w:space="0" w:color="auto"/>
        <w:bottom w:val="none" w:sz="0" w:space="0" w:color="auto"/>
        <w:right w:val="none" w:sz="0" w:space="0" w:color="auto"/>
      </w:divBdr>
    </w:div>
    <w:div w:id="1305357132">
      <w:bodyDiv w:val="1"/>
      <w:marLeft w:val="0"/>
      <w:marRight w:val="0"/>
      <w:marTop w:val="0"/>
      <w:marBottom w:val="0"/>
      <w:divBdr>
        <w:top w:val="none" w:sz="0" w:space="0" w:color="auto"/>
        <w:left w:val="none" w:sz="0" w:space="0" w:color="auto"/>
        <w:bottom w:val="none" w:sz="0" w:space="0" w:color="auto"/>
        <w:right w:val="none" w:sz="0" w:space="0" w:color="auto"/>
      </w:divBdr>
    </w:div>
    <w:div w:id="1311524059">
      <w:bodyDiv w:val="1"/>
      <w:marLeft w:val="0"/>
      <w:marRight w:val="0"/>
      <w:marTop w:val="0"/>
      <w:marBottom w:val="0"/>
      <w:divBdr>
        <w:top w:val="none" w:sz="0" w:space="0" w:color="auto"/>
        <w:left w:val="none" w:sz="0" w:space="0" w:color="auto"/>
        <w:bottom w:val="none" w:sz="0" w:space="0" w:color="auto"/>
        <w:right w:val="none" w:sz="0" w:space="0" w:color="auto"/>
      </w:divBdr>
    </w:div>
    <w:div w:id="1312979699">
      <w:bodyDiv w:val="1"/>
      <w:marLeft w:val="0"/>
      <w:marRight w:val="0"/>
      <w:marTop w:val="0"/>
      <w:marBottom w:val="0"/>
      <w:divBdr>
        <w:top w:val="none" w:sz="0" w:space="0" w:color="auto"/>
        <w:left w:val="none" w:sz="0" w:space="0" w:color="auto"/>
        <w:bottom w:val="none" w:sz="0" w:space="0" w:color="auto"/>
        <w:right w:val="none" w:sz="0" w:space="0" w:color="auto"/>
      </w:divBdr>
    </w:div>
    <w:div w:id="1320620041">
      <w:bodyDiv w:val="1"/>
      <w:marLeft w:val="0"/>
      <w:marRight w:val="0"/>
      <w:marTop w:val="0"/>
      <w:marBottom w:val="0"/>
      <w:divBdr>
        <w:top w:val="none" w:sz="0" w:space="0" w:color="auto"/>
        <w:left w:val="none" w:sz="0" w:space="0" w:color="auto"/>
        <w:bottom w:val="none" w:sz="0" w:space="0" w:color="auto"/>
        <w:right w:val="none" w:sz="0" w:space="0" w:color="auto"/>
      </w:divBdr>
    </w:div>
    <w:div w:id="1322006856">
      <w:bodyDiv w:val="1"/>
      <w:marLeft w:val="0"/>
      <w:marRight w:val="0"/>
      <w:marTop w:val="0"/>
      <w:marBottom w:val="0"/>
      <w:divBdr>
        <w:top w:val="none" w:sz="0" w:space="0" w:color="auto"/>
        <w:left w:val="none" w:sz="0" w:space="0" w:color="auto"/>
        <w:bottom w:val="none" w:sz="0" w:space="0" w:color="auto"/>
        <w:right w:val="none" w:sz="0" w:space="0" w:color="auto"/>
      </w:divBdr>
    </w:div>
    <w:div w:id="1340963319">
      <w:bodyDiv w:val="1"/>
      <w:marLeft w:val="0"/>
      <w:marRight w:val="0"/>
      <w:marTop w:val="0"/>
      <w:marBottom w:val="0"/>
      <w:divBdr>
        <w:top w:val="none" w:sz="0" w:space="0" w:color="auto"/>
        <w:left w:val="none" w:sz="0" w:space="0" w:color="auto"/>
        <w:bottom w:val="none" w:sz="0" w:space="0" w:color="auto"/>
        <w:right w:val="none" w:sz="0" w:space="0" w:color="auto"/>
      </w:divBdr>
    </w:div>
    <w:div w:id="1354261664">
      <w:bodyDiv w:val="1"/>
      <w:marLeft w:val="0"/>
      <w:marRight w:val="0"/>
      <w:marTop w:val="0"/>
      <w:marBottom w:val="0"/>
      <w:divBdr>
        <w:top w:val="none" w:sz="0" w:space="0" w:color="auto"/>
        <w:left w:val="none" w:sz="0" w:space="0" w:color="auto"/>
        <w:bottom w:val="none" w:sz="0" w:space="0" w:color="auto"/>
        <w:right w:val="none" w:sz="0" w:space="0" w:color="auto"/>
      </w:divBdr>
    </w:div>
    <w:div w:id="1361855648">
      <w:bodyDiv w:val="1"/>
      <w:marLeft w:val="0"/>
      <w:marRight w:val="0"/>
      <w:marTop w:val="0"/>
      <w:marBottom w:val="0"/>
      <w:divBdr>
        <w:top w:val="none" w:sz="0" w:space="0" w:color="auto"/>
        <w:left w:val="none" w:sz="0" w:space="0" w:color="auto"/>
        <w:bottom w:val="none" w:sz="0" w:space="0" w:color="auto"/>
        <w:right w:val="none" w:sz="0" w:space="0" w:color="auto"/>
      </w:divBdr>
    </w:div>
    <w:div w:id="1362121868">
      <w:bodyDiv w:val="1"/>
      <w:marLeft w:val="0"/>
      <w:marRight w:val="0"/>
      <w:marTop w:val="0"/>
      <w:marBottom w:val="0"/>
      <w:divBdr>
        <w:top w:val="none" w:sz="0" w:space="0" w:color="auto"/>
        <w:left w:val="none" w:sz="0" w:space="0" w:color="auto"/>
        <w:bottom w:val="none" w:sz="0" w:space="0" w:color="auto"/>
        <w:right w:val="none" w:sz="0" w:space="0" w:color="auto"/>
      </w:divBdr>
    </w:div>
    <w:div w:id="1373655395">
      <w:bodyDiv w:val="1"/>
      <w:marLeft w:val="0"/>
      <w:marRight w:val="0"/>
      <w:marTop w:val="0"/>
      <w:marBottom w:val="0"/>
      <w:divBdr>
        <w:top w:val="none" w:sz="0" w:space="0" w:color="auto"/>
        <w:left w:val="none" w:sz="0" w:space="0" w:color="auto"/>
        <w:bottom w:val="none" w:sz="0" w:space="0" w:color="auto"/>
        <w:right w:val="none" w:sz="0" w:space="0" w:color="auto"/>
      </w:divBdr>
    </w:div>
    <w:div w:id="1398824044">
      <w:bodyDiv w:val="1"/>
      <w:marLeft w:val="0"/>
      <w:marRight w:val="0"/>
      <w:marTop w:val="0"/>
      <w:marBottom w:val="0"/>
      <w:divBdr>
        <w:top w:val="none" w:sz="0" w:space="0" w:color="auto"/>
        <w:left w:val="none" w:sz="0" w:space="0" w:color="auto"/>
        <w:bottom w:val="none" w:sz="0" w:space="0" w:color="auto"/>
        <w:right w:val="none" w:sz="0" w:space="0" w:color="auto"/>
      </w:divBdr>
    </w:div>
    <w:div w:id="1400983766">
      <w:bodyDiv w:val="1"/>
      <w:marLeft w:val="0"/>
      <w:marRight w:val="0"/>
      <w:marTop w:val="0"/>
      <w:marBottom w:val="0"/>
      <w:divBdr>
        <w:top w:val="none" w:sz="0" w:space="0" w:color="auto"/>
        <w:left w:val="none" w:sz="0" w:space="0" w:color="auto"/>
        <w:bottom w:val="none" w:sz="0" w:space="0" w:color="auto"/>
        <w:right w:val="none" w:sz="0" w:space="0" w:color="auto"/>
      </w:divBdr>
    </w:div>
    <w:div w:id="1402633725">
      <w:bodyDiv w:val="1"/>
      <w:marLeft w:val="0"/>
      <w:marRight w:val="0"/>
      <w:marTop w:val="0"/>
      <w:marBottom w:val="0"/>
      <w:divBdr>
        <w:top w:val="none" w:sz="0" w:space="0" w:color="auto"/>
        <w:left w:val="none" w:sz="0" w:space="0" w:color="auto"/>
        <w:bottom w:val="none" w:sz="0" w:space="0" w:color="auto"/>
        <w:right w:val="none" w:sz="0" w:space="0" w:color="auto"/>
      </w:divBdr>
    </w:div>
    <w:div w:id="1405101560">
      <w:bodyDiv w:val="1"/>
      <w:marLeft w:val="0"/>
      <w:marRight w:val="0"/>
      <w:marTop w:val="0"/>
      <w:marBottom w:val="0"/>
      <w:divBdr>
        <w:top w:val="none" w:sz="0" w:space="0" w:color="auto"/>
        <w:left w:val="none" w:sz="0" w:space="0" w:color="auto"/>
        <w:bottom w:val="none" w:sz="0" w:space="0" w:color="auto"/>
        <w:right w:val="none" w:sz="0" w:space="0" w:color="auto"/>
      </w:divBdr>
    </w:div>
    <w:div w:id="1410039198">
      <w:bodyDiv w:val="1"/>
      <w:marLeft w:val="0"/>
      <w:marRight w:val="0"/>
      <w:marTop w:val="0"/>
      <w:marBottom w:val="0"/>
      <w:divBdr>
        <w:top w:val="none" w:sz="0" w:space="0" w:color="auto"/>
        <w:left w:val="none" w:sz="0" w:space="0" w:color="auto"/>
        <w:bottom w:val="none" w:sz="0" w:space="0" w:color="auto"/>
        <w:right w:val="none" w:sz="0" w:space="0" w:color="auto"/>
      </w:divBdr>
    </w:div>
    <w:div w:id="1411000622">
      <w:bodyDiv w:val="1"/>
      <w:marLeft w:val="0"/>
      <w:marRight w:val="0"/>
      <w:marTop w:val="0"/>
      <w:marBottom w:val="0"/>
      <w:divBdr>
        <w:top w:val="none" w:sz="0" w:space="0" w:color="auto"/>
        <w:left w:val="none" w:sz="0" w:space="0" w:color="auto"/>
        <w:bottom w:val="none" w:sz="0" w:space="0" w:color="auto"/>
        <w:right w:val="none" w:sz="0" w:space="0" w:color="auto"/>
      </w:divBdr>
    </w:div>
    <w:div w:id="1440099588">
      <w:bodyDiv w:val="1"/>
      <w:marLeft w:val="0"/>
      <w:marRight w:val="0"/>
      <w:marTop w:val="0"/>
      <w:marBottom w:val="0"/>
      <w:divBdr>
        <w:top w:val="none" w:sz="0" w:space="0" w:color="auto"/>
        <w:left w:val="none" w:sz="0" w:space="0" w:color="auto"/>
        <w:bottom w:val="none" w:sz="0" w:space="0" w:color="auto"/>
        <w:right w:val="none" w:sz="0" w:space="0" w:color="auto"/>
      </w:divBdr>
    </w:div>
    <w:div w:id="1450779417">
      <w:bodyDiv w:val="1"/>
      <w:marLeft w:val="0"/>
      <w:marRight w:val="0"/>
      <w:marTop w:val="0"/>
      <w:marBottom w:val="0"/>
      <w:divBdr>
        <w:top w:val="none" w:sz="0" w:space="0" w:color="auto"/>
        <w:left w:val="none" w:sz="0" w:space="0" w:color="auto"/>
        <w:bottom w:val="none" w:sz="0" w:space="0" w:color="auto"/>
        <w:right w:val="none" w:sz="0" w:space="0" w:color="auto"/>
      </w:divBdr>
    </w:div>
    <w:div w:id="1462305525">
      <w:bodyDiv w:val="1"/>
      <w:marLeft w:val="0"/>
      <w:marRight w:val="0"/>
      <w:marTop w:val="0"/>
      <w:marBottom w:val="0"/>
      <w:divBdr>
        <w:top w:val="none" w:sz="0" w:space="0" w:color="auto"/>
        <w:left w:val="none" w:sz="0" w:space="0" w:color="auto"/>
        <w:bottom w:val="none" w:sz="0" w:space="0" w:color="auto"/>
        <w:right w:val="none" w:sz="0" w:space="0" w:color="auto"/>
      </w:divBdr>
    </w:div>
    <w:div w:id="1463229817">
      <w:bodyDiv w:val="1"/>
      <w:marLeft w:val="0"/>
      <w:marRight w:val="0"/>
      <w:marTop w:val="0"/>
      <w:marBottom w:val="0"/>
      <w:divBdr>
        <w:top w:val="none" w:sz="0" w:space="0" w:color="auto"/>
        <w:left w:val="none" w:sz="0" w:space="0" w:color="auto"/>
        <w:bottom w:val="none" w:sz="0" w:space="0" w:color="auto"/>
        <w:right w:val="none" w:sz="0" w:space="0" w:color="auto"/>
      </w:divBdr>
    </w:div>
    <w:div w:id="1464540823">
      <w:bodyDiv w:val="1"/>
      <w:marLeft w:val="0"/>
      <w:marRight w:val="0"/>
      <w:marTop w:val="0"/>
      <w:marBottom w:val="0"/>
      <w:divBdr>
        <w:top w:val="none" w:sz="0" w:space="0" w:color="auto"/>
        <w:left w:val="none" w:sz="0" w:space="0" w:color="auto"/>
        <w:bottom w:val="none" w:sz="0" w:space="0" w:color="auto"/>
        <w:right w:val="none" w:sz="0" w:space="0" w:color="auto"/>
      </w:divBdr>
    </w:div>
    <w:div w:id="1473477275">
      <w:bodyDiv w:val="1"/>
      <w:marLeft w:val="0"/>
      <w:marRight w:val="0"/>
      <w:marTop w:val="0"/>
      <w:marBottom w:val="0"/>
      <w:divBdr>
        <w:top w:val="none" w:sz="0" w:space="0" w:color="auto"/>
        <w:left w:val="none" w:sz="0" w:space="0" w:color="auto"/>
        <w:bottom w:val="none" w:sz="0" w:space="0" w:color="auto"/>
        <w:right w:val="none" w:sz="0" w:space="0" w:color="auto"/>
      </w:divBdr>
    </w:div>
    <w:div w:id="1492336045">
      <w:bodyDiv w:val="1"/>
      <w:marLeft w:val="0"/>
      <w:marRight w:val="0"/>
      <w:marTop w:val="0"/>
      <w:marBottom w:val="0"/>
      <w:divBdr>
        <w:top w:val="none" w:sz="0" w:space="0" w:color="auto"/>
        <w:left w:val="none" w:sz="0" w:space="0" w:color="auto"/>
        <w:bottom w:val="none" w:sz="0" w:space="0" w:color="auto"/>
        <w:right w:val="none" w:sz="0" w:space="0" w:color="auto"/>
      </w:divBdr>
    </w:div>
    <w:div w:id="1499149801">
      <w:bodyDiv w:val="1"/>
      <w:marLeft w:val="0"/>
      <w:marRight w:val="0"/>
      <w:marTop w:val="0"/>
      <w:marBottom w:val="0"/>
      <w:divBdr>
        <w:top w:val="none" w:sz="0" w:space="0" w:color="auto"/>
        <w:left w:val="none" w:sz="0" w:space="0" w:color="auto"/>
        <w:bottom w:val="none" w:sz="0" w:space="0" w:color="auto"/>
        <w:right w:val="none" w:sz="0" w:space="0" w:color="auto"/>
      </w:divBdr>
    </w:div>
    <w:div w:id="1499540981">
      <w:bodyDiv w:val="1"/>
      <w:marLeft w:val="0"/>
      <w:marRight w:val="0"/>
      <w:marTop w:val="0"/>
      <w:marBottom w:val="0"/>
      <w:divBdr>
        <w:top w:val="none" w:sz="0" w:space="0" w:color="auto"/>
        <w:left w:val="none" w:sz="0" w:space="0" w:color="auto"/>
        <w:bottom w:val="none" w:sz="0" w:space="0" w:color="auto"/>
        <w:right w:val="none" w:sz="0" w:space="0" w:color="auto"/>
      </w:divBdr>
    </w:div>
    <w:div w:id="1517963366">
      <w:bodyDiv w:val="1"/>
      <w:marLeft w:val="0"/>
      <w:marRight w:val="0"/>
      <w:marTop w:val="0"/>
      <w:marBottom w:val="0"/>
      <w:divBdr>
        <w:top w:val="none" w:sz="0" w:space="0" w:color="auto"/>
        <w:left w:val="none" w:sz="0" w:space="0" w:color="auto"/>
        <w:bottom w:val="none" w:sz="0" w:space="0" w:color="auto"/>
        <w:right w:val="none" w:sz="0" w:space="0" w:color="auto"/>
      </w:divBdr>
    </w:div>
    <w:div w:id="1527210104">
      <w:bodyDiv w:val="1"/>
      <w:marLeft w:val="0"/>
      <w:marRight w:val="0"/>
      <w:marTop w:val="0"/>
      <w:marBottom w:val="0"/>
      <w:divBdr>
        <w:top w:val="none" w:sz="0" w:space="0" w:color="auto"/>
        <w:left w:val="none" w:sz="0" w:space="0" w:color="auto"/>
        <w:bottom w:val="none" w:sz="0" w:space="0" w:color="auto"/>
        <w:right w:val="none" w:sz="0" w:space="0" w:color="auto"/>
      </w:divBdr>
    </w:div>
    <w:div w:id="1527449030">
      <w:bodyDiv w:val="1"/>
      <w:marLeft w:val="0"/>
      <w:marRight w:val="0"/>
      <w:marTop w:val="0"/>
      <w:marBottom w:val="0"/>
      <w:divBdr>
        <w:top w:val="none" w:sz="0" w:space="0" w:color="auto"/>
        <w:left w:val="none" w:sz="0" w:space="0" w:color="auto"/>
        <w:bottom w:val="none" w:sz="0" w:space="0" w:color="auto"/>
        <w:right w:val="none" w:sz="0" w:space="0" w:color="auto"/>
      </w:divBdr>
    </w:div>
    <w:div w:id="1528565718">
      <w:bodyDiv w:val="1"/>
      <w:marLeft w:val="0"/>
      <w:marRight w:val="0"/>
      <w:marTop w:val="0"/>
      <w:marBottom w:val="0"/>
      <w:divBdr>
        <w:top w:val="none" w:sz="0" w:space="0" w:color="auto"/>
        <w:left w:val="none" w:sz="0" w:space="0" w:color="auto"/>
        <w:bottom w:val="none" w:sz="0" w:space="0" w:color="auto"/>
        <w:right w:val="none" w:sz="0" w:space="0" w:color="auto"/>
      </w:divBdr>
    </w:div>
    <w:div w:id="1528713194">
      <w:bodyDiv w:val="1"/>
      <w:marLeft w:val="0"/>
      <w:marRight w:val="0"/>
      <w:marTop w:val="0"/>
      <w:marBottom w:val="0"/>
      <w:divBdr>
        <w:top w:val="none" w:sz="0" w:space="0" w:color="auto"/>
        <w:left w:val="none" w:sz="0" w:space="0" w:color="auto"/>
        <w:bottom w:val="none" w:sz="0" w:space="0" w:color="auto"/>
        <w:right w:val="none" w:sz="0" w:space="0" w:color="auto"/>
      </w:divBdr>
    </w:div>
    <w:div w:id="1528829005">
      <w:bodyDiv w:val="1"/>
      <w:marLeft w:val="0"/>
      <w:marRight w:val="0"/>
      <w:marTop w:val="0"/>
      <w:marBottom w:val="0"/>
      <w:divBdr>
        <w:top w:val="none" w:sz="0" w:space="0" w:color="auto"/>
        <w:left w:val="none" w:sz="0" w:space="0" w:color="auto"/>
        <w:bottom w:val="none" w:sz="0" w:space="0" w:color="auto"/>
        <w:right w:val="none" w:sz="0" w:space="0" w:color="auto"/>
      </w:divBdr>
    </w:div>
    <w:div w:id="1548444358">
      <w:bodyDiv w:val="1"/>
      <w:marLeft w:val="0"/>
      <w:marRight w:val="0"/>
      <w:marTop w:val="0"/>
      <w:marBottom w:val="0"/>
      <w:divBdr>
        <w:top w:val="none" w:sz="0" w:space="0" w:color="auto"/>
        <w:left w:val="none" w:sz="0" w:space="0" w:color="auto"/>
        <w:bottom w:val="none" w:sz="0" w:space="0" w:color="auto"/>
        <w:right w:val="none" w:sz="0" w:space="0" w:color="auto"/>
      </w:divBdr>
    </w:div>
    <w:div w:id="1550261103">
      <w:bodyDiv w:val="1"/>
      <w:marLeft w:val="0"/>
      <w:marRight w:val="0"/>
      <w:marTop w:val="0"/>
      <w:marBottom w:val="0"/>
      <w:divBdr>
        <w:top w:val="none" w:sz="0" w:space="0" w:color="auto"/>
        <w:left w:val="none" w:sz="0" w:space="0" w:color="auto"/>
        <w:bottom w:val="none" w:sz="0" w:space="0" w:color="auto"/>
        <w:right w:val="none" w:sz="0" w:space="0" w:color="auto"/>
      </w:divBdr>
    </w:div>
    <w:div w:id="1557397916">
      <w:bodyDiv w:val="1"/>
      <w:marLeft w:val="0"/>
      <w:marRight w:val="0"/>
      <w:marTop w:val="0"/>
      <w:marBottom w:val="0"/>
      <w:divBdr>
        <w:top w:val="none" w:sz="0" w:space="0" w:color="auto"/>
        <w:left w:val="none" w:sz="0" w:space="0" w:color="auto"/>
        <w:bottom w:val="none" w:sz="0" w:space="0" w:color="auto"/>
        <w:right w:val="none" w:sz="0" w:space="0" w:color="auto"/>
      </w:divBdr>
    </w:div>
    <w:div w:id="1564177144">
      <w:bodyDiv w:val="1"/>
      <w:marLeft w:val="0"/>
      <w:marRight w:val="0"/>
      <w:marTop w:val="0"/>
      <w:marBottom w:val="0"/>
      <w:divBdr>
        <w:top w:val="none" w:sz="0" w:space="0" w:color="auto"/>
        <w:left w:val="none" w:sz="0" w:space="0" w:color="auto"/>
        <w:bottom w:val="none" w:sz="0" w:space="0" w:color="auto"/>
        <w:right w:val="none" w:sz="0" w:space="0" w:color="auto"/>
      </w:divBdr>
    </w:div>
    <w:div w:id="1567952579">
      <w:bodyDiv w:val="1"/>
      <w:marLeft w:val="0"/>
      <w:marRight w:val="0"/>
      <w:marTop w:val="0"/>
      <w:marBottom w:val="0"/>
      <w:divBdr>
        <w:top w:val="none" w:sz="0" w:space="0" w:color="auto"/>
        <w:left w:val="none" w:sz="0" w:space="0" w:color="auto"/>
        <w:bottom w:val="none" w:sz="0" w:space="0" w:color="auto"/>
        <w:right w:val="none" w:sz="0" w:space="0" w:color="auto"/>
      </w:divBdr>
    </w:div>
    <w:div w:id="1576278195">
      <w:bodyDiv w:val="1"/>
      <w:marLeft w:val="0"/>
      <w:marRight w:val="0"/>
      <w:marTop w:val="0"/>
      <w:marBottom w:val="0"/>
      <w:divBdr>
        <w:top w:val="none" w:sz="0" w:space="0" w:color="auto"/>
        <w:left w:val="none" w:sz="0" w:space="0" w:color="auto"/>
        <w:bottom w:val="none" w:sz="0" w:space="0" w:color="auto"/>
        <w:right w:val="none" w:sz="0" w:space="0" w:color="auto"/>
      </w:divBdr>
    </w:div>
    <w:div w:id="1578705463">
      <w:bodyDiv w:val="1"/>
      <w:marLeft w:val="0"/>
      <w:marRight w:val="0"/>
      <w:marTop w:val="0"/>
      <w:marBottom w:val="0"/>
      <w:divBdr>
        <w:top w:val="none" w:sz="0" w:space="0" w:color="auto"/>
        <w:left w:val="none" w:sz="0" w:space="0" w:color="auto"/>
        <w:bottom w:val="none" w:sz="0" w:space="0" w:color="auto"/>
        <w:right w:val="none" w:sz="0" w:space="0" w:color="auto"/>
      </w:divBdr>
    </w:div>
    <w:div w:id="1580402154">
      <w:bodyDiv w:val="1"/>
      <w:marLeft w:val="0"/>
      <w:marRight w:val="0"/>
      <w:marTop w:val="0"/>
      <w:marBottom w:val="0"/>
      <w:divBdr>
        <w:top w:val="none" w:sz="0" w:space="0" w:color="auto"/>
        <w:left w:val="none" w:sz="0" w:space="0" w:color="auto"/>
        <w:bottom w:val="none" w:sz="0" w:space="0" w:color="auto"/>
        <w:right w:val="none" w:sz="0" w:space="0" w:color="auto"/>
      </w:divBdr>
    </w:div>
    <w:div w:id="1582905080">
      <w:bodyDiv w:val="1"/>
      <w:marLeft w:val="0"/>
      <w:marRight w:val="0"/>
      <w:marTop w:val="0"/>
      <w:marBottom w:val="0"/>
      <w:divBdr>
        <w:top w:val="none" w:sz="0" w:space="0" w:color="auto"/>
        <w:left w:val="none" w:sz="0" w:space="0" w:color="auto"/>
        <w:bottom w:val="none" w:sz="0" w:space="0" w:color="auto"/>
        <w:right w:val="none" w:sz="0" w:space="0" w:color="auto"/>
      </w:divBdr>
    </w:div>
    <w:div w:id="1584531759">
      <w:bodyDiv w:val="1"/>
      <w:marLeft w:val="0"/>
      <w:marRight w:val="0"/>
      <w:marTop w:val="0"/>
      <w:marBottom w:val="0"/>
      <w:divBdr>
        <w:top w:val="none" w:sz="0" w:space="0" w:color="auto"/>
        <w:left w:val="none" w:sz="0" w:space="0" w:color="auto"/>
        <w:bottom w:val="none" w:sz="0" w:space="0" w:color="auto"/>
        <w:right w:val="none" w:sz="0" w:space="0" w:color="auto"/>
      </w:divBdr>
    </w:div>
    <w:div w:id="1586256240">
      <w:bodyDiv w:val="1"/>
      <w:marLeft w:val="0"/>
      <w:marRight w:val="0"/>
      <w:marTop w:val="0"/>
      <w:marBottom w:val="0"/>
      <w:divBdr>
        <w:top w:val="none" w:sz="0" w:space="0" w:color="auto"/>
        <w:left w:val="none" w:sz="0" w:space="0" w:color="auto"/>
        <w:bottom w:val="none" w:sz="0" w:space="0" w:color="auto"/>
        <w:right w:val="none" w:sz="0" w:space="0" w:color="auto"/>
      </w:divBdr>
    </w:div>
    <w:div w:id="1595819939">
      <w:bodyDiv w:val="1"/>
      <w:marLeft w:val="0"/>
      <w:marRight w:val="0"/>
      <w:marTop w:val="0"/>
      <w:marBottom w:val="0"/>
      <w:divBdr>
        <w:top w:val="none" w:sz="0" w:space="0" w:color="auto"/>
        <w:left w:val="none" w:sz="0" w:space="0" w:color="auto"/>
        <w:bottom w:val="none" w:sz="0" w:space="0" w:color="auto"/>
        <w:right w:val="none" w:sz="0" w:space="0" w:color="auto"/>
      </w:divBdr>
    </w:div>
    <w:div w:id="1611544271">
      <w:bodyDiv w:val="1"/>
      <w:marLeft w:val="0"/>
      <w:marRight w:val="0"/>
      <w:marTop w:val="0"/>
      <w:marBottom w:val="0"/>
      <w:divBdr>
        <w:top w:val="none" w:sz="0" w:space="0" w:color="auto"/>
        <w:left w:val="none" w:sz="0" w:space="0" w:color="auto"/>
        <w:bottom w:val="none" w:sz="0" w:space="0" w:color="auto"/>
        <w:right w:val="none" w:sz="0" w:space="0" w:color="auto"/>
      </w:divBdr>
    </w:div>
    <w:div w:id="1619681891">
      <w:bodyDiv w:val="1"/>
      <w:marLeft w:val="0"/>
      <w:marRight w:val="0"/>
      <w:marTop w:val="0"/>
      <w:marBottom w:val="0"/>
      <w:divBdr>
        <w:top w:val="none" w:sz="0" w:space="0" w:color="auto"/>
        <w:left w:val="none" w:sz="0" w:space="0" w:color="auto"/>
        <w:bottom w:val="none" w:sz="0" w:space="0" w:color="auto"/>
        <w:right w:val="none" w:sz="0" w:space="0" w:color="auto"/>
      </w:divBdr>
    </w:div>
    <w:div w:id="1623345755">
      <w:bodyDiv w:val="1"/>
      <w:marLeft w:val="0"/>
      <w:marRight w:val="0"/>
      <w:marTop w:val="0"/>
      <w:marBottom w:val="0"/>
      <w:divBdr>
        <w:top w:val="none" w:sz="0" w:space="0" w:color="auto"/>
        <w:left w:val="none" w:sz="0" w:space="0" w:color="auto"/>
        <w:bottom w:val="none" w:sz="0" w:space="0" w:color="auto"/>
        <w:right w:val="none" w:sz="0" w:space="0" w:color="auto"/>
      </w:divBdr>
    </w:div>
    <w:div w:id="1630088639">
      <w:bodyDiv w:val="1"/>
      <w:marLeft w:val="0"/>
      <w:marRight w:val="0"/>
      <w:marTop w:val="0"/>
      <w:marBottom w:val="0"/>
      <w:divBdr>
        <w:top w:val="none" w:sz="0" w:space="0" w:color="auto"/>
        <w:left w:val="none" w:sz="0" w:space="0" w:color="auto"/>
        <w:bottom w:val="none" w:sz="0" w:space="0" w:color="auto"/>
        <w:right w:val="none" w:sz="0" w:space="0" w:color="auto"/>
      </w:divBdr>
    </w:div>
    <w:div w:id="1652253723">
      <w:bodyDiv w:val="1"/>
      <w:marLeft w:val="0"/>
      <w:marRight w:val="0"/>
      <w:marTop w:val="0"/>
      <w:marBottom w:val="0"/>
      <w:divBdr>
        <w:top w:val="none" w:sz="0" w:space="0" w:color="auto"/>
        <w:left w:val="none" w:sz="0" w:space="0" w:color="auto"/>
        <w:bottom w:val="none" w:sz="0" w:space="0" w:color="auto"/>
        <w:right w:val="none" w:sz="0" w:space="0" w:color="auto"/>
      </w:divBdr>
    </w:div>
    <w:div w:id="1662737603">
      <w:bodyDiv w:val="1"/>
      <w:marLeft w:val="0"/>
      <w:marRight w:val="0"/>
      <w:marTop w:val="0"/>
      <w:marBottom w:val="0"/>
      <w:divBdr>
        <w:top w:val="none" w:sz="0" w:space="0" w:color="auto"/>
        <w:left w:val="none" w:sz="0" w:space="0" w:color="auto"/>
        <w:bottom w:val="none" w:sz="0" w:space="0" w:color="auto"/>
        <w:right w:val="none" w:sz="0" w:space="0" w:color="auto"/>
      </w:divBdr>
    </w:div>
    <w:div w:id="1677414420">
      <w:bodyDiv w:val="1"/>
      <w:marLeft w:val="0"/>
      <w:marRight w:val="0"/>
      <w:marTop w:val="0"/>
      <w:marBottom w:val="0"/>
      <w:divBdr>
        <w:top w:val="none" w:sz="0" w:space="0" w:color="auto"/>
        <w:left w:val="none" w:sz="0" w:space="0" w:color="auto"/>
        <w:bottom w:val="none" w:sz="0" w:space="0" w:color="auto"/>
        <w:right w:val="none" w:sz="0" w:space="0" w:color="auto"/>
      </w:divBdr>
    </w:div>
    <w:div w:id="1695224608">
      <w:bodyDiv w:val="1"/>
      <w:marLeft w:val="0"/>
      <w:marRight w:val="0"/>
      <w:marTop w:val="0"/>
      <w:marBottom w:val="0"/>
      <w:divBdr>
        <w:top w:val="none" w:sz="0" w:space="0" w:color="auto"/>
        <w:left w:val="none" w:sz="0" w:space="0" w:color="auto"/>
        <w:bottom w:val="none" w:sz="0" w:space="0" w:color="auto"/>
        <w:right w:val="none" w:sz="0" w:space="0" w:color="auto"/>
      </w:divBdr>
    </w:div>
    <w:div w:id="1695619472">
      <w:bodyDiv w:val="1"/>
      <w:marLeft w:val="0"/>
      <w:marRight w:val="0"/>
      <w:marTop w:val="0"/>
      <w:marBottom w:val="0"/>
      <w:divBdr>
        <w:top w:val="none" w:sz="0" w:space="0" w:color="auto"/>
        <w:left w:val="none" w:sz="0" w:space="0" w:color="auto"/>
        <w:bottom w:val="none" w:sz="0" w:space="0" w:color="auto"/>
        <w:right w:val="none" w:sz="0" w:space="0" w:color="auto"/>
      </w:divBdr>
    </w:div>
    <w:div w:id="1700163014">
      <w:bodyDiv w:val="1"/>
      <w:marLeft w:val="0"/>
      <w:marRight w:val="0"/>
      <w:marTop w:val="0"/>
      <w:marBottom w:val="0"/>
      <w:divBdr>
        <w:top w:val="none" w:sz="0" w:space="0" w:color="auto"/>
        <w:left w:val="none" w:sz="0" w:space="0" w:color="auto"/>
        <w:bottom w:val="none" w:sz="0" w:space="0" w:color="auto"/>
        <w:right w:val="none" w:sz="0" w:space="0" w:color="auto"/>
      </w:divBdr>
    </w:div>
    <w:div w:id="1708722084">
      <w:bodyDiv w:val="1"/>
      <w:marLeft w:val="0"/>
      <w:marRight w:val="0"/>
      <w:marTop w:val="0"/>
      <w:marBottom w:val="0"/>
      <w:divBdr>
        <w:top w:val="none" w:sz="0" w:space="0" w:color="auto"/>
        <w:left w:val="none" w:sz="0" w:space="0" w:color="auto"/>
        <w:bottom w:val="none" w:sz="0" w:space="0" w:color="auto"/>
        <w:right w:val="none" w:sz="0" w:space="0" w:color="auto"/>
      </w:divBdr>
    </w:div>
    <w:div w:id="1726484972">
      <w:bodyDiv w:val="1"/>
      <w:marLeft w:val="0"/>
      <w:marRight w:val="0"/>
      <w:marTop w:val="0"/>
      <w:marBottom w:val="0"/>
      <w:divBdr>
        <w:top w:val="none" w:sz="0" w:space="0" w:color="auto"/>
        <w:left w:val="none" w:sz="0" w:space="0" w:color="auto"/>
        <w:bottom w:val="none" w:sz="0" w:space="0" w:color="auto"/>
        <w:right w:val="none" w:sz="0" w:space="0" w:color="auto"/>
      </w:divBdr>
    </w:div>
    <w:div w:id="1733000519">
      <w:bodyDiv w:val="1"/>
      <w:marLeft w:val="0"/>
      <w:marRight w:val="0"/>
      <w:marTop w:val="0"/>
      <w:marBottom w:val="0"/>
      <w:divBdr>
        <w:top w:val="none" w:sz="0" w:space="0" w:color="auto"/>
        <w:left w:val="none" w:sz="0" w:space="0" w:color="auto"/>
        <w:bottom w:val="none" w:sz="0" w:space="0" w:color="auto"/>
        <w:right w:val="none" w:sz="0" w:space="0" w:color="auto"/>
      </w:divBdr>
    </w:div>
    <w:div w:id="1748109843">
      <w:bodyDiv w:val="1"/>
      <w:marLeft w:val="0"/>
      <w:marRight w:val="0"/>
      <w:marTop w:val="0"/>
      <w:marBottom w:val="0"/>
      <w:divBdr>
        <w:top w:val="none" w:sz="0" w:space="0" w:color="auto"/>
        <w:left w:val="none" w:sz="0" w:space="0" w:color="auto"/>
        <w:bottom w:val="none" w:sz="0" w:space="0" w:color="auto"/>
        <w:right w:val="none" w:sz="0" w:space="0" w:color="auto"/>
      </w:divBdr>
    </w:div>
    <w:div w:id="1759716259">
      <w:bodyDiv w:val="1"/>
      <w:marLeft w:val="0"/>
      <w:marRight w:val="0"/>
      <w:marTop w:val="0"/>
      <w:marBottom w:val="0"/>
      <w:divBdr>
        <w:top w:val="none" w:sz="0" w:space="0" w:color="auto"/>
        <w:left w:val="none" w:sz="0" w:space="0" w:color="auto"/>
        <w:bottom w:val="none" w:sz="0" w:space="0" w:color="auto"/>
        <w:right w:val="none" w:sz="0" w:space="0" w:color="auto"/>
      </w:divBdr>
    </w:div>
    <w:div w:id="1759980602">
      <w:bodyDiv w:val="1"/>
      <w:marLeft w:val="0"/>
      <w:marRight w:val="0"/>
      <w:marTop w:val="0"/>
      <w:marBottom w:val="0"/>
      <w:divBdr>
        <w:top w:val="none" w:sz="0" w:space="0" w:color="auto"/>
        <w:left w:val="none" w:sz="0" w:space="0" w:color="auto"/>
        <w:bottom w:val="none" w:sz="0" w:space="0" w:color="auto"/>
        <w:right w:val="none" w:sz="0" w:space="0" w:color="auto"/>
      </w:divBdr>
    </w:div>
    <w:div w:id="1776513503">
      <w:bodyDiv w:val="1"/>
      <w:marLeft w:val="0"/>
      <w:marRight w:val="0"/>
      <w:marTop w:val="0"/>
      <w:marBottom w:val="0"/>
      <w:divBdr>
        <w:top w:val="none" w:sz="0" w:space="0" w:color="auto"/>
        <w:left w:val="none" w:sz="0" w:space="0" w:color="auto"/>
        <w:bottom w:val="none" w:sz="0" w:space="0" w:color="auto"/>
        <w:right w:val="none" w:sz="0" w:space="0" w:color="auto"/>
      </w:divBdr>
    </w:div>
    <w:div w:id="1791700848">
      <w:bodyDiv w:val="1"/>
      <w:marLeft w:val="0"/>
      <w:marRight w:val="0"/>
      <w:marTop w:val="0"/>
      <w:marBottom w:val="0"/>
      <w:divBdr>
        <w:top w:val="none" w:sz="0" w:space="0" w:color="auto"/>
        <w:left w:val="none" w:sz="0" w:space="0" w:color="auto"/>
        <w:bottom w:val="none" w:sz="0" w:space="0" w:color="auto"/>
        <w:right w:val="none" w:sz="0" w:space="0" w:color="auto"/>
      </w:divBdr>
    </w:div>
    <w:div w:id="1793356006">
      <w:bodyDiv w:val="1"/>
      <w:marLeft w:val="0"/>
      <w:marRight w:val="0"/>
      <w:marTop w:val="0"/>
      <w:marBottom w:val="0"/>
      <w:divBdr>
        <w:top w:val="none" w:sz="0" w:space="0" w:color="auto"/>
        <w:left w:val="none" w:sz="0" w:space="0" w:color="auto"/>
        <w:bottom w:val="none" w:sz="0" w:space="0" w:color="auto"/>
        <w:right w:val="none" w:sz="0" w:space="0" w:color="auto"/>
      </w:divBdr>
    </w:div>
    <w:div w:id="1800222895">
      <w:bodyDiv w:val="1"/>
      <w:marLeft w:val="0"/>
      <w:marRight w:val="0"/>
      <w:marTop w:val="0"/>
      <w:marBottom w:val="0"/>
      <w:divBdr>
        <w:top w:val="none" w:sz="0" w:space="0" w:color="auto"/>
        <w:left w:val="none" w:sz="0" w:space="0" w:color="auto"/>
        <w:bottom w:val="none" w:sz="0" w:space="0" w:color="auto"/>
        <w:right w:val="none" w:sz="0" w:space="0" w:color="auto"/>
      </w:divBdr>
    </w:div>
    <w:div w:id="1801265853">
      <w:bodyDiv w:val="1"/>
      <w:marLeft w:val="0"/>
      <w:marRight w:val="0"/>
      <w:marTop w:val="0"/>
      <w:marBottom w:val="0"/>
      <w:divBdr>
        <w:top w:val="none" w:sz="0" w:space="0" w:color="auto"/>
        <w:left w:val="none" w:sz="0" w:space="0" w:color="auto"/>
        <w:bottom w:val="none" w:sz="0" w:space="0" w:color="auto"/>
        <w:right w:val="none" w:sz="0" w:space="0" w:color="auto"/>
      </w:divBdr>
    </w:div>
    <w:div w:id="1826556157">
      <w:bodyDiv w:val="1"/>
      <w:marLeft w:val="0"/>
      <w:marRight w:val="0"/>
      <w:marTop w:val="0"/>
      <w:marBottom w:val="0"/>
      <w:divBdr>
        <w:top w:val="none" w:sz="0" w:space="0" w:color="auto"/>
        <w:left w:val="none" w:sz="0" w:space="0" w:color="auto"/>
        <w:bottom w:val="none" w:sz="0" w:space="0" w:color="auto"/>
        <w:right w:val="none" w:sz="0" w:space="0" w:color="auto"/>
      </w:divBdr>
    </w:div>
    <w:div w:id="1827090801">
      <w:bodyDiv w:val="1"/>
      <w:marLeft w:val="0"/>
      <w:marRight w:val="0"/>
      <w:marTop w:val="0"/>
      <w:marBottom w:val="0"/>
      <w:divBdr>
        <w:top w:val="none" w:sz="0" w:space="0" w:color="auto"/>
        <w:left w:val="none" w:sz="0" w:space="0" w:color="auto"/>
        <w:bottom w:val="none" w:sz="0" w:space="0" w:color="auto"/>
        <w:right w:val="none" w:sz="0" w:space="0" w:color="auto"/>
      </w:divBdr>
    </w:div>
    <w:div w:id="1835534977">
      <w:bodyDiv w:val="1"/>
      <w:marLeft w:val="0"/>
      <w:marRight w:val="0"/>
      <w:marTop w:val="0"/>
      <w:marBottom w:val="0"/>
      <w:divBdr>
        <w:top w:val="none" w:sz="0" w:space="0" w:color="auto"/>
        <w:left w:val="none" w:sz="0" w:space="0" w:color="auto"/>
        <w:bottom w:val="none" w:sz="0" w:space="0" w:color="auto"/>
        <w:right w:val="none" w:sz="0" w:space="0" w:color="auto"/>
      </w:divBdr>
    </w:div>
    <w:div w:id="1837456358">
      <w:bodyDiv w:val="1"/>
      <w:marLeft w:val="0"/>
      <w:marRight w:val="0"/>
      <w:marTop w:val="0"/>
      <w:marBottom w:val="0"/>
      <w:divBdr>
        <w:top w:val="none" w:sz="0" w:space="0" w:color="auto"/>
        <w:left w:val="none" w:sz="0" w:space="0" w:color="auto"/>
        <w:bottom w:val="none" w:sz="0" w:space="0" w:color="auto"/>
        <w:right w:val="none" w:sz="0" w:space="0" w:color="auto"/>
      </w:divBdr>
    </w:div>
    <w:div w:id="1840775856">
      <w:bodyDiv w:val="1"/>
      <w:marLeft w:val="0"/>
      <w:marRight w:val="0"/>
      <w:marTop w:val="0"/>
      <w:marBottom w:val="0"/>
      <w:divBdr>
        <w:top w:val="none" w:sz="0" w:space="0" w:color="auto"/>
        <w:left w:val="none" w:sz="0" w:space="0" w:color="auto"/>
        <w:bottom w:val="none" w:sz="0" w:space="0" w:color="auto"/>
        <w:right w:val="none" w:sz="0" w:space="0" w:color="auto"/>
      </w:divBdr>
    </w:div>
    <w:div w:id="1861238555">
      <w:bodyDiv w:val="1"/>
      <w:marLeft w:val="0"/>
      <w:marRight w:val="0"/>
      <w:marTop w:val="0"/>
      <w:marBottom w:val="0"/>
      <w:divBdr>
        <w:top w:val="none" w:sz="0" w:space="0" w:color="auto"/>
        <w:left w:val="none" w:sz="0" w:space="0" w:color="auto"/>
        <w:bottom w:val="none" w:sz="0" w:space="0" w:color="auto"/>
        <w:right w:val="none" w:sz="0" w:space="0" w:color="auto"/>
      </w:divBdr>
    </w:div>
    <w:div w:id="1880509871">
      <w:bodyDiv w:val="1"/>
      <w:marLeft w:val="0"/>
      <w:marRight w:val="0"/>
      <w:marTop w:val="0"/>
      <w:marBottom w:val="0"/>
      <w:divBdr>
        <w:top w:val="none" w:sz="0" w:space="0" w:color="auto"/>
        <w:left w:val="none" w:sz="0" w:space="0" w:color="auto"/>
        <w:bottom w:val="none" w:sz="0" w:space="0" w:color="auto"/>
        <w:right w:val="none" w:sz="0" w:space="0" w:color="auto"/>
      </w:divBdr>
    </w:div>
    <w:div w:id="1892380929">
      <w:bodyDiv w:val="1"/>
      <w:marLeft w:val="0"/>
      <w:marRight w:val="0"/>
      <w:marTop w:val="0"/>
      <w:marBottom w:val="0"/>
      <w:divBdr>
        <w:top w:val="none" w:sz="0" w:space="0" w:color="auto"/>
        <w:left w:val="none" w:sz="0" w:space="0" w:color="auto"/>
        <w:bottom w:val="none" w:sz="0" w:space="0" w:color="auto"/>
        <w:right w:val="none" w:sz="0" w:space="0" w:color="auto"/>
      </w:divBdr>
    </w:div>
    <w:div w:id="1905918129">
      <w:bodyDiv w:val="1"/>
      <w:marLeft w:val="0"/>
      <w:marRight w:val="0"/>
      <w:marTop w:val="0"/>
      <w:marBottom w:val="0"/>
      <w:divBdr>
        <w:top w:val="none" w:sz="0" w:space="0" w:color="auto"/>
        <w:left w:val="none" w:sz="0" w:space="0" w:color="auto"/>
        <w:bottom w:val="none" w:sz="0" w:space="0" w:color="auto"/>
        <w:right w:val="none" w:sz="0" w:space="0" w:color="auto"/>
      </w:divBdr>
    </w:div>
    <w:div w:id="1911841561">
      <w:bodyDiv w:val="1"/>
      <w:marLeft w:val="0"/>
      <w:marRight w:val="0"/>
      <w:marTop w:val="0"/>
      <w:marBottom w:val="0"/>
      <w:divBdr>
        <w:top w:val="none" w:sz="0" w:space="0" w:color="auto"/>
        <w:left w:val="none" w:sz="0" w:space="0" w:color="auto"/>
        <w:bottom w:val="none" w:sz="0" w:space="0" w:color="auto"/>
        <w:right w:val="none" w:sz="0" w:space="0" w:color="auto"/>
      </w:divBdr>
    </w:div>
    <w:div w:id="1919707868">
      <w:bodyDiv w:val="1"/>
      <w:marLeft w:val="0"/>
      <w:marRight w:val="0"/>
      <w:marTop w:val="0"/>
      <w:marBottom w:val="0"/>
      <w:divBdr>
        <w:top w:val="none" w:sz="0" w:space="0" w:color="auto"/>
        <w:left w:val="none" w:sz="0" w:space="0" w:color="auto"/>
        <w:bottom w:val="none" w:sz="0" w:space="0" w:color="auto"/>
        <w:right w:val="none" w:sz="0" w:space="0" w:color="auto"/>
      </w:divBdr>
    </w:div>
    <w:div w:id="1922524721">
      <w:bodyDiv w:val="1"/>
      <w:marLeft w:val="0"/>
      <w:marRight w:val="0"/>
      <w:marTop w:val="0"/>
      <w:marBottom w:val="0"/>
      <w:divBdr>
        <w:top w:val="none" w:sz="0" w:space="0" w:color="auto"/>
        <w:left w:val="none" w:sz="0" w:space="0" w:color="auto"/>
        <w:bottom w:val="none" w:sz="0" w:space="0" w:color="auto"/>
        <w:right w:val="none" w:sz="0" w:space="0" w:color="auto"/>
      </w:divBdr>
    </w:div>
    <w:div w:id="1929149466">
      <w:bodyDiv w:val="1"/>
      <w:marLeft w:val="0"/>
      <w:marRight w:val="0"/>
      <w:marTop w:val="0"/>
      <w:marBottom w:val="0"/>
      <w:divBdr>
        <w:top w:val="none" w:sz="0" w:space="0" w:color="auto"/>
        <w:left w:val="none" w:sz="0" w:space="0" w:color="auto"/>
        <w:bottom w:val="none" w:sz="0" w:space="0" w:color="auto"/>
        <w:right w:val="none" w:sz="0" w:space="0" w:color="auto"/>
      </w:divBdr>
    </w:div>
    <w:div w:id="1929384632">
      <w:bodyDiv w:val="1"/>
      <w:marLeft w:val="0"/>
      <w:marRight w:val="0"/>
      <w:marTop w:val="0"/>
      <w:marBottom w:val="0"/>
      <w:divBdr>
        <w:top w:val="none" w:sz="0" w:space="0" w:color="auto"/>
        <w:left w:val="none" w:sz="0" w:space="0" w:color="auto"/>
        <w:bottom w:val="none" w:sz="0" w:space="0" w:color="auto"/>
        <w:right w:val="none" w:sz="0" w:space="0" w:color="auto"/>
      </w:divBdr>
    </w:div>
    <w:div w:id="1941793296">
      <w:bodyDiv w:val="1"/>
      <w:marLeft w:val="0"/>
      <w:marRight w:val="0"/>
      <w:marTop w:val="0"/>
      <w:marBottom w:val="0"/>
      <w:divBdr>
        <w:top w:val="none" w:sz="0" w:space="0" w:color="auto"/>
        <w:left w:val="none" w:sz="0" w:space="0" w:color="auto"/>
        <w:bottom w:val="none" w:sz="0" w:space="0" w:color="auto"/>
        <w:right w:val="none" w:sz="0" w:space="0" w:color="auto"/>
      </w:divBdr>
    </w:div>
    <w:div w:id="1960145485">
      <w:bodyDiv w:val="1"/>
      <w:marLeft w:val="0"/>
      <w:marRight w:val="0"/>
      <w:marTop w:val="0"/>
      <w:marBottom w:val="0"/>
      <w:divBdr>
        <w:top w:val="none" w:sz="0" w:space="0" w:color="auto"/>
        <w:left w:val="none" w:sz="0" w:space="0" w:color="auto"/>
        <w:bottom w:val="none" w:sz="0" w:space="0" w:color="auto"/>
        <w:right w:val="none" w:sz="0" w:space="0" w:color="auto"/>
      </w:divBdr>
    </w:div>
    <w:div w:id="1962757141">
      <w:bodyDiv w:val="1"/>
      <w:marLeft w:val="0"/>
      <w:marRight w:val="0"/>
      <w:marTop w:val="0"/>
      <w:marBottom w:val="0"/>
      <w:divBdr>
        <w:top w:val="none" w:sz="0" w:space="0" w:color="auto"/>
        <w:left w:val="none" w:sz="0" w:space="0" w:color="auto"/>
        <w:bottom w:val="none" w:sz="0" w:space="0" w:color="auto"/>
        <w:right w:val="none" w:sz="0" w:space="0" w:color="auto"/>
      </w:divBdr>
    </w:div>
    <w:div w:id="1980914352">
      <w:bodyDiv w:val="1"/>
      <w:marLeft w:val="0"/>
      <w:marRight w:val="0"/>
      <w:marTop w:val="0"/>
      <w:marBottom w:val="0"/>
      <w:divBdr>
        <w:top w:val="none" w:sz="0" w:space="0" w:color="auto"/>
        <w:left w:val="none" w:sz="0" w:space="0" w:color="auto"/>
        <w:bottom w:val="none" w:sz="0" w:space="0" w:color="auto"/>
        <w:right w:val="none" w:sz="0" w:space="0" w:color="auto"/>
      </w:divBdr>
    </w:div>
    <w:div w:id="1995327662">
      <w:bodyDiv w:val="1"/>
      <w:marLeft w:val="0"/>
      <w:marRight w:val="0"/>
      <w:marTop w:val="0"/>
      <w:marBottom w:val="0"/>
      <w:divBdr>
        <w:top w:val="none" w:sz="0" w:space="0" w:color="auto"/>
        <w:left w:val="none" w:sz="0" w:space="0" w:color="auto"/>
        <w:bottom w:val="none" w:sz="0" w:space="0" w:color="auto"/>
        <w:right w:val="none" w:sz="0" w:space="0" w:color="auto"/>
      </w:divBdr>
    </w:div>
    <w:div w:id="2003435889">
      <w:bodyDiv w:val="1"/>
      <w:marLeft w:val="0"/>
      <w:marRight w:val="0"/>
      <w:marTop w:val="0"/>
      <w:marBottom w:val="0"/>
      <w:divBdr>
        <w:top w:val="none" w:sz="0" w:space="0" w:color="auto"/>
        <w:left w:val="none" w:sz="0" w:space="0" w:color="auto"/>
        <w:bottom w:val="none" w:sz="0" w:space="0" w:color="auto"/>
        <w:right w:val="none" w:sz="0" w:space="0" w:color="auto"/>
      </w:divBdr>
    </w:div>
    <w:div w:id="2012642040">
      <w:bodyDiv w:val="1"/>
      <w:marLeft w:val="0"/>
      <w:marRight w:val="0"/>
      <w:marTop w:val="0"/>
      <w:marBottom w:val="0"/>
      <w:divBdr>
        <w:top w:val="none" w:sz="0" w:space="0" w:color="auto"/>
        <w:left w:val="none" w:sz="0" w:space="0" w:color="auto"/>
        <w:bottom w:val="none" w:sz="0" w:space="0" w:color="auto"/>
        <w:right w:val="none" w:sz="0" w:space="0" w:color="auto"/>
      </w:divBdr>
    </w:div>
    <w:div w:id="2032992638">
      <w:bodyDiv w:val="1"/>
      <w:marLeft w:val="0"/>
      <w:marRight w:val="0"/>
      <w:marTop w:val="0"/>
      <w:marBottom w:val="0"/>
      <w:divBdr>
        <w:top w:val="none" w:sz="0" w:space="0" w:color="auto"/>
        <w:left w:val="none" w:sz="0" w:space="0" w:color="auto"/>
        <w:bottom w:val="none" w:sz="0" w:space="0" w:color="auto"/>
        <w:right w:val="none" w:sz="0" w:space="0" w:color="auto"/>
      </w:divBdr>
    </w:div>
    <w:div w:id="2037732155">
      <w:bodyDiv w:val="1"/>
      <w:marLeft w:val="0"/>
      <w:marRight w:val="0"/>
      <w:marTop w:val="0"/>
      <w:marBottom w:val="0"/>
      <w:divBdr>
        <w:top w:val="none" w:sz="0" w:space="0" w:color="auto"/>
        <w:left w:val="none" w:sz="0" w:space="0" w:color="auto"/>
        <w:bottom w:val="none" w:sz="0" w:space="0" w:color="auto"/>
        <w:right w:val="none" w:sz="0" w:space="0" w:color="auto"/>
      </w:divBdr>
    </w:div>
    <w:div w:id="2040889062">
      <w:bodyDiv w:val="1"/>
      <w:marLeft w:val="0"/>
      <w:marRight w:val="0"/>
      <w:marTop w:val="0"/>
      <w:marBottom w:val="0"/>
      <w:divBdr>
        <w:top w:val="none" w:sz="0" w:space="0" w:color="auto"/>
        <w:left w:val="none" w:sz="0" w:space="0" w:color="auto"/>
        <w:bottom w:val="none" w:sz="0" w:space="0" w:color="auto"/>
        <w:right w:val="none" w:sz="0" w:space="0" w:color="auto"/>
      </w:divBdr>
    </w:div>
    <w:div w:id="2052996787">
      <w:bodyDiv w:val="1"/>
      <w:marLeft w:val="0"/>
      <w:marRight w:val="0"/>
      <w:marTop w:val="0"/>
      <w:marBottom w:val="0"/>
      <w:divBdr>
        <w:top w:val="none" w:sz="0" w:space="0" w:color="auto"/>
        <w:left w:val="none" w:sz="0" w:space="0" w:color="auto"/>
        <w:bottom w:val="none" w:sz="0" w:space="0" w:color="auto"/>
        <w:right w:val="none" w:sz="0" w:space="0" w:color="auto"/>
      </w:divBdr>
    </w:div>
    <w:div w:id="2054382078">
      <w:bodyDiv w:val="1"/>
      <w:marLeft w:val="0"/>
      <w:marRight w:val="0"/>
      <w:marTop w:val="0"/>
      <w:marBottom w:val="0"/>
      <w:divBdr>
        <w:top w:val="none" w:sz="0" w:space="0" w:color="auto"/>
        <w:left w:val="none" w:sz="0" w:space="0" w:color="auto"/>
        <w:bottom w:val="none" w:sz="0" w:space="0" w:color="auto"/>
        <w:right w:val="none" w:sz="0" w:space="0" w:color="auto"/>
      </w:divBdr>
    </w:div>
    <w:div w:id="2056276118">
      <w:bodyDiv w:val="1"/>
      <w:marLeft w:val="0"/>
      <w:marRight w:val="0"/>
      <w:marTop w:val="0"/>
      <w:marBottom w:val="0"/>
      <w:divBdr>
        <w:top w:val="none" w:sz="0" w:space="0" w:color="auto"/>
        <w:left w:val="none" w:sz="0" w:space="0" w:color="auto"/>
        <w:bottom w:val="none" w:sz="0" w:space="0" w:color="auto"/>
        <w:right w:val="none" w:sz="0" w:space="0" w:color="auto"/>
      </w:divBdr>
    </w:div>
    <w:div w:id="2062164726">
      <w:bodyDiv w:val="1"/>
      <w:marLeft w:val="0"/>
      <w:marRight w:val="0"/>
      <w:marTop w:val="0"/>
      <w:marBottom w:val="0"/>
      <w:divBdr>
        <w:top w:val="none" w:sz="0" w:space="0" w:color="auto"/>
        <w:left w:val="none" w:sz="0" w:space="0" w:color="auto"/>
        <w:bottom w:val="none" w:sz="0" w:space="0" w:color="auto"/>
        <w:right w:val="none" w:sz="0" w:space="0" w:color="auto"/>
      </w:divBdr>
    </w:div>
    <w:div w:id="2068911596">
      <w:bodyDiv w:val="1"/>
      <w:marLeft w:val="0"/>
      <w:marRight w:val="0"/>
      <w:marTop w:val="0"/>
      <w:marBottom w:val="0"/>
      <w:divBdr>
        <w:top w:val="none" w:sz="0" w:space="0" w:color="auto"/>
        <w:left w:val="none" w:sz="0" w:space="0" w:color="auto"/>
        <w:bottom w:val="none" w:sz="0" w:space="0" w:color="auto"/>
        <w:right w:val="none" w:sz="0" w:space="0" w:color="auto"/>
      </w:divBdr>
    </w:div>
    <w:div w:id="2071951587">
      <w:bodyDiv w:val="1"/>
      <w:marLeft w:val="0"/>
      <w:marRight w:val="0"/>
      <w:marTop w:val="0"/>
      <w:marBottom w:val="0"/>
      <w:divBdr>
        <w:top w:val="none" w:sz="0" w:space="0" w:color="auto"/>
        <w:left w:val="none" w:sz="0" w:space="0" w:color="auto"/>
        <w:bottom w:val="none" w:sz="0" w:space="0" w:color="auto"/>
        <w:right w:val="none" w:sz="0" w:space="0" w:color="auto"/>
      </w:divBdr>
    </w:div>
    <w:div w:id="2077512034">
      <w:bodyDiv w:val="1"/>
      <w:marLeft w:val="0"/>
      <w:marRight w:val="0"/>
      <w:marTop w:val="0"/>
      <w:marBottom w:val="0"/>
      <w:divBdr>
        <w:top w:val="none" w:sz="0" w:space="0" w:color="auto"/>
        <w:left w:val="none" w:sz="0" w:space="0" w:color="auto"/>
        <w:bottom w:val="none" w:sz="0" w:space="0" w:color="auto"/>
        <w:right w:val="none" w:sz="0" w:space="0" w:color="auto"/>
      </w:divBdr>
    </w:div>
    <w:div w:id="2079938806">
      <w:bodyDiv w:val="1"/>
      <w:marLeft w:val="0"/>
      <w:marRight w:val="0"/>
      <w:marTop w:val="0"/>
      <w:marBottom w:val="0"/>
      <w:divBdr>
        <w:top w:val="none" w:sz="0" w:space="0" w:color="auto"/>
        <w:left w:val="none" w:sz="0" w:space="0" w:color="auto"/>
        <w:bottom w:val="none" w:sz="0" w:space="0" w:color="auto"/>
        <w:right w:val="none" w:sz="0" w:space="0" w:color="auto"/>
      </w:divBdr>
    </w:div>
    <w:div w:id="2093306563">
      <w:bodyDiv w:val="1"/>
      <w:marLeft w:val="0"/>
      <w:marRight w:val="0"/>
      <w:marTop w:val="0"/>
      <w:marBottom w:val="0"/>
      <w:divBdr>
        <w:top w:val="none" w:sz="0" w:space="0" w:color="auto"/>
        <w:left w:val="none" w:sz="0" w:space="0" w:color="auto"/>
        <w:bottom w:val="none" w:sz="0" w:space="0" w:color="auto"/>
        <w:right w:val="none" w:sz="0" w:space="0" w:color="auto"/>
      </w:divBdr>
    </w:div>
    <w:div w:id="2097287854">
      <w:bodyDiv w:val="1"/>
      <w:marLeft w:val="0"/>
      <w:marRight w:val="0"/>
      <w:marTop w:val="0"/>
      <w:marBottom w:val="0"/>
      <w:divBdr>
        <w:top w:val="none" w:sz="0" w:space="0" w:color="auto"/>
        <w:left w:val="none" w:sz="0" w:space="0" w:color="auto"/>
        <w:bottom w:val="none" w:sz="0" w:space="0" w:color="auto"/>
        <w:right w:val="none" w:sz="0" w:space="0" w:color="auto"/>
      </w:divBdr>
    </w:div>
    <w:div w:id="2105030453">
      <w:bodyDiv w:val="1"/>
      <w:marLeft w:val="0"/>
      <w:marRight w:val="0"/>
      <w:marTop w:val="0"/>
      <w:marBottom w:val="0"/>
      <w:divBdr>
        <w:top w:val="none" w:sz="0" w:space="0" w:color="auto"/>
        <w:left w:val="none" w:sz="0" w:space="0" w:color="auto"/>
        <w:bottom w:val="none" w:sz="0" w:space="0" w:color="auto"/>
        <w:right w:val="none" w:sz="0" w:space="0" w:color="auto"/>
      </w:divBdr>
    </w:div>
    <w:div w:id="2105299789">
      <w:bodyDiv w:val="1"/>
      <w:marLeft w:val="0"/>
      <w:marRight w:val="0"/>
      <w:marTop w:val="0"/>
      <w:marBottom w:val="0"/>
      <w:divBdr>
        <w:top w:val="none" w:sz="0" w:space="0" w:color="auto"/>
        <w:left w:val="none" w:sz="0" w:space="0" w:color="auto"/>
        <w:bottom w:val="none" w:sz="0" w:space="0" w:color="auto"/>
        <w:right w:val="none" w:sz="0" w:space="0" w:color="auto"/>
      </w:divBdr>
    </w:div>
    <w:div w:id="2112506700">
      <w:bodyDiv w:val="1"/>
      <w:marLeft w:val="0"/>
      <w:marRight w:val="0"/>
      <w:marTop w:val="0"/>
      <w:marBottom w:val="0"/>
      <w:divBdr>
        <w:top w:val="none" w:sz="0" w:space="0" w:color="auto"/>
        <w:left w:val="none" w:sz="0" w:space="0" w:color="auto"/>
        <w:bottom w:val="none" w:sz="0" w:space="0" w:color="auto"/>
        <w:right w:val="none" w:sz="0" w:space="0" w:color="auto"/>
      </w:divBdr>
    </w:div>
    <w:div w:id="2124569015">
      <w:bodyDiv w:val="1"/>
      <w:marLeft w:val="0"/>
      <w:marRight w:val="0"/>
      <w:marTop w:val="0"/>
      <w:marBottom w:val="0"/>
      <w:divBdr>
        <w:top w:val="none" w:sz="0" w:space="0" w:color="auto"/>
        <w:left w:val="none" w:sz="0" w:space="0" w:color="auto"/>
        <w:bottom w:val="none" w:sz="0" w:space="0" w:color="auto"/>
        <w:right w:val="none" w:sz="0" w:space="0" w:color="auto"/>
      </w:divBdr>
      <w:divsChild>
        <w:div w:id="222562980">
          <w:marLeft w:val="0"/>
          <w:marRight w:val="0"/>
          <w:marTop w:val="0"/>
          <w:marBottom w:val="0"/>
          <w:divBdr>
            <w:top w:val="none" w:sz="0" w:space="0" w:color="auto"/>
            <w:left w:val="none" w:sz="0" w:space="0" w:color="auto"/>
            <w:bottom w:val="none" w:sz="0" w:space="0" w:color="auto"/>
            <w:right w:val="none" w:sz="0" w:space="0" w:color="auto"/>
          </w:divBdr>
        </w:div>
        <w:div w:id="232274700">
          <w:marLeft w:val="0"/>
          <w:marRight w:val="0"/>
          <w:marTop w:val="0"/>
          <w:marBottom w:val="0"/>
          <w:divBdr>
            <w:top w:val="none" w:sz="0" w:space="0" w:color="auto"/>
            <w:left w:val="none" w:sz="0" w:space="0" w:color="auto"/>
            <w:bottom w:val="none" w:sz="0" w:space="0" w:color="auto"/>
            <w:right w:val="none" w:sz="0" w:space="0" w:color="auto"/>
          </w:divBdr>
        </w:div>
        <w:div w:id="243150867">
          <w:marLeft w:val="0"/>
          <w:marRight w:val="0"/>
          <w:marTop w:val="0"/>
          <w:marBottom w:val="0"/>
          <w:divBdr>
            <w:top w:val="none" w:sz="0" w:space="0" w:color="auto"/>
            <w:left w:val="none" w:sz="0" w:space="0" w:color="auto"/>
            <w:bottom w:val="none" w:sz="0" w:space="0" w:color="auto"/>
            <w:right w:val="none" w:sz="0" w:space="0" w:color="auto"/>
          </w:divBdr>
        </w:div>
        <w:div w:id="284434205">
          <w:marLeft w:val="0"/>
          <w:marRight w:val="0"/>
          <w:marTop w:val="0"/>
          <w:marBottom w:val="0"/>
          <w:divBdr>
            <w:top w:val="none" w:sz="0" w:space="0" w:color="auto"/>
            <w:left w:val="none" w:sz="0" w:space="0" w:color="auto"/>
            <w:bottom w:val="none" w:sz="0" w:space="0" w:color="auto"/>
            <w:right w:val="none" w:sz="0" w:space="0" w:color="auto"/>
          </w:divBdr>
        </w:div>
        <w:div w:id="1034960774">
          <w:marLeft w:val="0"/>
          <w:marRight w:val="0"/>
          <w:marTop w:val="0"/>
          <w:marBottom w:val="0"/>
          <w:divBdr>
            <w:top w:val="none" w:sz="0" w:space="0" w:color="auto"/>
            <w:left w:val="none" w:sz="0" w:space="0" w:color="auto"/>
            <w:bottom w:val="none" w:sz="0" w:space="0" w:color="auto"/>
            <w:right w:val="none" w:sz="0" w:space="0" w:color="auto"/>
          </w:divBdr>
        </w:div>
        <w:div w:id="1268848465">
          <w:marLeft w:val="0"/>
          <w:marRight w:val="0"/>
          <w:marTop w:val="0"/>
          <w:marBottom w:val="0"/>
          <w:divBdr>
            <w:top w:val="none" w:sz="0" w:space="0" w:color="auto"/>
            <w:left w:val="none" w:sz="0" w:space="0" w:color="auto"/>
            <w:bottom w:val="none" w:sz="0" w:space="0" w:color="auto"/>
            <w:right w:val="none" w:sz="0" w:space="0" w:color="auto"/>
          </w:divBdr>
        </w:div>
        <w:div w:id="1272014255">
          <w:marLeft w:val="0"/>
          <w:marRight w:val="0"/>
          <w:marTop w:val="0"/>
          <w:marBottom w:val="0"/>
          <w:divBdr>
            <w:top w:val="none" w:sz="0" w:space="0" w:color="auto"/>
            <w:left w:val="none" w:sz="0" w:space="0" w:color="auto"/>
            <w:bottom w:val="none" w:sz="0" w:space="0" w:color="auto"/>
            <w:right w:val="none" w:sz="0" w:space="0" w:color="auto"/>
          </w:divBdr>
        </w:div>
        <w:div w:id="1300112120">
          <w:marLeft w:val="0"/>
          <w:marRight w:val="0"/>
          <w:marTop w:val="0"/>
          <w:marBottom w:val="0"/>
          <w:divBdr>
            <w:top w:val="none" w:sz="0" w:space="0" w:color="auto"/>
            <w:left w:val="none" w:sz="0" w:space="0" w:color="auto"/>
            <w:bottom w:val="none" w:sz="0" w:space="0" w:color="auto"/>
            <w:right w:val="none" w:sz="0" w:space="0" w:color="auto"/>
          </w:divBdr>
        </w:div>
        <w:div w:id="1758479355">
          <w:marLeft w:val="0"/>
          <w:marRight w:val="0"/>
          <w:marTop w:val="0"/>
          <w:marBottom w:val="0"/>
          <w:divBdr>
            <w:top w:val="none" w:sz="0" w:space="0" w:color="auto"/>
            <w:left w:val="none" w:sz="0" w:space="0" w:color="auto"/>
            <w:bottom w:val="none" w:sz="0" w:space="0" w:color="auto"/>
            <w:right w:val="none" w:sz="0" w:space="0" w:color="auto"/>
          </w:divBdr>
        </w:div>
        <w:div w:id="2053730374">
          <w:marLeft w:val="0"/>
          <w:marRight w:val="0"/>
          <w:marTop w:val="0"/>
          <w:marBottom w:val="0"/>
          <w:divBdr>
            <w:top w:val="none" w:sz="0" w:space="0" w:color="auto"/>
            <w:left w:val="none" w:sz="0" w:space="0" w:color="auto"/>
            <w:bottom w:val="none" w:sz="0" w:space="0" w:color="auto"/>
            <w:right w:val="none" w:sz="0" w:space="0" w:color="auto"/>
          </w:divBdr>
        </w:div>
      </w:divsChild>
    </w:div>
    <w:div w:id="2139374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Nat21</b:Tag>
    <b:SourceType>Report</b:SourceType>
    <b:Guid>{103F59E5-5668-4B4D-934A-07A8B6EFA140}</b:Guid>
    <b:Title>National Strategic Assessment of Serious and Organised Crime </b:Title>
    <b:Year>2021</b:Year>
    <b:Author>
      <b:Author>
        <b:Corporate>National Crime Agency</b:Corporate>
      </b:Author>
    </b:Author>
    <b:RefOrder>1</b:RefOrder>
  </b:Source>
  <b:Source>
    <b:Tag>Sou21</b:Tag>
    <b:SourceType>Report</b:SourceType>
    <b:Guid>{8CCBEDE6-B1BD-4480-BF7A-B1E7FC7F4C58}</b:Guid>
    <b:Author>
      <b:Author>
        <b:Corporate>South Wales Police</b:Corporate>
      </b:Author>
    </b:Author>
    <b:Title>Drugs Market Profile </b:Title>
    <b:Year>2021</b:Year>
    <b:Publisher>South Wales Police</b:Publisher>
    <b:City>Bridgend</b:City>
    <b:RefOrder>3</b:RefOrder>
  </b:Source>
  <b:Source>
    <b:Tag>Wel19</b:Tag>
    <b:SourceType>Report</b:SourceType>
    <b:Guid>{77864CB0-30F5-4723-B7B8-C1A87E65BA8A}</b:Guid>
    <b:Author>
      <b:Author>
        <b:Corporate>Welsh Government</b:Corporate>
      </b:Author>
    </b:Author>
    <b:Title>Substance Misuse Delivery Plan 2019-2022</b:Title>
    <b:Year>2021</b:Year>
    <b:Publisher>OGL</b:Publisher>
    <b:City>Cardiff</b:City>
    <b:RefOrder>5</b:RefOrder>
  </b:Source>
  <b:Source>
    <b:Tag>HMG21</b:Tag>
    <b:SourceType>Report</b:SourceType>
    <b:Guid>{AC1D5784-E79A-4DC2-BA1E-E41AEB13E6EC}</b:Guid>
    <b:Title>Grom Harm to Hope; A 10-year drugs plan to cut crime and save lives</b:Title>
    <b:Year>2021</b:Year>
    <b:City>London</b:City>
    <b:Publisher>HM Government</b:Publisher>
    <b:Author>
      <b:Author>
        <b:Corporate>HM Government</b:Corporate>
      </b:Author>
    </b:Author>
    <b:RefOrder>4</b:RefOrder>
  </b:Source>
  <b:Source>
    <b:Tag>Adv15</b:Tag>
    <b:SourceType>Report</b:SourceType>
    <b:Guid>{A86E564C-C4CE-467A-9AA2-A53DC92CF159}</b:Guid>
    <b:Author>
      <b:Author>
        <b:Corporate>Advisory Council on the Misuse of Drugs</b:Corporate>
      </b:Author>
    </b:Author>
    <b:Title>ACMD Inquiry on diversion and illicit supply of medicines</b:Title>
    <b:Year>2015</b:Year>
    <b:Publisher>Home Office</b:Publisher>
    <b:City>London</b:City>
    <b:RefOrder>6</b:RefOrder>
  </b:Source>
  <b:Source>
    <b:Tag>Cor07</b:Tag>
    <b:SourceType>Report</b:SourceType>
    <b:Guid>{AFC9AAEE-73C9-42D7-8AAF-30A774DC8F5C}</b:Guid>
    <b:Title>The Corston Report</b:Title>
    <b:Year>2007</b:Year>
    <b:Publisher>Home Office</b:Publisher>
    <b:City>London</b:City>
    <b:Author>
      <b:Author>
        <b:NameList>
          <b:Person>
            <b:Last>Corston</b:Last>
            <b:First>Jean</b:First>
          </b:Person>
        </b:NameList>
      </b:Author>
    </b:Author>
    <b:RefOrder>30</b:RefOrder>
  </b:Source>
  <b:Source>
    <b:Tag>Min15</b:Tag>
    <b:SourceType>Report</b:SourceType>
    <b:Guid>{0AD13935-5CAD-4979-9D5F-C3067BA2ACAC}</b:Guid>
    <b:Author>
      <b:Author>
        <b:Corporate>Ministry of Justice</b:Corporate>
      </b:Author>
    </b:Author>
    <b:Title>Female Offending Blueprint for Wales</b:Title>
    <b:Year>2015</b:Year>
    <b:Publisher>Ministry of Justice</b:Publisher>
    <b:City>London</b:City>
    <b:RefOrder>31</b:RefOrder>
  </b:Source>
  <b:Source>
    <b:Tag>Bel21</b:Tag>
    <b:SourceType>JournalArticle</b:SourceType>
    <b:Guid>{77E5F56F-B042-4B1E-98B1-3ECD34A38A78}</b:Guid>
    <b:Title>Next-Generation Policing Research: Three Propositions</b:Title>
    <b:Year>2021</b:Year>
    <b:JournalName>The Journal of Economic Perspectives </b:JournalName>
    <b:Pages>29-48</b:Pages>
    <b:Volume>35</b:Volume>
    <b:Issue>4</b:Issue>
    <b:Author>
      <b:Author>
        <b:NameList>
          <b:Person>
            <b:Last>Bell</b:Last>
            <b:Middle>C</b:Middle>
            <b:First>Monica</b:First>
          </b:Person>
        </b:NameList>
      </b:Author>
    </b:Author>
    <b:RefOrder>9</b:RefOrder>
  </b:Source>
  <b:Source>
    <b:Tag>Asa18</b:Tag>
    <b:SourceType>JournalArticle</b:SourceType>
    <b:Guid>{904241A3-12AC-4F6A-BC8A-C765784CA557}</b:Guid>
    <b:Title>Racialized Legal Status as a Social Determinant of Health</b:Title>
    <b:JournalName>Social Science and Medicine</b:JournalName>
    <b:Year>2018</b:Year>
    <b:Pages>19-28</b:Pages>
    <b:Volume>199</b:Volume>
    <b:Author>
      <b:Author>
        <b:NameList>
          <b:Person>
            <b:Last>Asad</b:Last>
          </b:Person>
          <b:Person>
            <b:Last>Asad</b:Last>
            <b:First>L</b:First>
          </b:Person>
          <b:Person>
            <b:Last>Clair</b:Last>
            <b:First>M</b:First>
          </b:Person>
        </b:NameList>
      </b:Author>
    </b:Author>
    <b:RefOrder>10</b:RefOrder>
  </b:Source>
  <b:Source>
    <b:Tag>Woo20</b:Tag>
    <b:SourceType>JournalArticle</b:SourceType>
    <b:Guid>{DF424039-6D0E-4E04-B6E8-81D05C398A90}</b:Guid>
    <b:Title>Private Policing and Public Health: A Neglected Relationship</b:Title>
    <b:JournalName>Journal of Contemporary Criminal Justice</b:JournalName>
    <b:Year>2020</b:Year>
    <b:Pages>19-38</b:Pages>
    <b:Volume>36</b:Volume>
    <b:Issue>1</b:Issue>
    <b:Author>
      <b:Author>
        <b:NameList>
          <b:Person>
            <b:Last>Wood</b:Last>
            <b:Middle>D</b:Middle>
            <b:First>Jennifer</b:First>
          </b:Person>
        </b:NameList>
      </b:Author>
    </b:Author>
    <b:RefOrder>11</b:RefOrder>
  </b:Source>
  <b:Source>
    <b:Tag>Cro12</b:Tag>
    <b:SourceType>JournalArticle</b:SourceType>
    <b:Guid>{957E3280-DCE0-4BB9-8BA4-C5FDEB942248}</b:Guid>
    <b:Title>The importance of law enforcement in promoting and protecting the public health</b:Title>
    <b:JournalName>Australasian Policing: A Journal of Professional Practice</b:JournalName>
    <b:Year>2012</b:Year>
    <b:Pages>3-4</b:Pages>
    <b:Volume>4</b:Volume>
    <b:Issue>1</b:Issue>
    <b:Author>
      <b:Author>
        <b:NameList>
          <b:Person>
            <b:Last>Crofts</b:Last>
            <b:First>N</b:First>
          </b:Person>
          <b:Person>
            <b:Last>James</b:Last>
            <b:First>S</b:First>
          </b:Person>
          <b:Person>
            <b:Last>Herrington </b:Last>
            <b:First>V</b:First>
          </b:Person>
          <b:Person>
            <b:Last>Thompson</b:Last>
            <b:First>N</b:First>
          </b:Person>
        </b:NameList>
      </b:Author>
    </b:Author>
    <b:RefOrder>8</b:RefOrder>
  </b:Source>
  <b:Source>
    <b:Tag>And17</b:Tag>
    <b:SourceType>JournalArticle</b:SourceType>
    <b:Guid>{DA8D556B-93E2-43FF-8270-85D3803E1373}</b:Guid>
    <b:Title>Policing and public health: Not quite the analogy</b:Title>
    <b:JournalName>Policing and Society</b:JournalName>
    <b:Year>2017</b:Year>
    <b:Pages>300-313</b:Pages>
    <b:Volume>27</b:Volume>
    <b:Issue>3</b:Issue>
    <b:Author>
      <b:Author>
        <b:NameList>
          <b:Person>
            <b:Last>Anderson</b:Last>
            <b:First>E</b:First>
          </b:Person>
          <b:Person>
            <b:Last>Burris</b:Last>
            <b:First>S</b:First>
          </b:Person>
        </b:NameList>
      </b:Author>
    </b:Author>
    <b:RefOrder>12</b:RefOrder>
  </b:Source>
  <b:Source>
    <b:Tag>Pla18</b:Tag>
    <b:SourceType>JournalArticle</b:SourceType>
    <b:Guid>{E400B12B-E760-429E-8651-E7D399CCC548}</b:Guid>
    <b:Title>Associations between sex work laws and sex workers' health: A systematic review and meta-analysis of quantitative and qualitative studies</b:Title>
    <b:JournalName>PLOS Medicine</b:JournalName>
    <b:Year>2018</b:Year>
    <b:Volume>15</b:Volume>
    <b:Issue>e1002680</b:Issue>
    <b:Author>
      <b:Author>
        <b:NameList>
          <b:Person>
            <b:Last>Platt</b:Last>
            <b:First>L</b:First>
          </b:Person>
          <b:Person>
            <b:Last>Grenfell</b:Last>
            <b:First>P</b:First>
          </b:Person>
          <b:Person>
            <b:Last>Meiksin</b:Last>
            <b:First>R</b:First>
          </b:Person>
          <b:Person>
            <b:Last>Elmes</b:Last>
            <b:First>J</b:First>
          </b:Person>
          <b:Person>
            <b:Last>Sherman</b:Last>
            <b:Middle>J</b:Middle>
            <b:First>S</b:First>
          </b:Person>
          <b:Person>
            <b:Last>Sanders</b:Last>
            <b:First>T</b:First>
          </b:Person>
          <b:Person>
            <b:Last>Mwangi</b:Last>
            <b:First>P</b:First>
          </b:Person>
          <b:Person>
            <b:Last>Crago</b:Last>
            <b:First>A</b:First>
          </b:Person>
        </b:NameList>
      </b:Author>
    </b:Author>
    <b:RefOrder>32</b:RefOrder>
  </b:Source>
  <b:Source>
    <b:Tag>Mah99</b:Tag>
    <b:SourceType>JournalArticle</b:SourceType>
    <b:Guid>{4BB54F0E-8A2A-4AA8-A9D5-96F2846A9B3C}</b:Guid>
    <b:Title>Policing and public health: Law enforcement and harm minimalization in a street-level drug market</b:Title>
    <b:JournalName>The British Journal of Criminology</b:JournalName>
    <b:Year>1999</b:Year>
    <b:Pages>488-512</b:Pages>
    <b:Volume>39</b:Volume>
    <b:Issue>4</b:Issue>
    <b:Author>
      <b:Author>
        <b:NameList>
          <b:Person>
            <b:Last>Maher</b:Last>
            <b:First>L</b:First>
          </b:Person>
          <b:Person>
            <b:Last>Dixon</b:Last>
            <b:First>D</b:First>
          </b:Person>
        </b:NameList>
      </b:Author>
    </b:Author>
    <b:RefOrder>13</b:RefOrder>
  </b:Source>
  <b:Source>
    <b:Tag>Sim07</b:Tag>
    <b:SourceType>Book</b:SourceType>
    <b:Guid>{1010E783-14F0-47D9-8F19-841DB1528369}</b:Guid>
    <b:Title>Governing Through Crime. How the War on Crime Transformed American Democracy and Created a Culture of Fear</b:Title>
    <b:Year>2007</b:Year>
    <b:Publisher>Oxford University Press</b:Publisher>
    <b:Author>
      <b:Author>
        <b:NameList>
          <b:Person>
            <b:Last>Simon</b:Last>
            <b:First>J</b:First>
          </b:Person>
        </b:NameList>
      </b:Author>
    </b:Author>
    <b:RefOrder>14</b:RefOrder>
  </b:Source>
  <b:Source>
    <b:Tag>Tra22</b:Tag>
    <b:SourceType>InternetSite</b:SourceType>
    <b:Guid>{A60D840E-5AA1-401D-BC2F-75F5E1B2CC23}</b:Guid>
    <b:Title>Transform.org</b:Title>
    <b:Year>2022</b:Year>
    <b:Author>
      <b:Author>
        <b:NameList>
          <b:Person>
            <b:Last>Transform</b:Last>
          </b:Person>
        </b:NameList>
      </b:Author>
    </b:Author>
    <b:YearAccessed>2022</b:YearAccessed>
    <b:MonthAccessed>June</b:MonthAccessed>
    <b:DayAccessed>02</b:DayAccessed>
    <b:URL>https://www.bing.com/search?q=transform.org+drug+policy+diversion+schemes&amp;cvid=1e0d9acf1b2346ed853093c43f6069c6&amp;aqs=edge..69i57j69i64.15445j0j1&amp;pglt=41&amp;FORM=ANNAB1&amp;PC=U531</b:URL>
    <b:RefOrder>20</b:RefOrder>
  </b:Source>
  <b:Source>
    <b:Tag>Pol19</b:Tag>
    <b:SourceType>InternetSite</b:SourceType>
    <b:Guid>{E92692D1-30A6-48E8-9667-9FF805FB1616}</b:Guid>
    <b:Author>
      <b:Author>
        <b:NameList>
          <b:Person>
            <b:Last>Policinginsight</b:Last>
          </b:Person>
        </b:NameList>
      </b:Author>
    </b:Author>
    <b:Title>Policing Insight</b:Title>
    <b:Year>2019</b:Year>
    <b:YearAccessed>2022</b:YearAccessed>
    <b:MonthAccessed>June</b:MonthAccessed>
    <b:DayAccessed>02</b:DayAccessed>
    <b:URL>https://policinginsight.com/features/analysis/thames-valley-police-journal-diversion-going-soft-on-drugs/</b:URL>
    <b:RefOrder>33</b:RefOrder>
  </b:Source>
  <b:Source>
    <b:Tag>Spy19</b:Tag>
    <b:SourceType>JournalArticle</b:SourceType>
    <b:Guid>{06AC944D-D249-4DE3-9BB6-84AC41C9528B}</b:Guid>
    <b:Title>Diversion: Going soft on drugs?</b:Title>
    <b:Year>2019</b:Year>
    <b:JournalName>Thames Valley Police Journal</b:JournalName>
    <b:Pages>44-58</b:Pages>
    <b:Volume>4</b:Volume>
    <b:Author>
      <b:Author>
        <b:NameList>
          <b:Person>
            <b:Last>Spyt</b:Last>
            <b:First>W</b:First>
          </b:Person>
          <b:Person>
            <b:Last>Barnham</b:Last>
            <b:First>L</b:First>
          </b:Person>
          <b:Person>
            <b:Last>Kew</b:Last>
            <b:First>J</b:First>
          </b:Person>
        </b:NameList>
      </b:Author>
    </b:Author>
    <b:RefOrder>27</b:RefOrder>
  </b:Source>
  <b:Source>
    <b:Tag>Hug08</b:Tag>
    <b:SourceType>Report</b:SourceType>
    <b:Guid>{F2DA670D-E642-420A-AF8E-09AA28C1384C}</b:Guid>
    <b:Title>A summary of diversion programs for drug and drug-related offenders in Austrailia</b:Title>
    <b:JournalName>National Drug and Alcohol Research Centre</b:JournalName>
    <b:Year>2008</b:Year>
    <b:Author>
      <b:Author>
        <b:NameList>
          <b:Person>
            <b:Last>Hughes</b:Last>
            <b:First>Caitlin</b:First>
          </b:Person>
          <b:Person>
            <b:Last>Ritter</b:Last>
            <b:First>Alison</b:First>
          </b:Person>
        </b:NameList>
      </b:Author>
    </b:Author>
    <b:Publisher>National Drug and Alcohol Research Centre</b:Publisher>
    <b:RefOrder>29</b:RefOrder>
  </b:Source>
  <b:Source>
    <b:Tag>Hea16</b:Tag>
    <b:SourceType>JournalArticle</b:SourceType>
    <b:Guid>{7C8F1FA7-918A-4A0D-9411-E40295FCE94F}</b:Guid>
    <b:Title>Evidence-Based Policing: From Effectiveness to Cost-Effectiveness</b:Title>
    <b:Year>2016</b:Year>
    <b:JournalName>Policing: A Journal of Policy and Practice</b:JournalName>
    <b:Pages>60-70</b:Pages>
    <b:Volume>10</b:Volume>
    <b:Issue>1</b:Issue>
    <b:Author>
      <b:Author>
        <b:NameList>
          <b:Person>
            <b:Last>Heaton</b:Last>
            <b:First>R</b:First>
          </b:Person>
          <b:Person>
            <b:Last>Tong</b:Last>
            <b:First>S</b:First>
          </b:Person>
        </b:NameList>
      </b:Author>
    </b:Author>
    <b:RefOrder>17</b:RefOrder>
  </b:Source>
  <b:Source>
    <b:Tag>Rou19</b:Tag>
    <b:SourceType>JournalArticle</b:SourceType>
    <b:Guid>{9996CAE0-8096-418D-A20A-2039A1FF3F9D}</b:Guid>
    <b:Title>Checkpoint: An innovative Programme to Navigate People Away from the Cycle of Reoffending: Implementation Phase Evaluation. Policing</b:Title>
    <b:JournalName>A journal of Policy and Practice</b:JournalName>
    <b:Year>2019</b:Year>
    <b:Pages>1-20</b:Pages>
    <b:Author>
      <b:Author>
        <b:NameList>
          <b:Person>
            <b:Last>Routledge</b:Last>
            <b:First>G</b:First>
          </b:Person>
          <b:Person>
            <b:Last>Weir</b:Last>
            <b:First>K</b:First>
          </b:Person>
        </b:NameList>
      </b:Author>
    </b:Author>
    <b:RefOrder>18</b:RefOrder>
  </b:Source>
  <b:Source>
    <b:Tag>Net22</b:Tag>
    <b:SourceType>JournalArticle</b:SourceType>
    <b:Guid>{2E2D98D0-94BB-4CD9-950E-6D1BAF611E72}</b:Guid>
    <b:Title>Principles and Metrics for Evaluating Oregon’s Innovative Drug Decriminalization Measure</b:Title>
    <b:JournalName>Journal of Urban Health</b:JournalName>
    <b:Year>2022</b:Year>
    <b:Pages>328-331</b:Pages>
    <b:Volume>99</b:Volume>
    <b:Author>
      <b:Author>
        <b:NameList>
          <b:Person>
            <b:Last>Netherland</b:Last>
            <b:First>Jules</b:First>
          </b:Person>
          <b:Person>
            <b:Last>Kral</b:Last>
            <b:Middle>H</b:Middle>
            <b:First>Alex</b:First>
          </b:Person>
          <b:Person>
            <b:Last>Ompad</b:Last>
            <b:Middle>C</b:Middle>
            <b:First>Danielle</b:First>
          </b:Person>
          <b:Person>
            <b:Last>Davis</b:Last>
            <b:Middle>S</b:Middle>
            <b:First>Corey</b:First>
          </b:Person>
          <b:Person>
            <b:Last>Bluthenthal</b:Last>
            <b:Middle>N</b:Middle>
            <b:First>Ricky</b:First>
          </b:Person>
          <b:Person>
            <b:Last>Dasgupta</b:Last>
            <b:First>Nabarun</b:First>
          </b:Person>
          <b:Person>
            <b:Last>Gilbert</b:Last>
            <b:First>Michael</b:First>
          </b:Person>
          <b:Person>
            <b:Last>Morgan</b:Last>
            <b:First>Riona</b:First>
          </b:Person>
          <b:Person>
            <b:Last>Wheelock</b:Last>
            <b:First>Haven</b:First>
          </b:Person>
        </b:NameList>
      </b:Author>
    </b:Author>
    <b:RefOrder>28</b:RefOrder>
  </b:Source>
  <b:Source>
    <b:Tag>Ric22</b:Tag>
    <b:SourceType>InternetSite</b:SourceType>
    <b:Guid>{F8D61117-1AD4-48A4-962A-6F8437CF110C}</b:Guid>
    <b:Title>Washington Examiner</b:Title>
    <b:Year>2022</b:Year>
    <b:YearAccessed>2022</b:YearAccessed>
    <b:MonthAccessed>June</b:MonthAccessed>
    <b:DayAccessed>06</b:DayAccessed>
    <b:URL>https://www.washingtonexaminer.com/restoring-america/fairness-justice/oregons-new-drug-treatment-law-a-big-flop</b:URL>
    <b:Author>
      <b:Author>
        <b:NameList>
          <b:Person>
            <b:Last>Richards</b:Last>
            <b:First>Tori</b:First>
          </b:Person>
        </b:NameList>
      </b:Author>
    </b:Author>
    <b:RefOrder>34</b:RefOrder>
  </b:Source>
  <b:Source>
    <b:Tag>Sha17</b:Tag>
    <b:SourceType>Report</b:SourceType>
    <b:Guid>{1E594450-8EC3-42F6-B9AA-04D60503E755}</b:Guid>
    <b:Title>Police diversion for cannabis offences: Assessing outcomes and cost-effectiveness. Trends and issues in crime and criminal justice No. 532</b:Title>
    <b:Year>2017</b:Year>
    <b:Publisher>Australian Institute of Criminology</b:Publisher>
    <b:City>Canberra</b:City>
    <b:Author>
      <b:Author>
        <b:NameList>
          <b:Person>
            <b:Last>Shanahan</b:Last>
            <b:First>M</b:First>
          </b:Person>
          <b:Person>
            <b:Last>Hughes</b:Last>
            <b:First>C</b:First>
          </b:Person>
          <b:Person>
            <b:Last>McSweeney</b:Last>
            <b:First>T</b:First>
          </b:Person>
        </b:NameList>
      </b:Author>
    </b:Author>
    <b:RefOrder>35</b:RefOrder>
  </b:Source>
  <b:Source>
    <b:Tag>Rob19</b:Tag>
    <b:SourceType>Report</b:SourceType>
    <b:Guid>{1449D08A-58B8-4D24-8188-B3B4349B1B80}</b:Guid>
    <b:Title>Centre for Justice Innovation; Pre-court diversion for adults: an evidence briefing</b:Title>
    <b:Year>2019</b:Year>
    <b:Author>
      <b:Author>
        <b:NameList>
          <b:Person>
            <b:Last>Robin-D'Cruz</b:Last>
            <b:First>C</b:First>
          </b:Person>
          <b:Person>
            <b:Last>Whitehead</b:Last>
            <b:First>S</b:First>
          </b:Person>
        </b:NameList>
      </b:Author>
    </b:Author>
    <b:Publisher>Creative Commons</b:Publisher>
    <b:City>London</b:City>
    <b:RefOrder>24</b:RefOrder>
  </b:Source>
  <b:Source>
    <b:Tag>Los11</b:Tag>
    <b:SourceType>Report</b:SourceType>
    <b:Guid>{9646E70A-326F-4A66-B6EB-5361DE61F371}</b:Guid>
    <b:Title>Stregthening Transnational Approaches to Reducing Reoffending: Final Report Submitted to the European Commission</b:Title>
    <b:Year>2011</b:Year>
    <b:Author>
      <b:Author>
        <b:NameList>
          <b:Person>
            <b:Last>Losel</b:Last>
            <b:First>F</b:First>
          </b:Person>
          <b:Person>
            <b:Last>Koehler</b:Last>
            <b:Middle>A</b:Middle>
            <b:First>J</b:First>
          </b:Person>
          <b:Person>
            <b:Last>Hamilton</b:Last>
            <b:First>L</b:First>
          </b:Person>
          <b:Person>
            <b:Last>Humphreys</b:Last>
            <b:Middle>K</b:Middle>
            <b:First>D</b:First>
          </b:Person>
          <b:Person>
            <b:Last>Akoensi</b:Last>
            <b:Middle>D</b:Middle>
            <b:First>T</b:First>
          </b:Person>
        </b:NameList>
      </b:Author>
    </b:Author>
    <b:RefOrder>21</b:RefOrder>
  </b:Source>
  <b:Source>
    <b:Tag>Hol05</b:Tag>
    <b:SourceType>Report</b:SourceType>
    <b:Guid>{1BB097FD-0C16-4E8F-BDC4-760DFC0DE219}</b:Guid>
    <b:Title>The Effectiveness of Criminal Justice and Treatment Programmes in Reducing Drug-related Crime: A Systematic Review</b:Title>
    <b:Year>2005</b:Year>
    <b:Publisher>Home Office</b:Publisher>
    <b:City>London</b:City>
    <b:Author>
      <b:Author>
        <b:NameList>
          <b:Person>
            <b:Last>Holloway</b:Last>
            <b:First>K</b:First>
          </b:Person>
          <b:Person>
            <b:Last>Bennett</b:Last>
            <b:First>T</b:First>
          </b:Person>
          <b:Person>
            <b:Last>Farrington</b:Last>
            <b:First>D</b:First>
          </b:Person>
        </b:NameList>
      </b:Author>
    </b:Author>
    <b:RefOrder>22</b:RefOrder>
  </b:Source>
  <b:Source>
    <b:Tag>Sko07</b:Tag>
    <b:SourceType>Report</b:SourceType>
    <b:Guid>{C4AF3B39-DD40-4326-93E1-D8601602FEFE}</b:Guid>
    <b:Title>The Drug Interventions Programme (DIP): addressing drug use and offending through 'Tough Choices'</b:Title>
    <b:Year>2007</b:Year>
    <b:Publisher>Home Office</b:Publisher>
    <b:City>London</b:City>
    <b:Author>
      <b:Author>
        <b:NameList>
          <b:Person>
            <b:Last>Skodbo</b:Last>
            <b:First>Sara</b:First>
          </b:Person>
          <b:Person>
            <b:Last>Brown</b:Last>
            <b:First>Geraldine</b:First>
          </b:Person>
          <b:Person>
            <b:Last>Deacon</b:Last>
            <b:First>Sarah</b:First>
          </b:Person>
          <b:Person>
            <b:Last>Cooper</b:Last>
            <b:First>Alisha</b:First>
          </b:Person>
          <b:Person>
            <b:Last>Hall</b:Last>
            <b:First>Alan</b:First>
          </b:Person>
          <b:Person>
            <b:Last>Millar</b:Last>
            <b:First>Tim</b:First>
          </b:Person>
          <b:Person>
            <b:Last>Smith</b:Last>
            <b:First>Jonathan</b:First>
          </b:Person>
          <b:Person>
            <b:Last>Whitham</b:Last>
            <b:First>Karen</b:First>
          </b:Person>
        </b:NameList>
      </b:Author>
    </b:Author>
    <b:RefOrder>23</b:RefOrder>
  </b:Source>
  <b:Source>
    <b:Tag>Hom22</b:Tag>
    <b:SourceType>Report</b:SourceType>
    <b:Guid>{964468C9-3D75-4FB7-ACA3-780DF71AE86D}</b:Guid>
    <b:Title>Reforms to the adult out of court disposals framework in the Police, Crime, Sentencing and Courts Bill</b:Title>
    <b:Year>2022</b:Year>
    <b:Publisher>Home Office</b:Publisher>
    <b:City>London</b:City>
    <b:Author>
      <b:Author>
        <b:NameList>
          <b:Person>
            <b:Last>Home Office</b:Last>
          </b:Person>
        </b:NameList>
      </b:Author>
    </b:Author>
    <b:RefOrder>7</b:RefOrder>
  </b:Source>
  <b:Source>
    <b:Tag>Nat17</b:Tag>
    <b:SourceType>Report</b:SourceType>
    <b:Guid>{D84C1A57-D913-480D-B1D0-AF1DB781C57E}</b:Guid>
    <b:Title>Charging and Out of Court Disposals; a National Strategy 2017-2021</b:Title>
    <b:Year>2017</b:Year>
    <b:Publisher>National Police Chiefs' Council</b:Publisher>
    <b:City>London</b:City>
    <b:Author>
      <b:Author>
        <b:NameList>
          <b:Person>
            <b:Last>National Police Chiefs' Council</b:Last>
          </b:Person>
        </b:NameList>
      </b:Author>
    </b:Author>
    <b:RefOrder>19</b:RefOrder>
  </b:Source>
  <b:Source>
    <b:Tag>Har07</b:Tag>
    <b:SourceType>JournalArticle</b:SourceType>
    <b:Guid>{FE1720BA-AC94-4F91-A56E-29F17C98FEE0}</b:Guid>
    <b:Title>The efficacy of diversion and aftercare for adult drug-involved offenders: a summary and metholological review of the outcome literature</b:Title>
    <b:Year>2007</b:Year>
    <b:JournalName>Drug and Alcohol Review</b:JournalName>
    <b:Pages>379-387</b:Pages>
    <b:Volume>26</b:Volume>
    <b:Author>
      <b:Author>
        <b:NameList>
          <b:Person>
            <b:Last>Harvey</b:Last>
            <b:First>E</b:First>
          </b:Person>
          <b:Person>
            <b:Last>Shakeshaft</b:Last>
            <b:First>A</b:First>
          </b:Person>
          <b:Person>
            <b:Last>Hetherington</b:Last>
            <b:First>K</b:First>
          </b:Person>
          <b:Person>
            <b:Last>Sannibale</b:Last>
            <b:First>C</b:First>
          </b:Person>
          <b:Person>
            <b:Last>Mattick</b:Last>
            <b:Middle>P</b:Middle>
            <b:First>R</b:First>
          </b:Person>
        </b:NameList>
      </b:Author>
    </b:Author>
    <b:RefOrder>25</b:RefOrder>
  </b:Source>
  <b:Source>
    <b:Tag>Lan11</b:Tag>
    <b:SourceType>JournalArticle</b:SourceType>
    <b:Guid>{00AF3B89-FF6F-4D68-9728-EB37DF58A940}</b:Guid>
    <b:Title>The Effectiveness of Criminal Justice Diversion Initiatives in North America: A Systematic Literature Review</b:Title>
    <b:JournalName>International Journal of Forensic Mental Health</b:JournalName>
    <b:Year>2011</b:Year>
    <b:Pages>200-214</b:Pages>
    <b:Volume>10</b:Volume>
    <b:Issue>3</b:Issue>
    <b:Author>
      <b:Author>
        <b:NameList>
          <b:Person>
            <b:Last>Lange</b:Last>
            <b:First>S</b:First>
          </b:Person>
          <b:Person>
            <b:Last>Rehm</b:Last>
            <b:First>J</b:First>
          </b:Person>
          <b:Person>
            <b:Last>Popova</b:Last>
            <b:First>S</b:First>
          </b:Person>
        </b:NameList>
      </b:Author>
    </b:Author>
    <b:RefOrder>26</b:RefOrder>
  </b:Source>
  <b:Source>
    <b:Tag>Dep21</b:Tag>
    <b:SourceType>Report</b:SourceType>
    <b:Guid>{05032D6F-160A-42D4-8604-D2C40A4F7F4C}</b:Guid>
    <b:Author>
      <b:Author>
        <b:Corporate>Department of Health and Social Care</b:Corporate>
      </b:Author>
    </b:Author>
    <b:Title>Independent report: Review of dugs part two; prevention, treatment, and recovery</b:Title>
    <b:Year>2021</b:Year>
    <b:Publisher>UK Government</b:Publisher>
    <b:City>London</b:City>
    <b:RefOrder>2</b:RefOrder>
  </b:Source>
  <b:Source>
    <b:Tag>Nat19</b:Tag>
    <b:SourceType>Report</b:SourceType>
    <b:Guid>{F7085207-FCD0-4064-8716-4CC7FC20CFF8}</b:Guid>
    <b:Title>Research and evaluation on the administration of justice</b:Title>
    <b:Year>2019</b:Year>
    <b:City>United States</b:City>
    <b:Author>
      <b:Author>
        <b:NameList>
          <b:Person>
            <b:Last>National Institute of Justice</b:Last>
          </b:Person>
        </b:NameList>
      </b:Author>
    </b:Author>
    <b:RefOrder>36</b:RefOrder>
  </b:Source>
  <b:Source>
    <b:Tag>Kam19</b:Tag>
    <b:SourceType>JournalArticle</b:SourceType>
    <b:Guid>{7B832407-657F-47EB-BE7A-1B61AEAB5296}</b:Guid>
    <b:Title>Harm Reduction Policing: From Drug Law Enforcement to Protection</b:Title>
    <b:JournalName>Contemporary Drug Problems</b:JournalName>
    <b:Year>2019</b:Year>
    <b:Pages>345-362</b:Pages>
    <b:Volume>46</b:Volume>
    <b:Issue>4</b:Issue>
    <b:Author>
      <b:Author>
        <b:NameList>
          <b:Person>
            <b:Last>Kammersgaard</b:Last>
            <b:First>Tobias</b:First>
          </b:Person>
        </b:NameList>
      </b:Author>
    </b:Author>
    <b:RefOrder>15</b:RefOrder>
  </b:Source>
  <b:Source>
    <b:Tag>Rho09</b:Tag>
    <b:SourceType>JournalArticle</b:SourceType>
    <b:Guid>{CD342418-129F-46B3-9666-146E560FFDD5}</b:Guid>
    <b:Title>Risk environments and drug harms: A social science for harm reduction approach</b:Title>
    <b:JournalName>International Journal of Drug Policy</b:JournalName>
    <b:Year>2009</b:Year>
    <b:Pages>85-94</b:Pages>
    <b:Volume>3</b:Volume>
    <b:Author>
      <b:Author>
        <b:NameList>
          <b:Person>
            <b:Last>Rhodes</b:Last>
            <b:First>T</b:First>
          </b:Person>
        </b:NameList>
      </b:Author>
    </b:Author>
    <b:RefOrder>16</b:RefOrder>
  </b:Source>
</b:Sources>
</file>

<file path=customXml/itemProps1.xml><?xml version="1.0" encoding="utf-8"?>
<ds:datastoreItem xmlns:ds="http://schemas.openxmlformats.org/officeDocument/2006/customXml" ds:itemID="{B671287E-BED1-48DE-AECB-B7065B1296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1420</TotalTime>
  <Pages>17</Pages>
  <Words>3702</Words>
  <Characters>21105</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Kavanagh,Mark swp4436</dc:creator>
  <cp:keywords/>
  <dc:description/>
  <cp:lastModifiedBy>Kavanagh,Mark swp4436</cp:lastModifiedBy>
  <cp:revision>18</cp:revision>
  <dcterms:created xsi:type="dcterms:W3CDTF">2022-05-24T15:47:00Z</dcterms:created>
  <dcterms:modified xsi:type="dcterms:W3CDTF">2022-07-19T17:16:00Z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2021-10-06T10:48:30Z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b8947402-0e7a-44c0-8f29-8a46306d07f1</vt:lpwstr>
  </property>
  <property fmtid="{D5CDD505-2E9C-101B-9397-08002B2CF9AE}" pid="8" name="MSIP_Label_66cf8fe5-b7b7-4df7-b38d-1c61ac2f6639_ContentBits">
    <vt:lpwstr>0</vt:lpwstr>
  </property>
  <property fmtid="{D5CDD505-2E9C-101B-9397-08002B2CF9AE}" pid="9" name="TitusGUID">
    <vt:lpwstr>c0d37e8e-246f-40ff-a557-d847cf2bde23</vt:lpwstr>
  </property>
  <property fmtid="{D5CDD505-2E9C-101B-9397-08002B2CF9AE}" pid="10" name="Classification">
    <vt:lpwstr>OFFICIAL</vt:lpwstr>
  </property>
  <property fmtid="{D5CDD505-2E9C-101B-9397-08002B2CF9AE}" pid="11" name="Visibility">
    <vt:lpwstr>NOT VISIBLE</vt:lpwstr>
  </property>
</Properties>
</file>