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8B012" w14:textId="77777777" w:rsidR="006E52E6" w:rsidRDefault="006E52E6" w:rsidP="00CB0B20">
      <w:pPr>
        <w:jc w:val="center"/>
        <w:rPr>
          <w:rFonts w:ascii="Georgia" w:hAnsi="Georgia"/>
        </w:rPr>
      </w:pPr>
    </w:p>
    <w:p w14:paraId="3A20265E" w14:textId="77777777" w:rsidR="00CB0B20" w:rsidRDefault="00CB0B20" w:rsidP="00CB0B20">
      <w:pPr>
        <w:jc w:val="center"/>
        <w:rPr>
          <w:rFonts w:ascii="Georgia" w:hAnsi="Georgia"/>
        </w:rPr>
      </w:pPr>
    </w:p>
    <w:p w14:paraId="2A997D6A" w14:textId="77777777" w:rsidR="00CB0B20" w:rsidRDefault="00CB0B20" w:rsidP="00CB0B20">
      <w:pPr>
        <w:jc w:val="center"/>
        <w:rPr>
          <w:rFonts w:ascii="Georgia" w:hAnsi="Georgia"/>
        </w:rPr>
      </w:pPr>
    </w:p>
    <w:p w14:paraId="3D0B325A" w14:textId="77777777" w:rsidR="00CB0B20" w:rsidRDefault="00CB0B20" w:rsidP="00CB0B20">
      <w:pPr>
        <w:jc w:val="center"/>
        <w:rPr>
          <w:rFonts w:ascii="Georgia" w:hAnsi="Georgia"/>
        </w:rPr>
      </w:pPr>
    </w:p>
    <w:p w14:paraId="5C6A1698" w14:textId="77777777" w:rsidR="00CB0B20" w:rsidRDefault="00CB0B20" w:rsidP="00CB0B20">
      <w:pPr>
        <w:jc w:val="center"/>
        <w:rPr>
          <w:rFonts w:ascii="Georgia" w:hAnsi="Georgia"/>
        </w:rPr>
      </w:pPr>
    </w:p>
    <w:p w14:paraId="1007AABD" w14:textId="77777777" w:rsidR="00CB0B20" w:rsidRDefault="00CB0B20" w:rsidP="00CB0B20">
      <w:pPr>
        <w:jc w:val="center"/>
        <w:rPr>
          <w:rFonts w:ascii="Georgia" w:hAnsi="Georgia"/>
        </w:rPr>
      </w:pPr>
    </w:p>
    <w:p w14:paraId="1B797C5C" w14:textId="77777777" w:rsidR="00CB0B20" w:rsidRDefault="00CB0B20" w:rsidP="00531BB7">
      <w:pPr>
        <w:rPr>
          <w:rFonts w:ascii="Georgia" w:hAnsi="Georgia"/>
        </w:rPr>
      </w:pPr>
    </w:p>
    <w:p w14:paraId="2CBC87D8" w14:textId="77777777" w:rsidR="00CB0B20" w:rsidRDefault="00CB0B20" w:rsidP="00CB0B20">
      <w:pPr>
        <w:jc w:val="center"/>
        <w:rPr>
          <w:rFonts w:ascii="Georgia" w:hAnsi="Georgia"/>
        </w:rPr>
      </w:pPr>
    </w:p>
    <w:p w14:paraId="4D4AAC34" w14:textId="7B09E687" w:rsidR="00CB0B20" w:rsidRDefault="00CB0B20" w:rsidP="00CB0B20">
      <w:pPr>
        <w:pStyle w:val="Title"/>
        <w:jc w:val="center"/>
        <w:rPr>
          <w:rFonts w:ascii="Georgia" w:hAnsi="Georgia"/>
        </w:rPr>
      </w:pPr>
      <w:r>
        <w:rPr>
          <w:rFonts w:ascii="Georgia" w:hAnsi="Georgia"/>
        </w:rPr>
        <w:t xml:space="preserve">An Analysis of the Rowton’s Museum of the Paranormal and Spirituality </w:t>
      </w:r>
      <w:r w:rsidR="00531BB7">
        <w:rPr>
          <w:rFonts w:ascii="Georgia" w:hAnsi="Georgia"/>
        </w:rPr>
        <w:t>C</w:t>
      </w:r>
      <w:r>
        <w:rPr>
          <w:rFonts w:ascii="Georgia" w:hAnsi="Georgia"/>
        </w:rPr>
        <w:t xml:space="preserve">ollection </w:t>
      </w:r>
      <w:r w:rsidR="00531BB7">
        <w:rPr>
          <w:rFonts w:ascii="Georgia" w:hAnsi="Georgia"/>
        </w:rPr>
        <w:t>R</w:t>
      </w:r>
      <w:r>
        <w:rPr>
          <w:rFonts w:ascii="Georgia" w:hAnsi="Georgia"/>
        </w:rPr>
        <w:t>ationale</w:t>
      </w:r>
    </w:p>
    <w:p w14:paraId="24A0AE80" w14:textId="77777777" w:rsidR="00CB0B20" w:rsidRDefault="00CB0B20" w:rsidP="00CB0B20">
      <w:pPr>
        <w:pStyle w:val="Title"/>
        <w:jc w:val="center"/>
        <w:rPr>
          <w:rFonts w:ascii="Georgia" w:hAnsi="Georgia"/>
        </w:rPr>
      </w:pPr>
    </w:p>
    <w:p w14:paraId="427F6CA5" w14:textId="59D2E624" w:rsidR="00615639" w:rsidRPr="00615639" w:rsidRDefault="00615639" w:rsidP="00615639">
      <w:pPr>
        <w:pStyle w:val="Title"/>
        <w:jc w:val="center"/>
        <w:rPr>
          <w:rFonts w:ascii="Georgia" w:hAnsi="Georgia"/>
        </w:rPr>
      </w:pPr>
      <w:r w:rsidRPr="00615639">
        <w:rPr>
          <w:rFonts w:ascii="Georgia" w:hAnsi="Georgia"/>
          <w:sz w:val="36"/>
          <w:szCs w:val="36"/>
        </w:rPr>
        <w:t>HPHE5008</w:t>
      </w:r>
      <w:r w:rsidR="00CB0B20" w:rsidRPr="00615639">
        <w:rPr>
          <w:rFonts w:ascii="Georgia" w:hAnsi="Georgia"/>
        </w:rPr>
        <w:t xml:space="preserve"> </w:t>
      </w:r>
    </w:p>
    <w:p w14:paraId="32106183" w14:textId="468B0DC0" w:rsidR="00615639" w:rsidRDefault="00615639" w:rsidP="00615639">
      <w:pPr>
        <w:jc w:val="center"/>
        <w:rPr>
          <w:rFonts w:ascii="Georgia" w:hAnsi="Georgia"/>
          <w:sz w:val="28"/>
          <w:szCs w:val="28"/>
        </w:rPr>
      </w:pPr>
      <w:r>
        <w:rPr>
          <w:rFonts w:ascii="Georgia" w:hAnsi="Georgia"/>
          <w:sz w:val="28"/>
          <w:szCs w:val="28"/>
        </w:rPr>
        <w:t>2400802</w:t>
      </w:r>
    </w:p>
    <w:p w14:paraId="66A51EE3" w14:textId="77777777" w:rsidR="00615639" w:rsidRDefault="00615639" w:rsidP="00615639">
      <w:pPr>
        <w:jc w:val="center"/>
        <w:rPr>
          <w:rFonts w:ascii="Georgia" w:hAnsi="Georgia"/>
          <w:sz w:val="28"/>
          <w:szCs w:val="28"/>
        </w:rPr>
      </w:pPr>
    </w:p>
    <w:p w14:paraId="52B520CC" w14:textId="77777777" w:rsidR="00615639" w:rsidRDefault="00615639" w:rsidP="00615639">
      <w:pPr>
        <w:jc w:val="center"/>
        <w:rPr>
          <w:rFonts w:ascii="Georgia" w:hAnsi="Georgia"/>
          <w:sz w:val="28"/>
          <w:szCs w:val="28"/>
        </w:rPr>
      </w:pPr>
    </w:p>
    <w:p w14:paraId="76D16260" w14:textId="77777777" w:rsidR="00615639" w:rsidRDefault="00615639" w:rsidP="00615639">
      <w:pPr>
        <w:jc w:val="center"/>
        <w:rPr>
          <w:rFonts w:ascii="Georgia" w:hAnsi="Georgia"/>
          <w:sz w:val="28"/>
          <w:szCs w:val="28"/>
        </w:rPr>
      </w:pPr>
    </w:p>
    <w:p w14:paraId="0007D5F3" w14:textId="77777777" w:rsidR="00615639" w:rsidRDefault="00615639" w:rsidP="00615639">
      <w:pPr>
        <w:jc w:val="center"/>
        <w:rPr>
          <w:rFonts w:ascii="Georgia" w:hAnsi="Georgia"/>
          <w:sz w:val="28"/>
          <w:szCs w:val="28"/>
        </w:rPr>
      </w:pPr>
    </w:p>
    <w:p w14:paraId="01DB8B17" w14:textId="77777777" w:rsidR="00615639" w:rsidRDefault="00615639" w:rsidP="00615639">
      <w:pPr>
        <w:jc w:val="center"/>
        <w:rPr>
          <w:rFonts w:ascii="Georgia" w:hAnsi="Georgia"/>
          <w:sz w:val="28"/>
          <w:szCs w:val="28"/>
        </w:rPr>
      </w:pPr>
    </w:p>
    <w:p w14:paraId="14877C91" w14:textId="77777777" w:rsidR="00615639" w:rsidRDefault="00615639" w:rsidP="00615639">
      <w:pPr>
        <w:jc w:val="center"/>
        <w:rPr>
          <w:rFonts w:ascii="Georgia" w:hAnsi="Georgia"/>
          <w:sz w:val="28"/>
          <w:szCs w:val="28"/>
        </w:rPr>
      </w:pPr>
    </w:p>
    <w:p w14:paraId="3CAF7203" w14:textId="77777777" w:rsidR="00615639" w:rsidRDefault="00615639" w:rsidP="00615639">
      <w:pPr>
        <w:jc w:val="center"/>
        <w:rPr>
          <w:rFonts w:ascii="Georgia" w:hAnsi="Georgia"/>
          <w:sz w:val="28"/>
          <w:szCs w:val="28"/>
        </w:rPr>
      </w:pPr>
    </w:p>
    <w:p w14:paraId="2234E5C6" w14:textId="77777777" w:rsidR="00615639" w:rsidRDefault="00615639" w:rsidP="00615639">
      <w:pPr>
        <w:jc w:val="center"/>
        <w:rPr>
          <w:rFonts w:ascii="Georgia" w:hAnsi="Georgia"/>
          <w:sz w:val="28"/>
          <w:szCs w:val="28"/>
        </w:rPr>
      </w:pPr>
    </w:p>
    <w:p w14:paraId="0AF98C01" w14:textId="77777777" w:rsidR="00615639" w:rsidRDefault="00615639" w:rsidP="00615639">
      <w:pPr>
        <w:jc w:val="center"/>
        <w:rPr>
          <w:rFonts w:ascii="Georgia" w:hAnsi="Georgia"/>
          <w:sz w:val="28"/>
          <w:szCs w:val="28"/>
        </w:rPr>
      </w:pPr>
    </w:p>
    <w:p w14:paraId="24BD91C3" w14:textId="77777777" w:rsidR="00615639" w:rsidRDefault="00615639" w:rsidP="00615639">
      <w:pPr>
        <w:jc w:val="center"/>
        <w:rPr>
          <w:rFonts w:ascii="Georgia" w:hAnsi="Georgia"/>
          <w:sz w:val="28"/>
          <w:szCs w:val="28"/>
        </w:rPr>
      </w:pPr>
    </w:p>
    <w:p w14:paraId="32C8D5DA" w14:textId="4CAFEA71" w:rsidR="00615639" w:rsidRDefault="00615639" w:rsidP="00615639">
      <w:pPr>
        <w:jc w:val="center"/>
        <w:rPr>
          <w:rFonts w:ascii="Georgia" w:hAnsi="Georgia"/>
          <w:sz w:val="28"/>
          <w:szCs w:val="28"/>
        </w:rPr>
      </w:pPr>
      <w:r>
        <w:rPr>
          <w:rFonts w:ascii="Georgia" w:hAnsi="Georgia"/>
          <w:sz w:val="28"/>
          <w:szCs w:val="28"/>
        </w:rPr>
        <w:t xml:space="preserve">Word count: </w:t>
      </w:r>
      <w:r w:rsidR="00837398">
        <w:rPr>
          <w:rFonts w:ascii="Georgia" w:hAnsi="Georgia"/>
          <w:sz w:val="28"/>
          <w:szCs w:val="28"/>
        </w:rPr>
        <w:t>1993</w:t>
      </w:r>
    </w:p>
    <w:p w14:paraId="78B64DA9" w14:textId="77777777" w:rsidR="00615639" w:rsidRDefault="00615639" w:rsidP="00615639">
      <w:pPr>
        <w:jc w:val="center"/>
        <w:rPr>
          <w:rFonts w:ascii="Georgia" w:hAnsi="Georgia"/>
          <w:sz w:val="28"/>
          <w:szCs w:val="28"/>
        </w:rPr>
      </w:pPr>
    </w:p>
    <w:p w14:paraId="5768C655" w14:textId="77777777" w:rsidR="00615639" w:rsidRDefault="00615639" w:rsidP="00615639">
      <w:pPr>
        <w:jc w:val="center"/>
        <w:rPr>
          <w:rFonts w:ascii="Georgia" w:hAnsi="Georgia"/>
          <w:sz w:val="28"/>
          <w:szCs w:val="28"/>
        </w:rPr>
      </w:pPr>
    </w:p>
    <w:p w14:paraId="69899B87" w14:textId="77777777" w:rsidR="00531BB7" w:rsidRDefault="00531BB7" w:rsidP="00615639">
      <w:pPr>
        <w:rPr>
          <w:rFonts w:ascii="Georgia" w:hAnsi="Georgia"/>
          <w:b/>
          <w:bCs/>
          <w:sz w:val="32"/>
          <w:szCs w:val="32"/>
        </w:rPr>
      </w:pPr>
    </w:p>
    <w:p w14:paraId="16DAD0F6" w14:textId="77777777" w:rsidR="00837398" w:rsidRPr="00837398" w:rsidRDefault="00837398" w:rsidP="00837398">
      <w:pPr>
        <w:rPr>
          <w:rFonts w:ascii="Georgia" w:hAnsi="Georgia"/>
          <w:b/>
          <w:bCs/>
          <w:sz w:val="32"/>
          <w:szCs w:val="32"/>
        </w:rPr>
      </w:pPr>
      <w:r w:rsidRPr="00837398">
        <w:rPr>
          <w:rFonts w:ascii="Georgia" w:hAnsi="Georgia"/>
          <w:b/>
          <w:bCs/>
          <w:sz w:val="32"/>
          <w:szCs w:val="32"/>
        </w:rPr>
        <w:lastRenderedPageBreak/>
        <w:t>Abstract </w:t>
      </w:r>
    </w:p>
    <w:p w14:paraId="638F3825" w14:textId="77777777" w:rsidR="00837398" w:rsidRPr="00837398" w:rsidRDefault="00837398" w:rsidP="00837398">
      <w:pPr>
        <w:rPr>
          <w:rFonts w:ascii="Georgia" w:hAnsi="Georgia"/>
          <w:b/>
          <w:bCs/>
          <w:sz w:val="32"/>
          <w:szCs w:val="32"/>
        </w:rPr>
      </w:pPr>
    </w:p>
    <w:p w14:paraId="0869C7ED" w14:textId="77777777" w:rsidR="00837398" w:rsidRPr="00837398" w:rsidRDefault="00837398" w:rsidP="00837398">
      <w:pPr>
        <w:rPr>
          <w:rFonts w:ascii="Georgia" w:hAnsi="Georgia"/>
        </w:rPr>
      </w:pPr>
      <w:r w:rsidRPr="00837398">
        <w:rPr>
          <w:rFonts w:ascii="Georgia" w:hAnsi="Georgia"/>
        </w:rPr>
        <w:t xml:space="preserve">This report evaluates the </w:t>
      </w:r>
      <w:proofErr w:type="spellStart"/>
      <w:r w:rsidRPr="00837398">
        <w:rPr>
          <w:rFonts w:ascii="Georgia" w:hAnsi="Georgia"/>
        </w:rPr>
        <w:t>Rowtons</w:t>
      </w:r>
      <w:proofErr w:type="spellEnd"/>
      <w:r w:rsidRPr="00837398">
        <w:rPr>
          <w:rFonts w:ascii="Georgia" w:hAnsi="Georgia"/>
        </w:rPr>
        <w:t>’ Museums of the Paranormal and Spirituality within the context of their collection rationale; to provide a safe space for paranormal exploration and experience and to elevate the common stereotypes associated with the topic. Its purpose is to analyse the strengths and weaknesses of their rationale in conjunction with what they present on their website through the use of digital media only. Main strengths include their easily accessible website interface that allows for visitors to access paranormal objects from their collection that might aid in research and investigation. Additionally another strength is the detail for which they categorise and document their objects online, however, this then ties in with the weakness of their reliance on donators experience or stories when accessing the objects paranormal agency making researching them more subjective. Furthermore, another weakness includes the wording the website uses to describe its collection and how visitors may interpret them which may retract from the museum's main aim. Overall, the report concludes that the museum’s collection rationale is accurately represented through their website while still having minor adjustments that need to be addressed through website updating. </w:t>
      </w:r>
    </w:p>
    <w:p w14:paraId="5D277276" w14:textId="77777777" w:rsidR="00837398" w:rsidRDefault="00837398" w:rsidP="00837398">
      <w:pPr>
        <w:rPr>
          <w:rFonts w:ascii="Georgia" w:hAnsi="Georgia"/>
          <w:b/>
          <w:bCs/>
          <w:sz w:val="32"/>
          <w:szCs w:val="32"/>
        </w:rPr>
      </w:pPr>
    </w:p>
    <w:p w14:paraId="0C755A87" w14:textId="77777777" w:rsidR="00837398" w:rsidRDefault="00837398" w:rsidP="00837398">
      <w:pPr>
        <w:rPr>
          <w:rFonts w:ascii="Georgia" w:hAnsi="Georgia"/>
          <w:b/>
          <w:bCs/>
          <w:sz w:val="32"/>
          <w:szCs w:val="32"/>
        </w:rPr>
      </w:pPr>
    </w:p>
    <w:p w14:paraId="6C87CE66" w14:textId="77777777" w:rsidR="00837398" w:rsidRDefault="00837398" w:rsidP="00837398">
      <w:pPr>
        <w:rPr>
          <w:rFonts w:ascii="Georgia" w:hAnsi="Georgia"/>
          <w:b/>
          <w:bCs/>
          <w:sz w:val="32"/>
          <w:szCs w:val="32"/>
        </w:rPr>
      </w:pPr>
    </w:p>
    <w:p w14:paraId="4F57E1D9" w14:textId="77777777" w:rsidR="00837398" w:rsidRDefault="00837398" w:rsidP="00837398">
      <w:pPr>
        <w:rPr>
          <w:rFonts w:ascii="Georgia" w:hAnsi="Georgia"/>
          <w:b/>
          <w:bCs/>
          <w:sz w:val="32"/>
          <w:szCs w:val="32"/>
        </w:rPr>
      </w:pPr>
    </w:p>
    <w:p w14:paraId="5773F819" w14:textId="77777777" w:rsidR="00837398" w:rsidRDefault="00837398" w:rsidP="00837398">
      <w:pPr>
        <w:rPr>
          <w:rFonts w:ascii="Georgia" w:hAnsi="Georgia"/>
          <w:b/>
          <w:bCs/>
          <w:sz w:val="32"/>
          <w:szCs w:val="32"/>
        </w:rPr>
      </w:pPr>
    </w:p>
    <w:p w14:paraId="36FE5EA2" w14:textId="77777777" w:rsidR="00837398" w:rsidRDefault="00837398" w:rsidP="00837398">
      <w:pPr>
        <w:rPr>
          <w:rFonts w:ascii="Georgia" w:hAnsi="Georgia"/>
          <w:b/>
          <w:bCs/>
          <w:sz w:val="32"/>
          <w:szCs w:val="32"/>
        </w:rPr>
      </w:pPr>
    </w:p>
    <w:p w14:paraId="11BBF16E" w14:textId="77777777" w:rsidR="00837398" w:rsidRDefault="00837398" w:rsidP="00837398">
      <w:pPr>
        <w:rPr>
          <w:rFonts w:ascii="Georgia" w:hAnsi="Georgia"/>
          <w:b/>
          <w:bCs/>
          <w:sz w:val="32"/>
          <w:szCs w:val="32"/>
        </w:rPr>
      </w:pPr>
    </w:p>
    <w:p w14:paraId="46A7A0ED" w14:textId="77777777" w:rsidR="00837398" w:rsidRDefault="00837398" w:rsidP="00837398">
      <w:pPr>
        <w:rPr>
          <w:rFonts w:ascii="Georgia" w:hAnsi="Georgia"/>
          <w:b/>
          <w:bCs/>
          <w:sz w:val="32"/>
          <w:szCs w:val="32"/>
        </w:rPr>
      </w:pPr>
    </w:p>
    <w:p w14:paraId="470A924E" w14:textId="77777777" w:rsidR="00837398" w:rsidRDefault="00837398" w:rsidP="00837398">
      <w:pPr>
        <w:rPr>
          <w:rFonts w:ascii="Georgia" w:hAnsi="Georgia"/>
          <w:b/>
          <w:bCs/>
          <w:sz w:val="32"/>
          <w:szCs w:val="32"/>
        </w:rPr>
      </w:pPr>
    </w:p>
    <w:p w14:paraId="1948A2C4" w14:textId="77777777" w:rsidR="00837398" w:rsidRDefault="00837398" w:rsidP="00837398">
      <w:pPr>
        <w:rPr>
          <w:rFonts w:ascii="Georgia" w:hAnsi="Georgia"/>
          <w:b/>
          <w:bCs/>
          <w:sz w:val="32"/>
          <w:szCs w:val="32"/>
        </w:rPr>
      </w:pPr>
    </w:p>
    <w:p w14:paraId="1115915E" w14:textId="77777777" w:rsidR="00837398" w:rsidRDefault="00837398" w:rsidP="00837398">
      <w:pPr>
        <w:rPr>
          <w:rFonts w:ascii="Georgia" w:hAnsi="Georgia"/>
          <w:b/>
          <w:bCs/>
          <w:sz w:val="32"/>
          <w:szCs w:val="32"/>
        </w:rPr>
      </w:pPr>
    </w:p>
    <w:p w14:paraId="73416354" w14:textId="77777777" w:rsidR="00837398" w:rsidRDefault="00837398" w:rsidP="00837398">
      <w:pPr>
        <w:rPr>
          <w:rFonts w:ascii="Georgia" w:hAnsi="Georgia"/>
          <w:b/>
          <w:bCs/>
          <w:sz w:val="32"/>
          <w:szCs w:val="32"/>
        </w:rPr>
      </w:pPr>
    </w:p>
    <w:p w14:paraId="5EF236F0" w14:textId="77777777" w:rsidR="00837398" w:rsidRDefault="00837398" w:rsidP="00837398">
      <w:pPr>
        <w:rPr>
          <w:rFonts w:ascii="Georgia" w:hAnsi="Georgia"/>
          <w:b/>
          <w:bCs/>
          <w:sz w:val="32"/>
          <w:szCs w:val="32"/>
        </w:rPr>
      </w:pPr>
    </w:p>
    <w:p w14:paraId="50F3E60E" w14:textId="77777777" w:rsidR="00837398" w:rsidRDefault="00837398" w:rsidP="00837398">
      <w:pPr>
        <w:rPr>
          <w:rFonts w:ascii="Georgia" w:hAnsi="Georgia"/>
          <w:b/>
          <w:bCs/>
          <w:sz w:val="32"/>
          <w:szCs w:val="32"/>
        </w:rPr>
      </w:pPr>
    </w:p>
    <w:p w14:paraId="4498314D" w14:textId="77777777" w:rsidR="00837398" w:rsidRPr="00837398" w:rsidRDefault="00837398" w:rsidP="00837398">
      <w:pPr>
        <w:rPr>
          <w:rFonts w:ascii="Georgia" w:hAnsi="Georgia"/>
          <w:b/>
          <w:bCs/>
          <w:sz w:val="32"/>
          <w:szCs w:val="32"/>
        </w:rPr>
      </w:pPr>
    </w:p>
    <w:p w14:paraId="52CAAACC" w14:textId="47D427D2" w:rsidR="00837398" w:rsidRPr="00837398" w:rsidRDefault="00837398" w:rsidP="00837398">
      <w:pPr>
        <w:rPr>
          <w:rFonts w:ascii="Georgia" w:hAnsi="Georgia"/>
          <w:b/>
          <w:bCs/>
          <w:sz w:val="32"/>
          <w:szCs w:val="32"/>
        </w:rPr>
      </w:pPr>
      <w:r w:rsidRPr="00837398">
        <w:rPr>
          <w:rFonts w:ascii="Georgia" w:hAnsi="Georgia"/>
          <w:b/>
          <w:bCs/>
          <w:sz w:val="32"/>
          <w:szCs w:val="32"/>
        </w:rPr>
        <w:lastRenderedPageBreak/>
        <w:t>Introduction</w:t>
      </w:r>
    </w:p>
    <w:p w14:paraId="440744E0" w14:textId="3C4DBBDF" w:rsidR="00837398" w:rsidRPr="00837398" w:rsidRDefault="00837398" w:rsidP="00837398">
      <w:pPr>
        <w:rPr>
          <w:rFonts w:ascii="Georgia" w:hAnsi="Georgia"/>
        </w:rPr>
      </w:pPr>
      <w:r w:rsidRPr="00837398">
        <w:rPr>
          <w:rFonts w:ascii="Georgia" w:hAnsi="Georgia"/>
        </w:rPr>
        <w:t>Museums have expanded to become all-encompassing establishments, drifting from themes which are hard to navigate and must be taken care of with caution, towards more creative and future focused hubs of activity. This report will focus on the Rowton’s Museum of the Paranormal and Spirituality, brought by Laura and Erik Rowton in 2024 (Church, 2024) with the intention of presenting the paranormal in a different, clearer light. In doing so they hope to achieve and provide a ‘safe space for paranormal research, spiritual exploration, investigation, and growth’ (Rowton Museum, 2025). The purpose of this report is to analyse the strengths and weaknesses of the museum's collection rationale. In this context a collection rationale refers to the intentions of the curators as they acquire their collections and the consequential narrative that they create through displaying the items. The report will therefore assess how successfully the museum meets its main aim through its collections, and the extent to which it meets contemporary expectations for museum organisation and practice.</w:t>
      </w:r>
    </w:p>
    <w:p w14:paraId="65EA2D60" w14:textId="01A74549" w:rsidR="00837398" w:rsidRPr="00837398" w:rsidRDefault="00837398" w:rsidP="00837398">
      <w:pPr>
        <w:rPr>
          <w:rFonts w:ascii="Georgia" w:hAnsi="Georgia"/>
          <w:b/>
          <w:bCs/>
          <w:sz w:val="32"/>
          <w:szCs w:val="32"/>
        </w:rPr>
      </w:pPr>
    </w:p>
    <w:p w14:paraId="63DB9A35" w14:textId="0BE08CCB" w:rsidR="00837398" w:rsidRPr="00837398" w:rsidRDefault="00837398" w:rsidP="00837398">
      <w:pPr>
        <w:rPr>
          <w:rFonts w:ascii="Georgia" w:hAnsi="Georgia"/>
          <w:b/>
          <w:bCs/>
          <w:sz w:val="32"/>
          <w:szCs w:val="32"/>
        </w:rPr>
      </w:pPr>
      <w:r w:rsidRPr="00837398">
        <w:rPr>
          <w:rFonts w:ascii="Georgia" w:hAnsi="Georgia"/>
          <w:b/>
          <w:bCs/>
          <w:sz w:val="32"/>
          <w:szCs w:val="32"/>
        </w:rPr>
        <w:t>Methodology</w:t>
      </w:r>
    </w:p>
    <w:p w14:paraId="7AB7D764" w14:textId="40F3DF55" w:rsidR="00837398" w:rsidRPr="00837398" w:rsidRDefault="00837398" w:rsidP="00837398">
      <w:pPr>
        <w:rPr>
          <w:rFonts w:ascii="Georgia" w:hAnsi="Georgia"/>
        </w:rPr>
      </w:pPr>
      <w:r w:rsidRPr="00837398">
        <w:rPr>
          <w:rFonts w:ascii="Georgia" w:hAnsi="Georgia"/>
        </w:rPr>
        <w:t>To gather the information needed to make this distinction the methodology used will be the analysis of the museum's website with insight into the physical location. Through the use of its website, it showcases the ways in which the museum wants to present itself through the voices of its curators, allowing the visitor to access the attraction of the museum without having to pay first. Additionally, in the digital age a website is often the first point of contact for visitors as it can also be the hub in which they book tickets or gain knowledge about the sector. Furthermore, using the website instead of its physical setting permits potential visitors to browse the collections and therefore see the knowledge the curators have on the items and whether the location will be worthy of visiting and paying for. </w:t>
      </w:r>
    </w:p>
    <w:p w14:paraId="79CF05FE" w14:textId="7CB90259" w:rsidR="00837398" w:rsidRPr="00837398" w:rsidRDefault="00837398" w:rsidP="00837398">
      <w:pPr>
        <w:rPr>
          <w:rFonts w:ascii="Georgia" w:hAnsi="Georgia"/>
          <w:b/>
          <w:bCs/>
          <w:sz w:val="32"/>
          <w:szCs w:val="32"/>
        </w:rPr>
      </w:pPr>
    </w:p>
    <w:p w14:paraId="1625EC6B" w14:textId="2880E508" w:rsidR="00837398" w:rsidRPr="00837398" w:rsidRDefault="00614179" w:rsidP="00837398">
      <w:pPr>
        <w:rPr>
          <w:rFonts w:ascii="Georgia" w:hAnsi="Georgia"/>
          <w:b/>
          <w:bCs/>
          <w:sz w:val="32"/>
          <w:szCs w:val="32"/>
        </w:rPr>
      </w:pPr>
      <w:r>
        <w:rPr>
          <w:rFonts w:ascii="Arial" w:hAnsi="Arial" w:cs="Arial"/>
          <w:noProof/>
          <w:color w:val="000000"/>
          <w:bdr w:val="none" w:sz="0" w:space="0" w:color="auto" w:frame="1"/>
        </w:rPr>
        <w:drawing>
          <wp:anchor distT="0" distB="0" distL="114300" distR="114300" simplePos="0" relativeHeight="251659264" behindDoc="1" locked="0" layoutInCell="1" allowOverlap="1" wp14:anchorId="72685386" wp14:editId="718DAE2A">
            <wp:simplePos x="0" y="0"/>
            <wp:positionH relativeFrom="margin">
              <wp:align>right</wp:align>
            </wp:positionH>
            <wp:positionV relativeFrom="paragraph">
              <wp:posOffset>22860</wp:posOffset>
            </wp:positionV>
            <wp:extent cx="2171700" cy="1774190"/>
            <wp:effectExtent l="0" t="0" r="0" b="0"/>
            <wp:wrapTight wrapText="bothSides">
              <wp:wrapPolygon edited="0">
                <wp:start x="0" y="0"/>
                <wp:lineTo x="0" y="21337"/>
                <wp:lineTo x="21411" y="21337"/>
                <wp:lineTo x="21411" y="0"/>
                <wp:lineTo x="0" y="0"/>
              </wp:wrapPolygon>
            </wp:wrapTight>
            <wp:docPr id="1440668449" name="Picture 2" descr="A map with a blue pi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668449" name="Picture 2" descr="A map with a blue pin on i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71700" cy="1774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37398" w:rsidRPr="00837398">
        <w:rPr>
          <w:rFonts w:ascii="Georgia" w:hAnsi="Georgia"/>
          <w:b/>
          <w:bCs/>
          <w:sz w:val="32"/>
          <w:szCs w:val="32"/>
        </w:rPr>
        <w:t>Background</w:t>
      </w:r>
    </w:p>
    <w:p w14:paraId="47EB842F" w14:textId="73DF3A5F" w:rsidR="00837398" w:rsidRPr="00837398" w:rsidRDefault="00614179" w:rsidP="00837398">
      <w:pPr>
        <w:rPr>
          <w:rFonts w:ascii="Georgia" w:hAnsi="Georgia"/>
        </w:rPr>
      </w:pPr>
      <w:r>
        <w:rPr>
          <w:noProof/>
        </w:rPr>
        <mc:AlternateContent>
          <mc:Choice Requires="wps">
            <w:drawing>
              <wp:anchor distT="0" distB="0" distL="114300" distR="114300" simplePos="0" relativeHeight="251664384" behindDoc="1" locked="0" layoutInCell="1" allowOverlap="1" wp14:anchorId="40BA3DE8" wp14:editId="55CF3FE1">
                <wp:simplePos x="0" y="0"/>
                <wp:positionH relativeFrom="margin">
                  <wp:align>right</wp:align>
                </wp:positionH>
                <wp:positionV relativeFrom="paragraph">
                  <wp:posOffset>1500505</wp:posOffset>
                </wp:positionV>
                <wp:extent cx="2171700" cy="165100"/>
                <wp:effectExtent l="0" t="0" r="0" b="6350"/>
                <wp:wrapTight wrapText="bothSides">
                  <wp:wrapPolygon edited="0">
                    <wp:start x="0" y="0"/>
                    <wp:lineTo x="0" y="19938"/>
                    <wp:lineTo x="21411" y="19938"/>
                    <wp:lineTo x="21411" y="0"/>
                    <wp:lineTo x="0" y="0"/>
                  </wp:wrapPolygon>
                </wp:wrapTight>
                <wp:docPr id="2077788318" name="Text Box 1"/>
                <wp:cNvGraphicFramePr/>
                <a:graphic xmlns:a="http://schemas.openxmlformats.org/drawingml/2006/main">
                  <a:graphicData uri="http://schemas.microsoft.com/office/word/2010/wordprocessingShape">
                    <wps:wsp>
                      <wps:cNvSpPr txBox="1"/>
                      <wps:spPr>
                        <a:xfrm>
                          <a:off x="0" y="0"/>
                          <a:ext cx="2171700" cy="165100"/>
                        </a:xfrm>
                        <a:prstGeom prst="rect">
                          <a:avLst/>
                        </a:prstGeom>
                        <a:solidFill>
                          <a:prstClr val="white"/>
                        </a:solidFill>
                        <a:ln>
                          <a:noFill/>
                        </a:ln>
                      </wps:spPr>
                      <wps:txbx>
                        <w:txbxContent>
                          <w:p w14:paraId="729A6E1F" w14:textId="77777777" w:rsidR="00614179" w:rsidRPr="00614179" w:rsidRDefault="00614179" w:rsidP="00614179">
                            <w:pPr>
                              <w:pStyle w:val="Caption"/>
                              <w:rPr>
                                <w:rFonts w:ascii="Arial" w:hAnsi="Arial" w:cs="Arial"/>
                                <w:noProof/>
                                <w:color w:val="000000"/>
                                <w:sz w:val="12"/>
                                <w:szCs w:val="12"/>
                                <w:bdr w:val="none" w:sz="0" w:space="0" w:color="auto" w:frame="1"/>
                              </w:rPr>
                            </w:pPr>
                            <w:hyperlink r:id="rId5" w:history="1">
                              <w:r w:rsidRPr="00614179">
                                <w:rPr>
                                  <w:rStyle w:val="Hyperlink"/>
                                  <w:rFonts w:ascii="Arial" w:hAnsi="Arial" w:cs="Arial"/>
                                  <w:noProof/>
                                  <w:sz w:val="12"/>
                                  <w:szCs w:val="12"/>
                                  <w:bdr w:val="none" w:sz="0" w:space="0" w:color="auto" w:frame="1"/>
                                </w:rPr>
                                <w:t>Penuel Baptist Chapel and attached schoolroom, Carmarthen, Carmarthenshire</w:t>
                              </w:r>
                            </w:hyperlink>
                          </w:p>
                          <w:p w14:paraId="4F4DA55D" w14:textId="49AA9E78" w:rsidR="00614179" w:rsidRPr="00614179" w:rsidRDefault="00614179" w:rsidP="00614179">
                            <w:pPr>
                              <w:pStyle w:val="Caption"/>
                              <w:rPr>
                                <w:rFonts w:ascii="Arial" w:hAnsi="Arial" w:cs="Arial"/>
                                <w:noProof/>
                                <w:color w:val="000000"/>
                                <w:sz w:val="16"/>
                                <w:szCs w:val="16"/>
                                <w:bdr w:val="none" w:sz="0" w:space="0" w:color="auto" w:frame="1"/>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0BA3DE8" id="_x0000_t202" coordsize="21600,21600" o:spt="202" path="m,l,21600r21600,l21600,xe">
                <v:stroke joinstyle="miter"/>
                <v:path gradientshapeok="t" o:connecttype="rect"/>
              </v:shapetype>
              <v:shape id="Text Box 1" o:spid="_x0000_s1026" type="#_x0000_t202" style="position:absolute;margin-left:119.8pt;margin-top:118.15pt;width:171pt;height:13pt;z-index:-25165209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" stroked="f">
                <v:textbox inset="0,0,0,0">
                  <w:txbxContent>
                    <w:p w14:paraId="729A6E1F" w14:textId="77777777" w:rsidR="00614179" w:rsidRPr="00614179" w:rsidRDefault="00614179" w:rsidP="00614179">
                      <w:pPr>
                        <w:pStyle w:val="Caption"/>
                        <w:rPr>
                          <w:rFonts w:ascii="Arial" w:hAnsi="Arial" w:cs="Arial"/>
                          <w:noProof/>
                          <w:color w:val="000000"/>
                          <w:sz w:val="12"/>
                          <w:szCs w:val="12"/>
                          <w:bdr w:val="none" w:sz="0" w:space="0" w:color="auto" w:frame="1"/>
                        </w:rPr>
                      </w:pPr>
                      <w:hyperlink r:id="rId6" w:history="1">
                        <w:r w:rsidRPr="00614179">
                          <w:rPr>
                            <w:rStyle w:val="Hyperlink"/>
                            <w:rFonts w:ascii="Arial" w:hAnsi="Arial" w:cs="Arial"/>
                            <w:noProof/>
                            <w:sz w:val="12"/>
                            <w:szCs w:val="12"/>
                            <w:bdr w:val="none" w:sz="0" w:space="0" w:color="auto" w:frame="1"/>
                          </w:rPr>
                          <w:t>Penuel Baptist Chapel and attached schoolroom, Carmarthen, Carmarthenshire</w:t>
                        </w:r>
                      </w:hyperlink>
                    </w:p>
                    <w:p w14:paraId="4F4DA55D" w14:textId="49AA9E78" w:rsidR="00614179" w:rsidRPr="00614179" w:rsidRDefault="00614179" w:rsidP="00614179">
                      <w:pPr>
                        <w:pStyle w:val="Caption"/>
                        <w:rPr>
                          <w:rFonts w:ascii="Arial" w:hAnsi="Arial" w:cs="Arial"/>
                          <w:noProof/>
                          <w:color w:val="000000"/>
                          <w:sz w:val="16"/>
                          <w:szCs w:val="16"/>
                          <w:bdr w:val="none" w:sz="0" w:space="0" w:color="auto" w:frame="1"/>
                        </w:rPr>
                      </w:pPr>
                    </w:p>
                  </w:txbxContent>
                </v:textbox>
                <w10:wrap type="tight" anchorx="margin"/>
              </v:shape>
            </w:pict>
          </mc:Fallback>
        </mc:AlternateContent>
      </w:r>
      <w:r>
        <w:rPr>
          <w:rFonts w:ascii="Arial" w:hAnsi="Arial" w:cs="Arial"/>
          <w:noProof/>
          <w:color w:val="000000"/>
          <w:bdr w:val="none" w:sz="0" w:space="0" w:color="auto" w:frame="1"/>
        </w:rPr>
        <w:drawing>
          <wp:anchor distT="0" distB="0" distL="114300" distR="114300" simplePos="0" relativeHeight="251662336" behindDoc="1" locked="0" layoutInCell="1" allowOverlap="1" wp14:anchorId="2C4967A1" wp14:editId="466CD0EB">
            <wp:simplePos x="0" y="0"/>
            <wp:positionH relativeFrom="margin">
              <wp:align>left</wp:align>
            </wp:positionH>
            <wp:positionV relativeFrom="paragraph">
              <wp:posOffset>1804670</wp:posOffset>
            </wp:positionV>
            <wp:extent cx="2336800" cy="1308100"/>
            <wp:effectExtent l="0" t="0" r="6350" b="6350"/>
            <wp:wrapTight wrapText="bothSides">
              <wp:wrapPolygon edited="0">
                <wp:start x="0" y="0"/>
                <wp:lineTo x="0" y="21390"/>
                <wp:lineTo x="21483" y="21390"/>
                <wp:lineTo x="21483" y="0"/>
                <wp:lineTo x="0" y="0"/>
              </wp:wrapPolygon>
            </wp:wrapTight>
            <wp:docPr id="1303096784" name="Picture 5" descr="A gated entrance to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96784" name="Picture 5" descr="A gated entrance to a building&#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36800" cy="1308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37398" w:rsidRPr="00837398">
        <w:rPr>
          <w:rFonts w:ascii="Georgia" w:hAnsi="Georgia"/>
        </w:rPr>
        <w:t>The building of the museum is a grade II listed building that was once named Penuel Chapel, erected in 1786 after the land was bought from John Morgan Sr of the tin works company (British listed buildings, 1999). The cause for the chapel was established a few decades earlier in 1757 by Stephen Davies, a preacher and a linen draper, and first settled across the road from the establishment in what was the Old Church Yard (British listed buildings, 1999). Throughout its life the building has been enlarged once in 1797, rebuilt in 1851-2, extended to add a schoolroom in 1886 with the grant of £1,200 from George Morgan and finally rebuilt again in 1909- 10 by J. Morgan (Rowton Museum, 2025). Ownership by the congregation continued on until August 2024 (Church, 2024) in which it was brought out by the present owners and turned into the museum. </w:t>
      </w:r>
    </w:p>
    <w:p w14:paraId="313AEB92" w14:textId="5FF06425" w:rsidR="00837398" w:rsidRDefault="00837398" w:rsidP="00837398">
      <w:pPr>
        <w:rPr>
          <w:rFonts w:ascii="Georgia" w:hAnsi="Georgia"/>
        </w:rPr>
      </w:pPr>
      <w:r w:rsidRPr="00837398">
        <w:rPr>
          <w:rFonts w:ascii="Georgia" w:hAnsi="Georgia"/>
        </w:rPr>
        <w:lastRenderedPageBreak/>
        <w:t>The collection itself is compiled of a myriad of items from multiple different time periods. Overall the theme is supernatural and abstract, being defined by the website as ‘strange, spooky, and sacred’ (Rowton Museum, 2025). Throughout the collection they hold multiple religious items with detailed backgrounds and items that can relate or are related to death and the afterlife. As to the reason for their collection the museum presents the idea of perennialism (Rowton Museum, 2025) in relation to the ways in which the visitors are meant to behave with the items. Perennialism being the belief that fundamental and classical concepts should be taught to children in order to have them understand the choices they make in the future and how it fits in societal norms (Philosophy, 2023). Through their collecting they suggest that they are ‘determined to elevate the reputation of the paranormal’ (Rowton Museum, 2025), by which they want to expand people's experiences and views on the paranormal. </w:t>
      </w:r>
    </w:p>
    <w:p w14:paraId="333B91F2" w14:textId="59869966" w:rsidR="00837398" w:rsidRPr="00837398" w:rsidRDefault="00837398" w:rsidP="00837398">
      <w:pPr>
        <w:rPr>
          <w:rFonts w:ascii="Georgia" w:hAnsi="Georgia"/>
        </w:rPr>
      </w:pPr>
    </w:p>
    <w:p w14:paraId="3C6C1A7A" w14:textId="02576C5D" w:rsidR="00837398" w:rsidRPr="00837398" w:rsidRDefault="00837398" w:rsidP="00837398">
      <w:pPr>
        <w:rPr>
          <w:rFonts w:ascii="Georgia" w:hAnsi="Georgia"/>
          <w:b/>
          <w:bCs/>
          <w:sz w:val="32"/>
          <w:szCs w:val="32"/>
        </w:rPr>
      </w:pPr>
      <w:r w:rsidRPr="00837398">
        <w:rPr>
          <w:rFonts w:ascii="Georgia" w:hAnsi="Georgia"/>
          <w:b/>
          <w:bCs/>
          <w:sz w:val="32"/>
          <w:szCs w:val="32"/>
        </w:rPr>
        <w:t>Analysis</w:t>
      </w:r>
    </w:p>
    <w:p w14:paraId="1A409D61" w14:textId="148FEA70" w:rsidR="00837398" w:rsidRPr="00837398" w:rsidRDefault="00837398" w:rsidP="00837398">
      <w:pPr>
        <w:rPr>
          <w:rFonts w:ascii="Georgia" w:hAnsi="Georgia"/>
        </w:rPr>
      </w:pPr>
      <w:r w:rsidRPr="00837398">
        <w:rPr>
          <w:rFonts w:ascii="Georgia" w:hAnsi="Georgia"/>
        </w:rPr>
        <w:t>Throughout the website the visitor is constantly bombarded with the knowledge that the museum themes itself on the supernatural and paranormal. Opening with a cinematic but monochrome photo of the church through its gates it fully embraces the mainstream ideas of what is considered spooky or ominous. When looking at its collections page it uses different photos to categorise their vast set of items, in doing so the photos are also in a monochromatic format and therefore give off the same eerie message. Therefore, its layout and colour scheme are not disjointed to the overall theme of the museum and present what is to be expected by the visitor. This is evaluated as a strength as it outlines one of the main aims of the museum, to present the supernatural in an accessible way by being a safe space for spiritual exploration which a visitor can do through the knowledge that they are contextually in the right place. </w:t>
      </w:r>
    </w:p>
    <w:p w14:paraId="3BE24AA9" w14:textId="2F3AA1D5" w:rsidR="00837398" w:rsidRPr="00837398" w:rsidRDefault="00614179" w:rsidP="00837398">
      <w:pPr>
        <w:rPr>
          <w:rFonts w:ascii="Georgia" w:hAnsi="Georgia"/>
        </w:rPr>
      </w:pPr>
      <w:r>
        <w:rPr>
          <w:rFonts w:ascii="Arial" w:hAnsi="Arial" w:cs="Arial"/>
          <w:noProof/>
          <w:color w:val="000000"/>
          <w:bdr w:val="none" w:sz="0" w:space="0" w:color="auto" w:frame="1"/>
        </w:rPr>
        <w:drawing>
          <wp:anchor distT="0" distB="0" distL="114300" distR="114300" simplePos="0" relativeHeight="251658240" behindDoc="1" locked="0" layoutInCell="1" allowOverlap="1" wp14:anchorId="2B951D39" wp14:editId="35651996">
            <wp:simplePos x="0" y="0"/>
            <wp:positionH relativeFrom="margin">
              <wp:align>left</wp:align>
            </wp:positionH>
            <wp:positionV relativeFrom="paragraph">
              <wp:posOffset>13970</wp:posOffset>
            </wp:positionV>
            <wp:extent cx="1076325" cy="2123440"/>
            <wp:effectExtent l="0" t="0" r="9525" b="0"/>
            <wp:wrapTight wrapText="bothSides">
              <wp:wrapPolygon edited="0">
                <wp:start x="0" y="0"/>
                <wp:lineTo x="0" y="21316"/>
                <wp:lineTo x="21409" y="21316"/>
                <wp:lineTo x="21409" y="0"/>
                <wp:lineTo x="0" y="0"/>
              </wp:wrapPolygon>
            </wp:wrapTight>
            <wp:docPr id="30176680" name="Picture 1"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6680" name="Picture 1" descr="A screenshot of a white box&#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6325" cy="2123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37398" w:rsidRPr="00837398">
        <w:rPr>
          <w:rFonts w:ascii="Georgia" w:hAnsi="Georgia"/>
        </w:rPr>
        <w:t>Context is important in the understanding of objects in a museum, especially in the instance where the museum wants to be able to educate and bring on experiences and revelations for their visitors. The information on the website is placed under categories as mentioned, making it easily accessible for people to find the information they so require or wish to observe. Furthermore, information listed is only the information that they have acquired and therefore is factually correct, meaning its credibility is held as it does not try to change the visitors perspective on false claims. However, in doing so the museum’s details on certain items are often vague and use collectives such as centuries instead of proper time barriers meaning that the items are archived in broad manners. This would therefore make it harder for people to use these items in paranormal research as they do not fully outline the details needed for understanding the past of that item. Additionally, information documented on the paranormal aspects of the items cannot be contested like the factual data as it is hearsay to what the donator experiences, therefore it cannot fully be trusted and can only be used with caution when wanting to use it for paranormal research or investigation. </w:t>
      </w:r>
    </w:p>
    <w:p w14:paraId="7357069D" w14:textId="775F2AD6" w:rsidR="00837398" w:rsidRPr="00837398" w:rsidRDefault="00614179" w:rsidP="00837398">
      <w:pPr>
        <w:rPr>
          <w:rFonts w:ascii="Georgia" w:hAnsi="Georgia"/>
        </w:rPr>
      </w:pPr>
      <w:r>
        <w:rPr>
          <w:rFonts w:ascii="Arial" w:hAnsi="Arial" w:cs="Arial"/>
          <w:noProof/>
          <w:color w:val="000000"/>
          <w:bdr w:val="none" w:sz="0" w:space="0" w:color="auto" w:frame="1"/>
        </w:rPr>
        <w:lastRenderedPageBreak/>
        <w:drawing>
          <wp:anchor distT="0" distB="0" distL="114300" distR="114300" simplePos="0" relativeHeight="251660288" behindDoc="1" locked="0" layoutInCell="1" allowOverlap="1" wp14:anchorId="07E30DEB" wp14:editId="286FBBC1">
            <wp:simplePos x="0" y="0"/>
            <wp:positionH relativeFrom="margin">
              <wp:posOffset>3809365</wp:posOffset>
            </wp:positionH>
            <wp:positionV relativeFrom="paragraph">
              <wp:posOffset>9525</wp:posOffset>
            </wp:positionV>
            <wp:extent cx="1913255" cy="1579245"/>
            <wp:effectExtent l="0" t="0" r="0" b="1905"/>
            <wp:wrapTight wrapText="bothSides">
              <wp:wrapPolygon edited="0">
                <wp:start x="0" y="0"/>
                <wp:lineTo x="0" y="21366"/>
                <wp:lineTo x="21292" y="21366"/>
                <wp:lineTo x="21292" y="0"/>
                <wp:lineTo x="0" y="0"/>
              </wp:wrapPolygon>
            </wp:wrapTight>
            <wp:docPr id="1458063394" name="Picture 3" descr="A collage of different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063394" name="Picture 3" descr="A collage of different object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13255" cy="15792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37398" w:rsidRPr="00837398">
        <w:rPr>
          <w:rFonts w:ascii="Georgia" w:hAnsi="Georgia"/>
        </w:rPr>
        <w:t>Continuing with the focus to change people's perspective of the paranormal and to make their museum a safe space for paranormal exploration, another strength reflected through their website is the choice of collection. There is a set of eight different categories for which visitors can look through their desired area, however, there is an additional search bar with a ‘surprise me’ feature where the visitor would be sent to a randomised item. This highlights their rationale as it shows their ability to be concise with their collection and focus it on the ways people would be wanting to search through it. However, the quantity on the website, despite the note that there is not the entire collection online, is lacking as certain categories only contain up to four or five items. This therefore limits the visitors' experience to a very minimal range and also retracts from the ability to research or utilise those items in their exploration of the spiritual sector. </w:t>
      </w:r>
    </w:p>
    <w:p w14:paraId="2B913DA2" w14:textId="593A382F" w:rsidR="00837398" w:rsidRPr="00837398" w:rsidRDefault="00837398" w:rsidP="00837398">
      <w:pPr>
        <w:rPr>
          <w:rFonts w:ascii="Georgia" w:hAnsi="Georgia"/>
        </w:rPr>
      </w:pPr>
      <w:r w:rsidRPr="00837398">
        <w:rPr>
          <w:rFonts w:ascii="Georgia" w:hAnsi="Georgia"/>
        </w:rPr>
        <w:t>While keeping with their theme of the supernatural and their aim to create a different perspective on the paranormal, the ways in which they word their collections retracts from their statement as they are described as ‘strange, spooky and sacred’ (Rowton Museum, 2025). The use of the terms strange and spooky gives itself to the preconceived notions of the supernatural. Additionally with the collection having both religious and multicultural items the description of strange can be construed as feeding into the stereotype that what does not fit into western standards is abnormal (Daniel Martin Varisco, 2007, p.5). By labelling their collection this way they are setting up the idea to their visitors that these objects are meant to be judged and perceived in a stereotypical light, weakening the validity of their rationale’s intent. Further wording on the website such as reference to them caring for items of ‘extreme paranormal activity’ (Rowton Museum, 2025) may present a bias towards the items they showcase on display in the museum and the ones digitised. Items that may hold higher shock value with the paranormal activity captured of them may be kept as in person originals and therefore limit the accessibility to those unable to attend the museum. Or things that may be underperforming activity wise may be neglected more compared to those with higher activity, meaning they would be less likely to be digitised or displayed for a wider audience to educate themselves on. </w:t>
      </w:r>
    </w:p>
    <w:p w14:paraId="7DF64065" w14:textId="365052EC" w:rsidR="00837398" w:rsidRPr="00837398" w:rsidRDefault="00614179" w:rsidP="00837398">
      <w:pPr>
        <w:rPr>
          <w:rFonts w:ascii="Georgia" w:hAnsi="Georgia"/>
        </w:rPr>
      </w:pPr>
      <w:r>
        <w:rPr>
          <w:rFonts w:ascii="Arial" w:hAnsi="Arial" w:cs="Arial"/>
          <w:noProof/>
          <w:color w:val="000000"/>
          <w:bdr w:val="none" w:sz="0" w:space="0" w:color="auto" w:frame="1"/>
        </w:rPr>
        <w:drawing>
          <wp:anchor distT="0" distB="0" distL="114300" distR="114300" simplePos="0" relativeHeight="251661312" behindDoc="1" locked="0" layoutInCell="1" allowOverlap="1" wp14:anchorId="788A9FE4" wp14:editId="3FA7EE5A">
            <wp:simplePos x="0" y="0"/>
            <wp:positionH relativeFrom="margin">
              <wp:align>right</wp:align>
            </wp:positionH>
            <wp:positionV relativeFrom="paragraph">
              <wp:posOffset>13335</wp:posOffset>
            </wp:positionV>
            <wp:extent cx="2156460" cy="2997200"/>
            <wp:effectExtent l="0" t="0" r="0" b="0"/>
            <wp:wrapTight wrapText="bothSides">
              <wp:wrapPolygon edited="0">
                <wp:start x="0" y="0"/>
                <wp:lineTo x="0" y="21417"/>
                <wp:lineTo x="21371" y="21417"/>
                <wp:lineTo x="21371" y="0"/>
                <wp:lineTo x="0" y="0"/>
              </wp:wrapPolygon>
            </wp:wrapTight>
            <wp:docPr id="1491181364" name="Picture 4" descr="A screenshot of a contact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181364" name="Picture 4" descr="A screenshot of a contact form&#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6460" cy="2997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37398" w:rsidRPr="00837398">
        <w:rPr>
          <w:rFonts w:ascii="Georgia" w:hAnsi="Georgia"/>
        </w:rPr>
        <w:t xml:space="preserve">The museum's vast collection also calls into question their ethical standpoints, especially within the nature of their sector. Specifically the museum holds many, as previously mentioned, religious and sacred items that bring with them the importance of the context and their heritage. For example items such as the catholic artefacts should be honoured by standing with  what it represents within the descriptions and displays. However, with pieces on their website that can be seen as culturally sensitive, it is largely important that time and care is given to educate the visitor on its history and importance to the culture it is derived from. As previously mentioned there is a distinct lack of items listed on their website and within the category of sacred there is only one listing. Whilst the description is well thought out and easily understood, the lack of uncommon items in their arsenal minimised a visitors ability to educate themselves fully on a myriad of sacred items and therefore experience the paranormal through a multicultural lens. The </w:t>
      </w:r>
      <w:r w:rsidR="00837398" w:rsidRPr="00837398">
        <w:rPr>
          <w:rFonts w:ascii="Georgia" w:hAnsi="Georgia"/>
        </w:rPr>
        <w:lastRenderedPageBreak/>
        <w:t>information given is descriptive and correct, however, it begs to question as to whether they should be presenting this item at all. Ethically is the museum the right place to be displaying such artefacts, additionally with the knowledge that the items may have been from their own private collection or donated in which its ethical origins can only be hypothesised. </w:t>
      </w:r>
    </w:p>
    <w:p w14:paraId="6B116D02" w14:textId="77777777" w:rsidR="00837398" w:rsidRPr="00837398" w:rsidRDefault="00837398" w:rsidP="00837398">
      <w:pPr>
        <w:rPr>
          <w:rFonts w:ascii="Georgia" w:hAnsi="Georgia"/>
          <w:b/>
          <w:bCs/>
          <w:sz w:val="32"/>
          <w:szCs w:val="32"/>
        </w:rPr>
      </w:pPr>
    </w:p>
    <w:p w14:paraId="5B3229C2" w14:textId="77777777" w:rsidR="00614179" w:rsidRDefault="00614179" w:rsidP="00837398">
      <w:pPr>
        <w:rPr>
          <w:rFonts w:ascii="Georgia" w:hAnsi="Georgia"/>
          <w:b/>
          <w:bCs/>
          <w:sz w:val="32"/>
          <w:szCs w:val="32"/>
        </w:rPr>
      </w:pPr>
    </w:p>
    <w:p w14:paraId="2580DABB" w14:textId="12FEFCBA" w:rsidR="00837398" w:rsidRPr="00837398" w:rsidRDefault="00837398" w:rsidP="00837398">
      <w:pPr>
        <w:rPr>
          <w:rFonts w:ascii="Georgia" w:hAnsi="Georgia"/>
          <w:b/>
          <w:bCs/>
          <w:sz w:val="32"/>
          <w:szCs w:val="32"/>
        </w:rPr>
      </w:pPr>
      <w:r w:rsidRPr="00837398">
        <w:rPr>
          <w:rFonts w:ascii="Georgia" w:hAnsi="Georgia"/>
          <w:b/>
          <w:bCs/>
          <w:sz w:val="32"/>
          <w:szCs w:val="32"/>
        </w:rPr>
        <w:t>Conclusion </w:t>
      </w:r>
    </w:p>
    <w:p w14:paraId="5B541119" w14:textId="77777777" w:rsidR="00837398" w:rsidRPr="00837398" w:rsidRDefault="00837398" w:rsidP="00837398">
      <w:pPr>
        <w:rPr>
          <w:rFonts w:ascii="Georgia" w:hAnsi="Georgia"/>
        </w:rPr>
      </w:pPr>
      <w:r w:rsidRPr="00837398">
        <w:rPr>
          <w:rFonts w:ascii="Georgia" w:hAnsi="Georgia"/>
        </w:rPr>
        <w:t xml:space="preserve">In conclusion, the purpose of this report was to again evaluate the collection rationale of the Rowton’s museum and analyse whether it keeps up with its aims through its collection. Main strengths presented include the accessibility of their website, well thought out and allows for easy access to visitors to browse their collection. Additionally, its informative descriptions make researching the paranormal straightforward and gives the visitor tangible, factual evidence on each item which helps build the items backstory and importance. However, the weaknesses of their collection rationale limit their credibility and accessibility as the collection online is lacking in not only content but diversity. With a myriad of different items that are on display in the museum and presented on their social media pages, the collection on their website contains only a very small fraction of what they could be digitising and showing to wider audiences. Additionally, wording on the website can often be misconstrued and taken away from their want to educate and allow for visitors to re-evaluate their beliefs on the paranormal. Overall, the collection rationale is well implied and coherent throughout its collection and website, however, it does have areas for which it can improve upon such as digitising more of their collection and being more cautious on the ethical background of the items donated to them. </w:t>
      </w:r>
    </w:p>
    <w:p w14:paraId="0071D6A2" w14:textId="77777777" w:rsidR="00531BB7" w:rsidRDefault="00531BB7" w:rsidP="00531BB7">
      <w:pPr>
        <w:rPr>
          <w:rFonts w:ascii="Georgia" w:hAnsi="Georgia"/>
          <w:b/>
          <w:bCs/>
          <w:sz w:val="28"/>
          <w:szCs w:val="28"/>
        </w:rPr>
      </w:pPr>
    </w:p>
    <w:p w14:paraId="0170D24C" w14:textId="77777777" w:rsidR="00531BB7" w:rsidRDefault="00531BB7" w:rsidP="00531BB7">
      <w:pPr>
        <w:rPr>
          <w:rFonts w:ascii="Georgia" w:hAnsi="Georgia"/>
          <w:b/>
          <w:bCs/>
          <w:sz w:val="28"/>
          <w:szCs w:val="28"/>
        </w:rPr>
      </w:pPr>
    </w:p>
    <w:p w14:paraId="22BAD501" w14:textId="77777777" w:rsidR="00531BB7" w:rsidRDefault="00531BB7" w:rsidP="00531BB7">
      <w:pPr>
        <w:rPr>
          <w:rFonts w:ascii="Georgia" w:hAnsi="Georgia"/>
          <w:b/>
          <w:bCs/>
          <w:sz w:val="28"/>
          <w:szCs w:val="28"/>
        </w:rPr>
      </w:pPr>
    </w:p>
    <w:p w14:paraId="7A920723" w14:textId="77777777" w:rsidR="00531BB7" w:rsidRDefault="00531BB7" w:rsidP="00531BB7">
      <w:pPr>
        <w:rPr>
          <w:rFonts w:ascii="Georgia" w:hAnsi="Georgia"/>
          <w:b/>
          <w:bCs/>
          <w:sz w:val="28"/>
          <w:szCs w:val="28"/>
        </w:rPr>
      </w:pPr>
    </w:p>
    <w:p w14:paraId="7C8B64FA" w14:textId="77777777" w:rsidR="005124B0" w:rsidRDefault="005124B0" w:rsidP="00531BB7">
      <w:pPr>
        <w:rPr>
          <w:rFonts w:ascii="Georgia" w:hAnsi="Georgia"/>
          <w:b/>
          <w:bCs/>
          <w:sz w:val="28"/>
          <w:szCs w:val="28"/>
        </w:rPr>
      </w:pPr>
    </w:p>
    <w:p w14:paraId="459236B0" w14:textId="77777777" w:rsidR="005124B0" w:rsidRDefault="005124B0" w:rsidP="00531BB7">
      <w:pPr>
        <w:rPr>
          <w:rFonts w:ascii="Georgia" w:hAnsi="Georgia"/>
          <w:b/>
          <w:bCs/>
          <w:sz w:val="28"/>
          <w:szCs w:val="28"/>
        </w:rPr>
      </w:pPr>
    </w:p>
    <w:p w14:paraId="24A4F4D3" w14:textId="77777777" w:rsidR="005124B0" w:rsidRDefault="005124B0" w:rsidP="00531BB7">
      <w:pPr>
        <w:rPr>
          <w:rFonts w:ascii="Georgia" w:hAnsi="Georgia"/>
          <w:b/>
          <w:bCs/>
          <w:sz w:val="28"/>
          <w:szCs w:val="28"/>
        </w:rPr>
      </w:pPr>
    </w:p>
    <w:p w14:paraId="28D0F839" w14:textId="77777777" w:rsidR="005124B0" w:rsidRDefault="005124B0" w:rsidP="00531BB7">
      <w:pPr>
        <w:rPr>
          <w:rFonts w:ascii="Georgia" w:hAnsi="Georgia"/>
          <w:b/>
          <w:bCs/>
          <w:sz w:val="28"/>
          <w:szCs w:val="28"/>
        </w:rPr>
      </w:pPr>
    </w:p>
    <w:p w14:paraId="7501B10B" w14:textId="77777777" w:rsidR="005124B0" w:rsidRDefault="005124B0" w:rsidP="00531BB7">
      <w:pPr>
        <w:rPr>
          <w:rFonts w:ascii="Georgia" w:hAnsi="Georgia"/>
          <w:b/>
          <w:bCs/>
          <w:sz w:val="28"/>
          <w:szCs w:val="28"/>
        </w:rPr>
      </w:pPr>
    </w:p>
    <w:p w14:paraId="48AA01AC" w14:textId="77777777" w:rsidR="005124B0" w:rsidRDefault="005124B0" w:rsidP="00531BB7">
      <w:pPr>
        <w:rPr>
          <w:rFonts w:ascii="Georgia" w:hAnsi="Georgia"/>
          <w:b/>
          <w:bCs/>
          <w:sz w:val="28"/>
          <w:szCs w:val="28"/>
        </w:rPr>
      </w:pPr>
    </w:p>
    <w:p w14:paraId="02139699" w14:textId="77777777" w:rsidR="005124B0" w:rsidRDefault="005124B0" w:rsidP="00531BB7">
      <w:pPr>
        <w:rPr>
          <w:rFonts w:ascii="Georgia" w:hAnsi="Georgia"/>
          <w:b/>
          <w:bCs/>
          <w:sz w:val="28"/>
          <w:szCs w:val="28"/>
        </w:rPr>
      </w:pPr>
    </w:p>
    <w:p w14:paraId="40A983C6" w14:textId="77777777" w:rsidR="005124B0" w:rsidRDefault="005124B0" w:rsidP="00531BB7">
      <w:pPr>
        <w:rPr>
          <w:rFonts w:ascii="Georgia" w:hAnsi="Georgia"/>
          <w:b/>
          <w:bCs/>
          <w:sz w:val="28"/>
          <w:szCs w:val="28"/>
        </w:rPr>
      </w:pPr>
    </w:p>
    <w:p w14:paraId="53C7B93B" w14:textId="77777777" w:rsidR="005124B0" w:rsidRDefault="005124B0" w:rsidP="00531BB7">
      <w:pPr>
        <w:rPr>
          <w:rFonts w:ascii="Georgia" w:hAnsi="Georgia"/>
          <w:b/>
          <w:bCs/>
          <w:sz w:val="28"/>
          <w:szCs w:val="28"/>
        </w:rPr>
      </w:pPr>
    </w:p>
    <w:p w14:paraId="722A00EF" w14:textId="68E0E94F" w:rsidR="00FE16C4" w:rsidRDefault="00531BB7" w:rsidP="00531BB7">
      <w:pPr>
        <w:rPr>
          <w:rFonts w:ascii="Georgia" w:hAnsi="Georgia"/>
        </w:rPr>
      </w:pPr>
      <w:r>
        <w:rPr>
          <w:rFonts w:ascii="Georgia" w:hAnsi="Georgia"/>
          <w:b/>
          <w:bCs/>
          <w:sz w:val="28"/>
          <w:szCs w:val="28"/>
        </w:rPr>
        <w:lastRenderedPageBreak/>
        <w:t xml:space="preserve">Bibliography </w:t>
      </w:r>
    </w:p>
    <w:p w14:paraId="598A78A8" w14:textId="77777777" w:rsidR="00FE16C4" w:rsidRDefault="00FE16C4" w:rsidP="00531BB7">
      <w:pPr>
        <w:rPr>
          <w:rFonts w:ascii="Georgia" w:hAnsi="Georgia"/>
        </w:rPr>
      </w:pPr>
    </w:p>
    <w:p w14:paraId="562AA3D1" w14:textId="77777777" w:rsidR="00FE16C4" w:rsidRPr="00FE16C4" w:rsidRDefault="00FE16C4" w:rsidP="00FE16C4">
      <w:pPr>
        <w:rPr>
          <w:rFonts w:ascii="Georgia" w:hAnsi="Georgia"/>
        </w:rPr>
      </w:pPr>
      <w:r w:rsidRPr="00FE16C4">
        <w:rPr>
          <w:rFonts w:ascii="Georgia" w:hAnsi="Georgia"/>
          <w:b/>
          <w:bCs/>
        </w:rPr>
        <w:t>British listed buildings</w:t>
      </w:r>
      <w:r w:rsidRPr="00FE16C4">
        <w:rPr>
          <w:rFonts w:ascii="Georgia" w:hAnsi="Georgia"/>
        </w:rPr>
        <w:t xml:space="preserve"> (1999). </w:t>
      </w:r>
      <w:r w:rsidRPr="00FE16C4">
        <w:rPr>
          <w:rFonts w:ascii="Georgia" w:hAnsi="Georgia"/>
          <w:i/>
          <w:iCs/>
        </w:rPr>
        <w:t>Penuel Baptist Chapel and attached schoolroom.</w:t>
      </w:r>
      <w:r w:rsidRPr="00FE16C4">
        <w:rPr>
          <w:rFonts w:ascii="Georgia" w:hAnsi="Georgia"/>
        </w:rPr>
        <w:t xml:space="preserve"> [online] britishlistedbuildings.co.uk. . Available at: https://britishlistedbuildings.co.uk/300022274-penuel-baptist-chapel-and-attached-schoolroom-carmarthen..</w:t>
      </w:r>
    </w:p>
    <w:p w14:paraId="3CDB7D5D" w14:textId="77777777" w:rsidR="00FE16C4" w:rsidRPr="00FE16C4" w:rsidRDefault="00FE16C4" w:rsidP="00FE16C4">
      <w:pPr>
        <w:rPr>
          <w:rFonts w:ascii="Georgia" w:hAnsi="Georgia"/>
        </w:rPr>
      </w:pPr>
      <w:r w:rsidRPr="00FE16C4">
        <w:rPr>
          <w:rFonts w:ascii="Georgia" w:hAnsi="Georgia"/>
          <w:b/>
          <w:bCs/>
        </w:rPr>
        <w:t>Church, E.P.</w:t>
      </w:r>
      <w:r w:rsidRPr="00FE16C4">
        <w:rPr>
          <w:rFonts w:ascii="Georgia" w:hAnsi="Georgia"/>
        </w:rPr>
        <w:t xml:space="preserve"> (2024). </w:t>
      </w:r>
      <w:r w:rsidRPr="00FE16C4">
        <w:rPr>
          <w:rFonts w:ascii="Georgia" w:hAnsi="Georgia"/>
          <w:i/>
          <w:iCs/>
        </w:rPr>
        <w:t>Statement regarding the sale of Penuel Chapel.</w:t>
      </w:r>
      <w:r w:rsidRPr="00FE16C4">
        <w:rPr>
          <w:rFonts w:ascii="Georgia" w:hAnsi="Georgia"/>
        </w:rPr>
        <w:t xml:space="preserve"> [online] Penuel SA31. Available at: https://www.penuelsa31.cymru/en/post/statement-regarding-the-sale-of-penuel-chapel?utm_source=copilot.com [Accessed 14 Jan. 2026].</w:t>
      </w:r>
    </w:p>
    <w:p w14:paraId="4B653CF7" w14:textId="77777777" w:rsidR="00FE16C4" w:rsidRPr="00FE16C4" w:rsidRDefault="00FE16C4" w:rsidP="00FE16C4">
      <w:pPr>
        <w:rPr>
          <w:rFonts w:ascii="Georgia" w:hAnsi="Georgia"/>
        </w:rPr>
      </w:pPr>
      <w:r w:rsidRPr="00FE16C4">
        <w:rPr>
          <w:rFonts w:ascii="Georgia" w:hAnsi="Georgia"/>
          <w:b/>
          <w:bCs/>
        </w:rPr>
        <w:t>Daniel Martin Varisco</w:t>
      </w:r>
      <w:r w:rsidRPr="00FE16C4">
        <w:rPr>
          <w:rFonts w:ascii="Georgia" w:hAnsi="Georgia"/>
        </w:rPr>
        <w:t xml:space="preserve"> (2007). </w:t>
      </w:r>
      <w:r w:rsidRPr="00FE16C4">
        <w:rPr>
          <w:rFonts w:ascii="Georgia" w:hAnsi="Georgia"/>
          <w:i/>
          <w:iCs/>
        </w:rPr>
        <w:t>Reading Orientalism: Said and the unsaid.</w:t>
      </w:r>
      <w:r w:rsidRPr="00FE16C4">
        <w:rPr>
          <w:rFonts w:ascii="Georgia" w:hAnsi="Georgia"/>
        </w:rPr>
        <w:t xml:space="preserve"> Seattle: University of Washington Press, p.5.</w:t>
      </w:r>
    </w:p>
    <w:p w14:paraId="05E0A3F4" w14:textId="77777777" w:rsidR="00FE16C4" w:rsidRPr="00FE16C4" w:rsidRDefault="00FE16C4" w:rsidP="00FE16C4">
      <w:pPr>
        <w:rPr>
          <w:rFonts w:ascii="Georgia" w:hAnsi="Georgia"/>
        </w:rPr>
      </w:pPr>
      <w:r w:rsidRPr="00FE16C4">
        <w:rPr>
          <w:rFonts w:ascii="Georgia" w:hAnsi="Georgia"/>
          <w:b/>
          <w:bCs/>
        </w:rPr>
        <w:t>Philosophy</w:t>
      </w:r>
      <w:r w:rsidRPr="00FE16C4">
        <w:rPr>
          <w:rFonts w:ascii="Georgia" w:hAnsi="Georgia"/>
        </w:rPr>
        <w:t xml:space="preserve"> (2023). </w:t>
      </w:r>
      <w:r w:rsidRPr="00FE16C4">
        <w:rPr>
          <w:rFonts w:ascii="Georgia" w:hAnsi="Georgia"/>
          <w:i/>
          <w:iCs/>
        </w:rPr>
        <w:t>Educational Perennialism: Explanation and Examples.</w:t>
      </w:r>
      <w:r w:rsidRPr="00FE16C4">
        <w:rPr>
          <w:rFonts w:ascii="Georgia" w:hAnsi="Georgia"/>
        </w:rPr>
        <w:t xml:space="preserve"> [online] Philosophy Terms. Available at: https://philosophyterms.com/educational-perennialism/..</w:t>
      </w:r>
    </w:p>
    <w:p w14:paraId="15FE816A" w14:textId="77777777" w:rsidR="00FE16C4" w:rsidRPr="00FE16C4" w:rsidRDefault="00FE16C4" w:rsidP="00FE16C4">
      <w:pPr>
        <w:rPr>
          <w:rFonts w:ascii="Georgia" w:hAnsi="Georgia"/>
        </w:rPr>
      </w:pPr>
      <w:r w:rsidRPr="00FE16C4">
        <w:rPr>
          <w:rFonts w:ascii="Georgia" w:hAnsi="Georgia"/>
          <w:b/>
          <w:bCs/>
        </w:rPr>
        <w:t>Rowton Museum</w:t>
      </w:r>
      <w:r w:rsidRPr="00FE16C4">
        <w:rPr>
          <w:rFonts w:ascii="Georgia" w:hAnsi="Georgia"/>
        </w:rPr>
        <w:t xml:space="preserve"> (2025). </w:t>
      </w:r>
      <w:proofErr w:type="spellStart"/>
      <w:r w:rsidRPr="00FE16C4">
        <w:rPr>
          <w:rFonts w:ascii="Georgia" w:hAnsi="Georgia"/>
          <w:i/>
          <w:iCs/>
        </w:rPr>
        <w:t>Rowtons</w:t>
      </w:r>
      <w:proofErr w:type="spellEnd"/>
      <w:r w:rsidRPr="00FE16C4">
        <w:rPr>
          <w:rFonts w:ascii="Georgia" w:hAnsi="Georgia"/>
          <w:i/>
          <w:iCs/>
        </w:rPr>
        <w:t>’ Museum of the Paranormal and Spirituality.</w:t>
      </w:r>
      <w:r w:rsidRPr="00FE16C4">
        <w:rPr>
          <w:rFonts w:ascii="Georgia" w:hAnsi="Georgia"/>
        </w:rPr>
        <w:t xml:space="preserve"> [online] </w:t>
      </w:r>
      <w:proofErr w:type="spellStart"/>
      <w:r w:rsidRPr="00FE16C4">
        <w:rPr>
          <w:rFonts w:ascii="Georgia" w:hAnsi="Georgia"/>
        </w:rPr>
        <w:t>Rowtons</w:t>
      </w:r>
      <w:proofErr w:type="spellEnd"/>
      <w:r w:rsidRPr="00FE16C4">
        <w:rPr>
          <w:rFonts w:ascii="Georgia" w:hAnsi="Georgia"/>
        </w:rPr>
        <w:t>’ Museum. Available at: https://rowtonsmuseum.co.uk/ [Accessed 14 Jan. 2026].</w:t>
      </w:r>
    </w:p>
    <w:p w14:paraId="7B9BECFD" w14:textId="77777777" w:rsidR="003C10A3" w:rsidRDefault="003C10A3" w:rsidP="00531BB7">
      <w:pPr>
        <w:rPr>
          <w:rFonts w:ascii="Georgia" w:hAnsi="Georgia"/>
          <w:b/>
          <w:bCs/>
          <w:sz w:val="24"/>
          <w:szCs w:val="24"/>
        </w:rPr>
      </w:pPr>
    </w:p>
    <w:p w14:paraId="5D1ACA1F" w14:textId="6676EE2C" w:rsidR="00FE16C4" w:rsidRPr="003C10A3" w:rsidRDefault="00614179" w:rsidP="00531BB7">
      <w:pPr>
        <w:rPr>
          <w:rFonts w:ascii="Georgia" w:hAnsi="Georgia"/>
          <w:sz w:val="24"/>
          <w:szCs w:val="24"/>
        </w:rPr>
      </w:pPr>
      <w:r w:rsidRPr="003C10A3">
        <w:rPr>
          <w:rFonts w:ascii="Georgia" w:hAnsi="Georgia"/>
          <w:b/>
          <w:bCs/>
          <w:sz w:val="24"/>
          <w:szCs w:val="24"/>
        </w:rPr>
        <w:t xml:space="preserve">Pictures: </w:t>
      </w:r>
    </w:p>
    <w:p w14:paraId="7A418C15" w14:textId="20F15C84" w:rsidR="00614179" w:rsidRPr="003C10A3" w:rsidRDefault="003C10A3" w:rsidP="00531BB7">
      <w:pPr>
        <w:rPr>
          <w:rFonts w:ascii="Georgia" w:hAnsi="Georgia"/>
        </w:rPr>
      </w:pPr>
      <w:r w:rsidRPr="003C10A3">
        <w:rPr>
          <w:rFonts w:ascii="Georgia" w:hAnsi="Georgia"/>
          <w:b/>
          <w:bCs/>
        </w:rPr>
        <w:t>British listed buildings</w:t>
      </w:r>
      <w:r w:rsidRPr="003C10A3">
        <w:rPr>
          <w:rFonts w:ascii="Georgia" w:hAnsi="Georgia"/>
        </w:rPr>
        <w:t xml:space="preserve"> (1999). </w:t>
      </w:r>
      <w:r w:rsidRPr="003C10A3">
        <w:rPr>
          <w:rFonts w:ascii="Georgia" w:hAnsi="Georgia"/>
          <w:i/>
          <w:iCs/>
        </w:rPr>
        <w:t>Penuel Baptist Chapel and attached schoolroom</w:t>
      </w:r>
      <w:r w:rsidRPr="003C10A3">
        <w:rPr>
          <w:rFonts w:ascii="Georgia" w:hAnsi="Georgia"/>
        </w:rPr>
        <w:t>. [online] britishlistedbuildings.co.uk. Available at: https://britishlistedbuildings.co.uk/300022274-penuel-baptist-chapel-and-attached-schoolroom-carmarthen.</w:t>
      </w:r>
    </w:p>
    <w:p w14:paraId="4E877387" w14:textId="77777777" w:rsidR="00614179" w:rsidRPr="00FE16C4" w:rsidRDefault="00614179" w:rsidP="00614179">
      <w:pPr>
        <w:rPr>
          <w:rFonts w:ascii="Georgia" w:hAnsi="Georgia"/>
        </w:rPr>
      </w:pPr>
      <w:r w:rsidRPr="00FE16C4">
        <w:rPr>
          <w:rFonts w:ascii="Georgia" w:hAnsi="Georgia"/>
          <w:b/>
          <w:bCs/>
        </w:rPr>
        <w:t>Rowton Museum</w:t>
      </w:r>
      <w:r w:rsidRPr="00FE16C4">
        <w:rPr>
          <w:rFonts w:ascii="Georgia" w:hAnsi="Georgia"/>
        </w:rPr>
        <w:t xml:space="preserve"> (2025). </w:t>
      </w:r>
      <w:proofErr w:type="spellStart"/>
      <w:r w:rsidRPr="00FE16C4">
        <w:rPr>
          <w:rFonts w:ascii="Georgia" w:hAnsi="Georgia"/>
          <w:i/>
          <w:iCs/>
        </w:rPr>
        <w:t>Rowtons</w:t>
      </w:r>
      <w:proofErr w:type="spellEnd"/>
      <w:r w:rsidRPr="00FE16C4">
        <w:rPr>
          <w:rFonts w:ascii="Georgia" w:hAnsi="Georgia"/>
          <w:i/>
          <w:iCs/>
        </w:rPr>
        <w:t>’ Museum of the Paranormal and Spirituality.</w:t>
      </w:r>
      <w:r w:rsidRPr="00FE16C4">
        <w:rPr>
          <w:rFonts w:ascii="Georgia" w:hAnsi="Georgia"/>
        </w:rPr>
        <w:t xml:space="preserve"> [online] </w:t>
      </w:r>
      <w:proofErr w:type="spellStart"/>
      <w:r w:rsidRPr="00FE16C4">
        <w:rPr>
          <w:rFonts w:ascii="Georgia" w:hAnsi="Georgia"/>
        </w:rPr>
        <w:t>Rowtons</w:t>
      </w:r>
      <w:proofErr w:type="spellEnd"/>
      <w:r w:rsidRPr="00FE16C4">
        <w:rPr>
          <w:rFonts w:ascii="Georgia" w:hAnsi="Georgia"/>
        </w:rPr>
        <w:t>’ Museum. Available at: https://rowtonsmuseum.co.uk/ [Accessed 14 Jan. 2026].</w:t>
      </w:r>
    </w:p>
    <w:p w14:paraId="79C8CEE5" w14:textId="57CAC7CB" w:rsidR="00614179" w:rsidRPr="00614179" w:rsidRDefault="00614179" w:rsidP="00531BB7">
      <w:pPr>
        <w:rPr>
          <w:rFonts w:ascii="Georgia" w:hAnsi="Georgia"/>
          <w:b/>
          <w:bCs/>
        </w:rPr>
      </w:pPr>
    </w:p>
    <w:sectPr w:rsidR="00614179" w:rsidRPr="006141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B20"/>
    <w:rsid w:val="001075FB"/>
    <w:rsid w:val="001D1819"/>
    <w:rsid w:val="003C10A3"/>
    <w:rsid w:val="005124B0"/>
    <w:rsid w:val="00531BB7"/>
    <w:rsid w:val="00614179"/>
    <w:rsid w:val="00615639"/>
    <w:rsid w:val="00627920"/>
    <w:rsid w:val="006E52E6"/>
    <w:rsid w:val="00815F29"/>
    <w:rsid w:val="00837398"/>
    <w:rsid w:val="00893028"/>
    <w:rsid w:val="00A82B45"/>
    <w:rsid w:val="00CB0B20"/>
    <w:rsid w:val="00DD6F18"/>
    <w:rsid w:val="00E76F4C"/>
    <w:rsid w:val="00F13A96"/>
    <w:rsid w:val="00FE1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CB66D"/>
  <w15:chartTrackingRefBased/>
  <w15:docId w15:val="{6D870B1F-638C-40C7-8262-46A9699A5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B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B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B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B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B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B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B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B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B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B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B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B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B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B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B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B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B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B20"/>
    <w:rPr>
      <w:rFonts w:eastAsiaTheme="majorEastAsia" w:cstheme="majorBidi"/>
      <w:color w:val="272727" w:themeColor="text1" w:themeTint="D8"/>
    </w:rPr>
  </w:style>
  <w:style w:type="paragraph" w:styleId="Title">
    <w:name w:val="Title"/>
    <w:basedOn w:val="Normal"/>
    <w:next w:val="Normal"/>
    <w:link w:val="TitleChar"/>
    <w:uiPriority w:val="10"/>
    <w:qFormat/>
    <w:rsid w:val="00CB0B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B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B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B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B20"/>
    <w:pPr>
      <w:spacing w:before="160"/>
      <w:jc w:val="center"/>
    </w:pPr>
    <w:rPr>
      <w:i/>
      <w:iCs/>
      <w:color w:val="404040" w:themeColor="text1" w:themeTint="BF"/>
    </w:rPr>
  </w:style>
  <w:style w:type="character" w:customStyle="1" w:styleId="QuoteChar">
    <w:name w:val="Quote Char"/>
    <w:basedOn w:val="DefaultParagraphFont"/>
    <w:link w:val="Quote"/>
    <w:uiPriority w:val="29"/>
    <w:rsid w:val="00CB0B20"/>
    <w:rPr>
      <w:i/>
      <w:iCs/>
      <w:color w:val="404040" w:themeColor="text1" w:themeTint="BF"/>
    </w:rPr>
  </w:style>
  <w:style w:type="paragraph" w:styleId="ListParagraph">
    <w:name w:val="List Paragraph"/>
    <w:basedOn w:val="Normal"/>
    <w:uiPriority w:val="34"/>
    <w:qFormat/>
    <w:rsid w:val="00CB0B20"/>
    <w:pPr>
      <w:ind w:left="720"/>
      <w:contextualSpacing/>
    </w:pPr>
  </w:style>
  <w:style w:type="character" w:styleId="IntenseEmphasis">
    <w:name w:val="Intense Emphasis"/>
    <w:basedOn w:val="DefaultParagraphFont"/>
    <w:uiPriority w:val="21"/>
    <w:qFormat/>
    <w:rsid w:val="00CB0B20"/>
    <w:rPr>
      <w:i/>
      <w:iCs/>
      <w:color w:val="0F4761" w:themeColor="accent1" w:themeShade="BF"/>
    </w:rPr>
  </w:style>
  <w:style w:type="paragraph" w:styleId="IntenseQuote">
    <w:name w:val="Intense Quote"/>
    <w:basedOn w:val="Normal"/>
    <w:next w:val="Normal"/>
    <w:link w:val="IntenseQuoteChar"/>
    <w:uiPriority w:val="30"/>
    <w:qFormat/>
    <w:rsid w:val="00CB0B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B20"/>
    <w:rPr>
      <w:i/>
      <w:iCs/>
      <w:color w:val="0F4761" w:themeColor="accent1" w:themeShade="BF"/>
    </w:rPr>
  </w:style>
  <w:style w:type="character" w:styleId="IntenseReference">
    <w:name w:val="Intense Reference"/>
    <w:basedOn w:val="DefaultParagraphFont"/>
    <w:uiPriority w:val="32"/>
    <w:qFormat/>
    <w:rsid w:val="00CB0B20"/>
    <w:rPr>
      <w:b/>
      <w:bCs/>
      <w:smallCaps/>
      <w:color w:val="0F4761" w:themeColor="accent1" w:themeShade="BF"/>
      <w:spacing w:val="5"/>
    </w:rPr>
  </w:style>
  <w:style w:type="paragraph" w:styleId="Caption">
    <w:name w:val="caption"/>
    <w:basedOn w:val="Normal"/>
    <w:next w:val="Normal"/>
    <w:uiPriority w:val="35"/>
    <w:unhideWhenUsed/>
    <w:qFormat/>
    <w:rsid w:val="00614179"/>
    <w:pPr>
      <w:spacing w:after="200" w:line="240" w:lineRule="auto"/>
    </w:pPr>
    <w:rPr>
      <w:i/>
      <w:iCs/>
      <w:color w:val="0E2841" w:themeColor="text2"/>
      <w:sz w:val="18"/>
      <w:szCs w:val="18"/>
    </w:rPr>
  </w:style>
  <w:style w:type="character" w:styleId="Hyperlink">
    <w:name w:val="Hyperlink"/>
    <w:basedOn w:val="DefaultParagraphFont"/>
    <w:uiPriority w:val="99"/>
    <w:unhideWhenUsed/>
    <w:rsid w:val="00614179"/>
    <w:rPr>
      <w:color w:val="467886" w:themeColor="hyperlink"/>
      <w:u w:val="single"/>
    </w:rPr>
  </w:style>
  <w:style w:type="character" w:styleId="UnresolvedMention">
    <w:name w:val="Unresolved Mention"/>
    <w:basedOn w:val="DefaultParagraphFont"/>
    <w:uiPriority w:val="99"/>
    <w:semiHidden/>
    <w:unhideWhenUsed/>
    <w:rsid w:val="006141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ritishlistedbuildings.co.uk/300022274-penuel-baptist-chapel-and-attached-schoolroom-carmarthen" TargetMode="External"/><Relationship Id="rId11" Type="http://schemas.openxmlformats.org/officeDocument/2006/relationships/fontTable" Target="fontTable.xml"/><Relationship Id="rId5" Type="http://schemas.openxmlformats.org/officeDocument/2006/relationships/hyperlink" Target="https://britishlistedbuildings.co.uk/300022274-penuel-baptist-chapel-and-attached-schoolroom-carmarthen" TargetMode="External"/><Relationship Id="rId10" Type="http://schemas.openxmlformats.org/officeDocument/2006/relationships/image" Target="media/image5.png"/><Relationship Id="rId4" Type="http://schemas.openxmlformats.org/officeDocument/2006/relationships/image" Target="media/image1.png"/><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2114</Words>
  <Characters>12055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Elizabeth Jasper (2400802)</cp:lastModifiedBy>
  <cp:revision>7</cp:revision>
  <dcterms:created xsi:type="dcterms:W3CDTF">2026-01-15T03:46:00Z</dcterms:created>
  <dcterms:modified xsi:type="dcterms:W3CDTF">2026-01-17T15:12:00Z</dcterms:modified>
</cp:coreProperties>
</file>