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3F47C" w14:textId="6117CBEA" w:rsidR="004F048B" w:rsidRPr="00E50DF2" w:rsidRDefault="00F77D97" w:rsidP="00B7586F">
      <w:r>
        <w:t xml:space="preserve">           </w:t>
      </w:r>
      <w:r w:rsidR="00B7586F">
        <w:t xml:space="preserve">                     </w:t>
      </w:r>
      <w:r w:rsidR="00DD0BA1">
        <w:t xml:space="preserve">     N</w:t>
      </w:r>
      <w:r w:rsidR="00B7586F">
        <w:t>AME     Maryam Waseem</w:t>
      </w:r>
    </w:p>
    <w:p w14:paraId="41707BBB" w14:textId="6CEF2843" w:rsidR="004F048B" w:rsidRDefault="00261E5A" w:rsidP="00B7586F">
      <w:pPr>
        <w:rPr>
          <w:rFonts w:ascii="Arial" w:hAnsi="Arial" w:cs="Arial"/>
          <w:b/>
          <w:bCs/>
          <w:sz w:val="22"/>
          <w:szCs w:val="22"/>
        </w:rPr>
      </w:pPr>
      <w:r>
        <w:rPr>
          <w:rFonts w:ascii="Arial" w:hAnsi="Arial" w:cs="Arial"/>
          <w:b/>
          <w:bCs/>
          <w:sz w:val="22"/>
          <w:szCs w:val="22"/>
        </w:rPr>
        <w:t xml:space="preserve">                                    Student </w:t>
      </w:r>
      <w:proofErr w:type="gramStart"/>
      <w:r>
        <w:rPr>
          <w:rFonts w:ascii="Arial" w:hAnsi="Arial" w:cs="Arial"/>
          <w:b/>
          <w:bCs/>
          <w:sz w:val="22"/>
          <w:szCs w:val="22"/>
        </w:rPr>
        <w:t>Number  243338</w:t>
      </w:r>
      <w:r w:rsidR="005E4241">
        <w:rPr>
          <w:rFonts w:ascii="Arial" w:hAnsi="Arial" w:cs="Arial"/>
          <w:b/>
          <w:bCs/>
          <w:sz w:val="22"/>
          <w:szCs w:val="22"/>
        </w:rPr>
        <w:t>9</w:t>
      </w:r>
      <w:proofErr w:type="gramEnd"/>
    </w:p>
    <w:p w14:paraId="4C64E62C" w14:textId="6204D6E7" w:rsidR="005E4241" w:rsidRDefault="005E4241" w:rsidP="00B7586F">
      <w:pPr>
        <w:rPr>
          <w:rFonts w:ascii="Arial" w:hAnsi="Arial" w:cs="Arial"/>
          <w:b/>
          <w:bCs/>
          <w:sz w:val="22"/>
          <w:szCs w:val="22"/>
        </w:rPr>
      </w:pPr>
      <w:r>
        <w:rPr>
          <w:rFonts w:ascii="Arial" w:hAnsi="Arial" w:cs="Arial"/>
          <w:b/>
          <w:bCs/>
          <w:sz w:val="22"/>
          <w:szCs w:val="22"/>
        </w:rPr>
        <w:t xml:space="preserve">                                    Module</w:t>
      </w:r>
      <w:r w:rsidR="004B0D9F">
        <w:rPr>
          <w:rFonts w:ascii="Arial" w:hAnsi="Arial" w:cs="Arial"/>
          <w:b/>
          <w:bCs/>
          <w:sz w:val="22"/>
          <w:szCs w:val="22"/>
        </w:rPr>
        <w:t xml:space="preserve"> Name and Code </w:t>
      </w:r>
      <w:proofErr w:type="gramStart"/>
      <w:r w:rsidR="004B0D9F">
        <w:rPr>
          <w:rFonts w:ascii="Arial" w:hAnsi="Arial" w:cs="Arial"/>
          <w:b/>
          <w:bCs/>
          <w:sz w:val="22"/>
          <w:szCs w:val="22"/>
        </w:rPr>
        <w:t>Princi</w:t>
      </w:r>
      <w:r w:rsidR="0088647A">
        <w:rPr>
          <w:rFonts w:ascii="Arial" w:hAnsi="Arial" w:cs="Arial"/>
          <w:b/>
          <w:bCs/>
          <w:sz w:val="22"/>
          <w:szCs w:val="22"/>
        </w:rPr>
        <w:t>ple</w:t>
      </w:r>
      <w:proofErr w:type="gramEnd"/>
      <w:r w:rsidR="0088647A">
        <w:rPr>
          <w:rFonts w:ascii="Arial" w:hAnsi="Arial" w:cs="Arial"/>
          <w:b/>
          <w:bCs/>
          <w:sz w:val="22"/>
          <w:szCs w:val="22"/>
        </w:rPr>
        <w:t xml:space="preserve"> health and </w:t>
      </w:r>
      <w:proofErr w:type="spellStart"/>
      <w:r w:rsidR="0088647A">
        <w:rPr>
          <w:rFonts w:ascii="Arial" w:hAnsi="Arial" w:cs="Arial"/>
          <w:b/>
          <w:bCs/>
          <w:sz w:val="22"/>
          <w:szCs w:val="22"/>
        </w:rPr>
        <w:t>socialcare</w:t>
      </w:r>
      <w:proofErr w:type="spellEnd"/>
      <w:r w:rsidR="0088647A">
        <w:rPr>
          <w:rFonts w:ascii="Arial" w:hAnsi="Arial" w:cs="Arial"/>
          <w:b/>
          <w:bCs/>
          <w:sz w:val="22"/>
          <w:szCs w:val="22"/>
        </w:rPr>
        <w:t xml:space="preserve"> practice</w:t>
      </w:r>
    </w:p>
    <w:p w14:paraId="2B9D97CC" w14:textId="53C10C69" w:rsidR="00037DAC" w:rsidRPr="00E50DF2" w:rsidRDefault="00037DAC" w:rsidP="00B7586F">
      <w:pPr>
        <w:rPr>
          <w:rFonts w:ascii="Arial" w:hAnsi="Arial" w:cs="Arial"/>
          <w:b/>
          <w:bCs/>
          <w:sz w:val="22"/>
          <w:szCs w:val="22"/>
        </w:rPr>
      </w:pPr>
      <w:r>
        <w:rPr>
          <w:rFonts w:ascii="Arial" w:hAnsi="Arial" w:cs="Arial"/>
          <w:b/>
          <w:bCs/>
          <w:sz w:val="22"/>
          <w:szCs w:val="22"/>
        </w:rPr>
        <w:t xml:space="preserve">                                    Le</w:t>
      </w:r>
      <w:r w:rsidR="000E748D">
        <w:rPr>
          <w:rFonts w:ascii="Arial" w:hAnsi="Arial" w:cs="Arial"/>
          <w:b/>
          <w:bCs/>
          <w:sz w:val="22"/>
          <w:szCs w:val="22"/>
        </w:rPr>
        <w:t>cture Name Azida Zaino</w:t>
      </w:r>
      <w:r w:rsidR="00D16D19">
        <w:rPr>
          <w:rFonts w:ascii="Arial" w:hAnsi="Arial" w:cs="Arial"/>
          <w:b/>
          <w:bCs/>
          <w:sz w:val="22"/>
          <w:szCs w:val="22"/>
        </w:rPr>
        <w:t>l</w:t>
      </w:r>
    </w:p>
    <w:p w14:paraId="39B62531" w14:textId="77777777" w:rsidR="004F048B" w:rsidRPr="00E50DF2" w:rsidRDefault="004F048B" w:rsidP="00E50DF2">
      <w:pPr>
        <w:jc w:val="center"/>
        <w:rPr>
          <w:rFonts w:ascii="Arial" w:hAnsi="Arial" w:cs="Arial"/>
          <w:b/>
          <w:bCs/>
          <w:sz w:val="22"/>
          <w:szCs w:val="22"/>
        </w:rPr>
      </w:pPr>
    </w:p>
    <w:p w14:paraId="52C519E4" w14:textId="77777777" w:rsidR="004F048B" w:rsidRPr="00E50DF2" w:rsidRDefault="004F048B" w:rsidP="00E50DF2">
      <w:pPr>
        <w:jc w:val="center"/>
        <w:rPr>
          <w:rFonts w:ascii="Arial" w:hAnsi="Arial" w:cs="Arial"/>
          <w:b/>
          <w:bCs/>
          <w:sz w:val="22"/>
          <w:szCs w:val="22"/>
        </w:rPr>
      </w:pPr>
    </w:p>
    <w:p w14:paraId="1DB4FF09" w14:textId="77777777" w:rsidR="004F048B" w:rsidRPr="00E50DF2" w:rsidRDefault="004F048B" w:rsidP="00E50DF2">
      <w:pPr>
        <w:jc w:val="center"/>
        <w:rPr>
          <w:rFonts w:ascii="Arial" w:hAnsi="Arial" w:cs="Arial"/>
          <w:b/>
          <w:bCs/>
          <w:sz w:val="22"/>
          <w:szCs w:val="22"/>
        </w:rPr>
      </w:pPr>
    </w:p>
    <w:p w14:paraId="7481D1FD" w14:textId="77777777" w:rsidR="00425AEC" w:rsidRPr="00E50DF2" w:rsidRDefault="00425AEC" w:rsidP="00E50DF2">
      <w:pPr>
        <w:rPr>
          <w:rFonts w:ascii="Arial" w:hAnsi="Arial" w:cs="Arial"/>
          <w:b/>
          <w:bCs/>
          <w:sz w:val="22"/>
          <w:szCs w:val="22"/>
        </w:rPr>
      </w:pPr>
    </w:p>
    <w:p w14:paraId="0DF684E9" w14:textId="1F44FB58" w:rsidR="00425AEC" w:rsidRPr="00E50DF2" w:rsidRDefault="00D16D19" w:rsidP="00D16D19">
      <w:pPr>
        <w:rPr>
          <w:rFonts w:ascii="Arial" w:hAnsi="Arial" w:cs="Arial"/>
          <w:b/>
          <w:bCs/>
          <w:sz w:val="22"/>
          <w:szCs w:val="22"/>
        </w:rPr>
      </w:pPr>
      <w:r>
        <w:rPr>
          <w:rFonts w:ascii="Arial" w:hAnsi="Arial" w:cs="Arial"/>
          <w:b/>
          <w:bCs/>
          <w:sz w:val="22"/>
          <w:szCs w:val="22"/>
        </w:rPr>
        <w:t xml:space="preserve">                  </w:t>
      </w:r>
      <w:r w:rsidR="00425AEC" w:rsidRPr="00E50DF2">
        <w:rPr>
          <w:rFonts w:ascii="Arial" w:hAnsi="Arial" w:cs="Arial"/>
          <w:b/>
          <w:bCs/>
          <w:sz w:val="22"/>
          <w:szCs w:val="22"/>
        </w:rPr>
        <w:t>Person Centred Care and Partnership Working in Health and Social Care</w:t>
      </w:r>
    </w:p>
    <w:p w14:paraId="367D4E41" w14:textId="25A404D6" w:rsidR="00890C96" w:rsidRPr="00E50DF2" w:rsidRDefault="00890C96" w:rsidP="00E50DF2">
      <w:pPr>
        <w:jc w:val="left"/>
        <w:rPr>
          <w:rFonts w:ascii="Arial" w:hAnsi="Arial" w:cs="Arial"/>
          <w:sz w:val="22"/>
          <w:szCs w:val="22"/>
        </w:rPr>
      </w:pPr>
      <w:r w:rsidRPr="00E50DF2">
        <w:rPr>
          <w:rFonts w:ascii="Arial" w:hAnsi="Arial" w:cs="Arial"/>
          <w:sz w:val="22"/>
          <w:szCs w:val="22"/>
        </w:rPr>
        <w:br w:type="page"/>
      </w:r>
    </w:p>
    <w:sdt>
      <w:sdtPr>
        <w:rPr>
          <w:rFonts w:ascii="Arial" w:eastAsiaTheme="minorHAnsi" w:hAnsi="Arial" w:cs="Arial"/>
          <w:color w:val="000000" w:themeColor="text1"/>
          <w:kern w:val="2"/>
          <w:sz w:val="22"/>
          <w:szCs w:val="22"/>
          <w:lang w:val="en-IN" w:bidi="th-TH"/>
          <w14:ligatures w14:val="standardContextual"/>
        </w:rPr>
        <w:id w:val="-1744176627"/>
        <w:docPartObj>
          <w:docPartGallery w:val="Table of Contents"/>
          <w:docPartUnique/>
        </w:docPartObj>
      </w:sdtPr>
      <w:sdtEndPr>
        <w:rPr>
          <w:b/>
          <w:bCs/>
          <w:noProof/>
        </w:rPr>
      </w:sdtEndPr>
      <w:sdtContent>
        <w:p w14:paraId="71D61D64" w14:textId="29EACC20" w:rsidR="00890C96" w:rsidRPr="00E50DF2" w:rsidRDefault="00890C96" w:rsidP="00E50DF2">
          <w:pPr>
            <w:pStyle w:val="TOCHeading"/>
            <w:spacing w:line="360" w:lineRule="auto"/>
            <w:jc w:val="center"/>
            <w:rPr>
              <w:rFonts w:ascii="Arial" w:hAnsi="Arial" w:cs="Arial"/>
              <w:b/>
              <w:bCs/>
              <w:color w:val="000000" w:themeColor="text1"/>
              <w:sz w:val="22"/>
              <w:szCs w:val="22"/>
            </w:rPr>
          </w:pPr>
          <w:r w:rsidRPr="00E50DF2">
            <w:rPr>
              <w:rFonts w:ascii="Arial" w:hAnsi="Arial" w:cs="Arial"/>
              <w:b/>
              <w:bCs/>
              <w:color w:val="000000" w:themeColor="text1"/>
              <w:sz w:val="22"/>
              <w:szCs w:val="22"/>
            </w:rPr>
            <w:t>Table of Contents</w:t>
          </w:r>
        </w:p>
        <w:p w14:paraId="69032B25" w14:textId="77777777" w:rsidR="00890C96" w:rsidRPr="00E50DF2" w:rsidRDefault="00890C96" w:rsidP="00E50DF2">
          <w:pPr>
            <w:rPr>
              <w:rFonts w:ascii="Arial" w:hAnsi="Arial" w:cs="Arial"/>
              <w:sz w:val="22"/>
              <w:szCs w:val="22"/>
              <w:lang w:val="en-US" w:bidi="ar-SA"/>
            </w:rPr>
          </w:pPr>
        </w:p>
        <w:p w14:paraId="22279793" w14:textId="46B69661" w:rsidR="005C27CC" w:rsidRPr="00E50DF2" w:rsidRDefault="00890C96" w:rsidP="00E50DF2">
          <w:pPr>
            <w:pStyle w:val="TOC1"/>
            <w:tabs>
              <w:tab w:val="right" w:leader="dot" w:pos="9016"/>
            </w:tabs>
            <w:rPr>
              <w:rFonts w:ascii="Arial" w:eastAsiaTheme="minorEastAsia" w:hAnsi="Arial" w:cs="Arial"/>
              <w:noProof/>
              <w:color w:val="auto"/>
              <w:sz w:val="22"/>
              <w:szCs w:val="22"/>
              <w:lang w:eastAsia="en-IN" w:bidi="ar-SA"/>
            </w:rPr>
          </w:pPr>
          <w:r w:rsidRPr="00E50DF2">
            <w:rPr>
              <w:rFonts w:ascii="Arial" w:hAnsi="Arial" w:cs="Arial"/>
              <w:sz w:val="22"/>
              <w:szCs w:val="22"/>
            </w:rPr>
            <w:fldChar w:fldCharType="begin"/>
          </w:r>
          <w:r w:rsidRPr="00E50DF2">
            <w:rPr>
              <w:rFonts w:ascii="Arial" w:hAnsi="Arial" w:cs="Arial"/>
              <w:sz w:val="22"/>
              <w:szCs w:val="22"/>
            </w:rPr>
            <w:instrText xml:space="preserve"> TOC \o "1-3" \h \z \u </w:instrText>
          </w:r>
          <w:r w:rsidRPr="00E50DF2">
            <w:rPr>
              <w:rFonts w:ascii="Arial" w:hAnsi="Arial" w:cs="Arial"/>
              <w:sz w:val="22"/>
              <w:szCs w:val="22"/>
            </w:rPr>
            <w:fldChar w:fldCharType="separate"/>
          </w:r>
          <w:hyperlink w:anchor="_Toc235535047" w:history="1">
            <w:r w:rsidR="005C27CC" w:rsidRPr="00E50DF2">
              <w:rPr>
                <w:rStyle w:val="Hyperlink"/>
                <w:rFonts w:ascii="Arial" w:hAnsi="Arial" w:cs="Arial"/>
                <w:noProof/>
                <w:sz w:val="22"/>
                <w:szCs w:val="22"/>
              </w:rPr>
              <w:t>a)  Define person centre care and identify the main benefits and limitations of this practice</w:t>
            </w:r>
            <w:r w:rsidR="005C27CC" w:rsidRPr="00E50DF2">
              <w:rPr>
                <w:rFonts w:ascii="Arial" w:hAnsi="Arial" w:cs="Arial"/>
                <w:noProof/>
                <w:webHidden/>
                <w:sz w:val="22"/>
                <w:szCs w:val="22"/>
              </w:rPr>
              <w:tab/>
            </w:r>
            <w:r w:rsidR="005C27CC" w:rsidRPr="00E50DF2">
              <w:rPr>
                <w:rFonts w:ascii="Arial" w:hAnsi="Arial" w:cs="Arial"/>
                <w:noProof/>
                <w:webHidden/>
                <w:sz w:val="22"/>
                <w:szCs w:val="22"/>
              </w:rPr>
              <w:fldChar w:fldCharType="begin"/>
            </w:r>
            <w:r w:rsidR="005C27CC" w:rsidRPr="00E50DF2">
              <w:rPr>
                <w:rFonts w:ascii="Arial" w:hAnsi="Arial" w:cs="Arial"/>
                <w:noProof/>
                <w:webHidden/>
                <w:sz w:val="22"/>
                <w:szCs w:val="22"/>
              </w:rPr>
              <w:instrText xml:space="preserve"> PAGEREF _Toc235535047 \h </w:instrText>
            </w:r>
            <w:r w:rsidR="005C27CC" w:rsidRPr="00E50DF2">
              <w:rPr>
                <w:rFonts w:ascii="Arial" w:hAnsi="Arial" w:cs="Arial"/>
                <w:noProof/>
                <w:webHidden/>
                <w:sz w:val="22"/>
                <w:szCs w:val="22"/>
              </w:rPr>
            </w:r>
            <w:r w:rsidR="005C27CC" w:rsidRPr="00E50DF2">
              <w:rPr>
                <w:rFonts w:ascii="Arial" w:hAnsi="Arial" w:cs="Arial"/>
                <w:noProof/>
                <w:webHidden/>
                <w:sz w:val="22"/>
                <w:szCs w:val="22"/>
              </w:rPr>
              <w:fldChar w:fldCharType="separate"/>
            </w:r>
            <w:r w:rsidR="005C27CC" w:rsidRPr="00E50DF2">
              <w:rPr>
                <w:rFonts w:ascii="Arial" w:hAnsi="Arial" w:cs="Arial"/>
                <w:noProof/>
                <w:webHidden/>
                <w:sz w:val="22"/>
                <w:szCs w:val="22"/>
              </w:rPr>
              <w:t>3</w:t>
            </w:r>
            <w:r w:rsidR="005C27CC" w:rsidRPr="00E50DF2">
              <w:rPr>
                <w:rFonts w:ascii="Arial" w:hAnsi="Arial" w:cs="Arial"/>
                <w:noProof/>
                <w:webHidden/>
                <w:sz w:val="22"/>
                <w:szCs w:val="22"/>
              </w:rPr>
              <w:fldChar w:fldCharType="end"/>
            </w:r>
          </w:hyperlink>
        </w:p>
        <w:p w14:paraId="63EEB905" w14:textId="3E61A9DF" w:rsidR="005C27CC" w:rsidRPr="00E50DF2" w:rsidRDefault="005C27CC" w:rsidP="00E50DF2">
          <w:pPr>
            <w:pStyle w:val="TOC1"/>
            <w:tabs>
              <w:tab w:val="right" w:leader="dot" w:pos="9016"/>
            </w:tabs>
            <w:rPr>
              <w:rFonts w:ascii="Arial" w:eastAsiaTheme="minorEastAsia" w:hAnsi="Arial" w:cs="Arial"/>
              <w:noProof/>
              <w:color w:val="auto"/>
              <w:sz w:val="22"/>
              <w:szCs w:val="22"/>
              <w:lang w:eastAsia="en-IN" w:bidi="ar-SA"/>
            </w:rPr>
          </w:pPr>
          <w:hyperlink w:anchor="_Toc235535048" w:history="1">
            <w:r w:rsidRPr="00E50DF2">
              <w:rPr>
                <w:rStyle w:val="Hyperlink"/>
                <w:rFonts w:ascii="Arial" w:hAnsi="Arial" w:cs="Arial"/>
                <w:noProof/>
                <w:sz w:val="22"/>
                <w:szCs w:val="22"/>
              </w:rPr>
              <w:t>(b) Critically examine a relevant theory or model of care of your choice which underpins PCC</w:t>
            </w:r>
            <w:r w:rsidRPr="00E50DF2">
              <w:rPr>
                <w:rFonts w:ascii="Arial" w:hAnsi="Arial" w:cs="Arial"/>
                <w:noProof/>
                <w:webHidden/>
                <w:sz w:val="22"/>
                <w:szCs w:val="22"/>
              </w:rPr>
              <w:tab/>
            </w:r>
            <w:r w:rsidRPr="00E50DF2">
              <w:rPr>
                <w:rFonts w:ascii="Arial" w:hAnsi="Arial" w:cs="Arial"/>
                <w:noProof/>
                <w:webHidden/>
                <w:sz w:val="22"/>
                <w:szCs w:val="22"/>
              </w:rPr>
              <w:fldChar w:fldCharType="begin"/>
            </w:r>
            <w:r w:rsidRPr="00E50DF2">
              <w:rPr>
                <w:rFonts w:ascii="Arial" w:hAnsi="Arial" w:cs="Arial"/>
                <w:noProof/>
                <w:webHidden/>
                <w:sz w:val="22"/>
                <w:szCs w:val="22"/>
              </w:rPr>
              <w:instrText xml:space="preserve"> PAGEREF _Toc235535048 \h </w:instrText>
            </w:r>
            <w:r w:rsidRPr="00E50DF2">
              <w:rPr>
                <w:rFonts w:ascii="Arial" w:hAnsi="Arial" w:cs="Arial"/>
                <w:noProof/>
                <w:webHidden/>
                <w:sz w:val="22"/>
                <w:szCs w:val="22"/>
              </w:rPr>
            </w:r>
            <w:r w:rsidRPr="00E50DF2">
              <w:rPr>
                <w:rFonts w:ascii="Arial" w:hAnsi="Arial" w:cs="Arial"/>
                <w:noProof/>
                <w:webHidden/>
                <w:sz w:val="22"/>
                <w:szCs w:val="22"/>
              </w:rPr>
              <w:fldChar w:fldCharType="separate"/>
            </w:r>
            <w:r w:rsidRPr="00E50DF2">
              <w:rPr>
                <w:rFonts w:ascii="Arial" w:hAnsi="Arial" w:cs="Arial"/>
                <w:noProof/>
                <w:webHidden/>
                <w:sz w:val="22"/>
                <w:szCs w:val="22"/>
              </w:rPr>
              <w:t>3</w:t>
            </w:r>
            <w:r w:rsidRPr="00E50DF2">
              <w:rPr>
                <w:rFonts w:ascii="Arial" w:hAnsi="Arial" w:cs="Arial"/>
                <w:noProof/>
                <w:webHidden/>
                <w:sz w:val="22"/>
                <w:szCs w:val="22"/>
              </w:rPr>
              <w:fldChar w:fldCharType="end"/>
            </w:r>
          </w:hyperlink>
        </w:p>
        <w:p w14:paraId="583CCDC1" w14:textId="05A09532" w:rsidR="005C27CC" w:rsidRPr="00E50DF2" w:rsidRDefault="005C27CC" w:rsidP="00E50DF2">
          <w:pPr>
            <w:pStyle w:val="TOC1"/>
            <w:tabs>
              <w:tab w:val="right" w:leader="dot" w:pos="9016"/>
            </w:tabs>
            <w:rPr>
              <w:rFonts w:ascii="Arial" w:eastAsiaTheme="minorEastAsia" w:hAnsi="Arial" w:cs="Arial"/>
              <w:noProof/>
              <w:color w:val="auto"/>
              <w:sz w:val="22"/>
              <w:szCs w:val="22"/>
              <w:lang w:eastAsia="en-IN" w:bidi="ar-SA"/>
            </w:rPr>
          </w:pPr>
          <w:hyperlink w:anchor="_Toc235535049" w:history="1">
            <w:r w:rsidRPr="00E50DF2">
              <w:rPr>
                <w:rStyle w:val="Hyperlink"/>
                <w:rFonts w:ascii="Arial" w:hAnsi="Arial" w:cs="Arial"/>
                <w:noProof/>
                <w:sz w:val="22"/>
                <w:szCs w:val="22"/>
              </w:rPr>
              <w:t>c) Analyse the ethical fundamentals of health and social care</w:t>
            </w:r>
            <w:r w:rsidRPr="00E50DF2">
              <w:rPr>
                <w:rFonts w:ascii="Arial" w:hAnsi="Arial" w:cs="Arial"/>
                <w:noProof/>
                <w:webHidden/>
                <w:sz w:val="22"/>
                <w:szCs w:val="22"/>
              </w:rPr>
              <w:tab/>
            </w:r>
            <w:r w:rsidRPr="00E50DF2">
              <w:rPr>
                <w:rFonts w:ascii="Arial" w:hAnsi="Arial" w:cs="Arial"/>
                <w:noProof/>
                <w:webHidden/>
                <w:sz w:val="22"/>
                <w:szCs w:val="22"/>
              </w:rPr>
              <w:fldChar w:fldCharType="begin"/>
            </w:r>
            <w:r w:rsidRPr="00E50DF2">
              <w:rPr>
                <w:rFonts w:ascii="Arial" w:hAnsi="Arial" w:cs="Arial"/>
                <w:noProof/>
                <w:webHidden/>
                <w:sz w:val="22"/>
                <w:szCs w:val="22"/>
              </w:rPr>
              <w:instrText xml:space="preserve"> PAGEREF _Toc235535049 \h </w:instrText>
            </w:r>
            <w:r w:rsidRPr="00E50DF2">
              <w:rPr>
                <w:rFonts w:ascii="Arial" w:hAnsi="Arial" w:cs="Arial"/>
                <w:noProof/>
                <w:webHidden/>
                <w:sz w:val="22"/>
                <w:szCs w:val="22"/>
              </w:rPr>
            </w:r>
            <w:r w:rsidRPr="00E50DF2">
              <w:rPr>
                <w:rFonts w:ascii="Arial" w:hAnsi="Arial" w:cs="Arial"/>
                <w:noProof/>
                <w:webHidden/>
                <w:sz w:val="22"/>
                <w:szCs w:val="22"/>
              </w:rPr>
              <w:fldChar w:fldCharType="separate"/>
            </w:r>
            <w:r w:rsidRPr="00E50DF2">
              <w:rPr>
                <w:rFonts w:ascii="Arial" w:hAnsi="Arial" w:cs="Arial"/>
                <w:noProof/>
                <w:webHidden/>
                <w:sz w:val="22"/>
                <w:szCs w:val="22"/>
              </w:rPr>
              <w:t>4</w:t>
            </w:r>
            <w:r w:rsidRPr="00E50DF2">
              <w:rPr>
                <w:rFonts w:ascii="Arial" w:hAnsi="Arial" w:cs="Arial"/>
                <w:noProof/>
                <w:webHidden/>
                <w:sz w:val="22"/>
                <w:szCs w:val="22"/>
              </w:rPr>
              <w:fldChar w:fldCharType="end"/>
            </w:r>
          </w:hyperlink>
        </w:p>
        <w:p w14:paraId="2FAE5642" w14:textId="177D90BB" w:rsidR="005C27CC" w:rsidRPr="00E50DF2" w:rsidRDefault="005C27CC" w:rsidP="00E50DF2">
          <w:pPr>
            <w:pStyle w:val="TOC1"/>
            <w:tabs>
              <w:tab w:val="right" w:leader="dot" w:pos="9016"/>
            </w:tabs>
            <w:rPr>
              <w:rFonts w:ascii="Arial" w:eastAsiaTheme="minorEastAsia" w:hAnsi="Arial" w:cs="Arial"/>
              <w:noProof/>
              <w:color w:val="auto"/>
              <w:sz w:val="22"/>
              <w:szCs w:val="22"/>
              <w:lang w:eastAsia="en-IN" w:bidi="ar-SA"/>
            </w:rPr>
          </w:pPr>
          <w:hyperlink w:anchor="_Toc235535050" w:history="1">
            <w:r w:rsidRPr="00E50DF2">
              <w:rPr>
                <w:rStyle w:val="Hyperlink"/>
                <w:rFonts w:ascii="Arial" w:hAnsi="Arial" w:cs="Arial"/>
                <w:noProof/>
                <w:sz w:val="22"/>
                <w:szCs w:val="22"/>
              </w:rPr>
              <w:t>d) Evaluate partnership working in health and social care</w:t>
            </w:r>
            <w:r w:rsidRPr="00E50DF2">
              <w:rPr>
                <w:rFonts w:ascii="Arial" w:hAnsi="Arial" w:cs="Arial"/>
                <w:noProof/>
                <w:webHidden/>
                <w:sz w:val="22"/>
                <w:szCs w:val="22"/>
              </w:rPr>
              <w:tab/>
            </w:r>
            <w:r w:rsidRPr="00E50DF2">
              <w:rPr>
                <w:rFonts w:ascii="Arial" w:hAnsi="Arial" w:cs="Arial"/>
                <w:noProof/>
                <w:webHidden/>
                <w:sz w:val="22"/>
                <w:szCs w:val="22"/>
              </w:rPr>
              <w:fldChar w:fldCharType="begin"/>
            </w:r>
            <w:r w:rsidRPr="00E50DF2">
              <w:rPr>
                <w:rFonts w:ascii="Arial" w:hAnsi="Arial" w:cs="Arial"/>
                <w:noProof/>
                <w:webHidden/>
                <w:sz w:val="22"/>
                <w:szCs w:val="22"/>
              </w:rPr>
              <w:instrText xml:space="preserve"> PAGEREF _Toc235535050 \h </w:instrText>
            </w:r>
            <w:r w:rsidRPr="00E50DF2">
              <w:rPr>
                <w:rFonts w:ascii="Arial" w:hAnsi="Arial" w:cs="Arial"/>
                <w:noProof/>
                <w:webHidden/>
                <w:sz w:val="22"/>
                <w:szCs w:val="22"/>
              </w:rPr>
            </w:r>
            <w:r w:rsidRPr="00E50DF2">
              <w:rPr>
                <w:rFonts w:ascii="Arial" w:hAnsi="Arial" w:cs="Arial"/>
                <w:noProof/>
                <w:webHidden/>
                <w:sz w:val="22"/>
                <w:szCs w:val="22"/>
              </w:rPr>
              <w:fldChar w:fldCharType="separate"/>
            </w:r>
            <w:r w:rsidRPr="00E50DF2">
              <w:rPr>
                <w:rFonts w:ascii="Arial" w:hAnsi="Arial" w:cs="Arial"/>
                <w:noProof/>
                <w:webHidden/>
                <w:sz w:val="22"/>
                <w:szCs w:val="22"/>
              </w:rPr>
              <w:t>4</w:t>
            </w:r>
            <w:r w:rsidRPr="00E50DF2">
              <w:rPr>
                <w:rFonts w:ascii="Arial" w:hAnsi="Arial" w:cs="Arial"/>
                <w:noProof/>
                <w:webHidden/>
                <w:sz w:val="22"/>
                <w:szCs w:val="22"/>
              </w:rPr>
              <w:fldChar w:fldCharType="end"/>
            </w:r>
          </w:hyperlink>
        </w:p>
        <w:p w14:paraId="4E2FE017" w14:textId="1CF2A866" w:rsidR="005C27CC" w:rsidRPr="00E50DF2" w:rsidRDefault="005C27CC" w:rsidP="00E50DF2">
          <w:pPr>
            <w:pStyle w:val="TOC1"/>
            <w:tabs>
              <w:tab w:val="right" w:leader="dot" w:pos="9016"/>
            </w:tabs>
            <w:rPr>
              <w:rFonts w:ascii="Arial" w:eastAsiaTheme="minorEastAsia" w:hAnsi="Arial" w:cs="Arial"/>
              <w:noProof/>
              <w:color w:val="auto"/>
              <w:sz w:val="22"/>
              <w:szCs w:val="22"/>
              <w:lang w:eastAsia="en-IN" w:bidi="ar-SA"/>
            </w:rPr>
          </w:pPr>
          <w:hyperlink w:anchor="_Toc235535051" w:history="1">
            <w:r w:rsidRPr="00E50DF2">
              <w:rPr>
                <w:rStyle w:val="Hyperlink"/>
                <w:rFonts w:ascii="Arial" w:hAnsi="Arial" w:cs="Arial"/>
                <w:noProof/>
                <w:sz w:val="22"/>
                <w:szCs w:val="22"/>
              </w:rPr>
              <w:t>e) Explore the application of partnership working in a practical health and social care setting of your choice</w:t>
            </w:r>
            <w:r w:rsidRPr="00E50DF2">
              <w:rPr>
                <w:rFonts w:ascii="Arial" w:hAnsi="Arial" w:cs="Arial"/>
                <w:noProof/>
                <w:webHidden/>
                <w:sz w:val="22"/>
                <w:szCs w:val="22"/>
              </w:rPr>
              <w:tab/>
            </w:r>
            <w:r w:rsidRPr="00E50DF2">
              <w:rPr>
                <w:rFonts w:ascii="Arial" w:hAnsi="Arial" w:cs="Arial"/>
                <w:noProof/>
                <w:webHidden/>
                <w:sz w:val="22"/>
                <w:szCs w:val="22"/>
              </w:rPr>
              <w:fldChar w:fldCharType="begin"/>
            </w:r>
            <w:r w:rsidRPr="00E50DF2">
              <w:rPr>
                <w:rFonts w:ascii="Arial" w:hAnsi="Arial" w:cs="Arial"/>
                <w:noProof/>
                <w:webHidden/>
                <w:sz w:val="22"/>
                <w:szCs w:val="22"/>
              </w:rPr>
              <w:instrText xml:space="preserve"> PAGEREF _Toc235535051 \h </w:instrText>
            </w:r>
            <w:r w:rsidRPr="00E50DF2">
              <w:rPr>
                <w:rFonts w:ascii="Arial" w:hAnsi="Arial" w:cs="Arial"/>
                <w:noProof/>
                <w:webHidden/>
                <w:sz w:val="22"/>
                <w:szCs w:val="22"/>
              </w:rPr>
            </w:r>
            <w:r w:rsidRPr="00E50DF2">
              <w:rPr>
                <w:rFonts w:ascii="Arial" w:hAnsi="Arial" w:cs="Arial"/>
                <w:noProof/>
                <w:webHidden/>
                <w:sz w:val="22"/>
                <w:szCs w:val="22"/>
              </w:rPr>
              <w:fldChar w:fldCharType="separate"/>
            </w:r>
            <w:r w:rsidRPr="00E50DF2">
              <w:rPr>
                <w:rFonts w:ascii="Arial" w:hAnsi="Arial" w:cs="Arial"/>
                <w:noProof/>
                <w:webHidden/>
                <w:sz w:val="22"/>
                <w:szCs w:val="22"/>
              </w:rPr>
              <w:t>5</w:t>
            </w:r>
            <w:r w:rsidRPr="00E50DF2">
              <w:rPr>
                <w:rFonts w:ascii="Arial" w:hAnsi="Arial" w:cs="Arial"/>
                <w:noProof/>
                <w:webHidden/>
                <w:sz w:val="22"/>
                <w:szCs w:val="22"/>
              </w:rPr>
              <w:fldChar w:fldCharType="end"/>
            </w:r>
          </w:hyperlink>
        </w:p>
        <w:p w14:paraId="1DB4C273" w14:textId="58973528" w:rsidR="005C27CC" w:rsidRPr="00E50DF2" w:rsidRDefault="005C27CC" w:rsidP="00E50DF2">
          <w:pPr>
            <w:pStyle w:val="TOC1"/>
            <w:tabs>
              <w:tab w:val="right" w:leader="dot" w:pos="9016"/>
            </w:tabs>
            <w:rPr>
              <w:rFonts w:ascii="Arial" w:eastAsiaTheme="minorEastAsia" w:hAnsi="Arial" w:cs="Arial"/>
              <w:noProof/>
              <w:color w:val="auto"/>
              <w:sz w:val="22"/>
              <w:szCs w:val="22"/>
              <w:lang w:eastAsia="en-IN" w:bidi="ar-SA"/>
            </w:rPr>
          </w:pPr>
          <w:hyperlink w:anchor="_Toc235535052" w:history="1">
            <w:r w:rsidRPr="00E50DF2">
              <w:rPr>
                <w:rStyle w:val="Hyperlink"/>
                <w:rFonts w:ascii="Arial" w:hAnsi="Arial" w:cs="Arial"/>
                <w:noProof/>
                <w:sz w:val="22"/>
                <w:szCs w:val="22"/>
              </w:rPr>
              <w:t>f) Discuss and examine relevant policy and legislation in relation to PCC and PW</w:t>
            </w:r>
            <w:r w:rsidRPr="00E50DF2">
              <w:rPr>
                <w:rFonts w:ascii="Arial" w:hAnsi="Arial" w:cs="Arial"/>
                <w:noProof/>
                <w:webHidden/>
                <w:sz w:val="22"/>
                <w:szCs w:val="22"/>
              </w:rPr>
              <w:tab/>
            </w:r>
            <w:r w:rsidRPr="00E50DF2">
              <w:rPr>
                <w:rFonts w:ascii="Arial" w:hAnsi="Arial" w:cs="Arial"/>
                <w:noProof/>
                <w:webHidden/>
                <w:sz w:val="22"/>
                <w:szCs w:val="22"/>
              </w:rPr>
              <w:fldChar w:fldCharType="begin"/>
            </w:r>
            <w:r w:rsidRPr="00E50DF2">
              <w:rPr>
                <w:rFonts w:ascii="Arial" w:hAnsi="Arial" w:cs="Arial"/>
                <w:noProof/>
                <w:webHidden/>
                <w:sz w:val="22"/>
                <w:szCs w:val="22"/>
              </w:rPr>
              <w:instrText xml:space="preserve"> PAGEREF _Toc235535052 \h </w:instrText>
            </w:r>
            <w:r w:rsidRPr="00E50DF2">
              <w:rPr>
                <w:rFonts w:ascii="Arial" w:hAnsi="Arial" w:cs="Arial"/>
                <w:noProof/>
                <w:webHidden/>
                <w:sz w:val="22"/>
                <w:szCs w:val="22"/>
              </w:rPr>
            </w:r>
            <w:r w:rsidRPr="00E50DF2">
              <w:rPr>
                <w:rFonts w:ascii="Arial" w:hAnsi="Arial" w:cs="Arial"/>
                <w:noProof/>
                <w:webHidden/>
                <w:sz w:val="22"/>
                <w:szCs w:val="22"/>
              </w:rPr>
              <w:fldChar w:fldCharType="separate"/>
            </w:r>
            <w:r w:rsidRPr="00E50DF2">
              <w:rPr>
                <w:rFonts w:ascii="Arial" w:hAnsi="Arial" w:cs="Arial"/>
                <w:noProof/>
                <w:webHidden/>
                <w:sz w:val="22"/>
                <w:szCs w:val="22"/>
              </w:rPr>
              <w:t>6</w:t>
            </w:r>
            <w:r w:rsidRPr="00E50DF2">
              <w:rPr>
                <w:rFonts w:ascii="Arial" w:hAnsi="Arial" w:cs="Arial"/>
                <w:noProof/>
                <w:webHidden/>
                <w:sz w:val="22"/>
                <w:szCs w:val="22"/>
              </w:rPr>
              <w:fldChar w:fldCharType="end"/>
            </w:r>
          </w:hyperlink>
        </w:p>
        <w:p w14:paraId="3A94856D" w14:textId="7BDF8085" w:rsidR="005C27CC" w:rsidRPr="00E50DF2" w:rsidRDefault="005C27CC" w:rsidP="00E50DF2">
          <w:pPr>
            <w:pStyle w:val="TOC1"/>
            <w:tabs>
              <w:tab w:val="right" w:leader="dot" w:pos="9016"/>
            </w:tabs>
            <w:rPr>
              <w:rFonts w:ascii="Arial" w:eastAsiaTheme="minorEastAsia" w:hAnsi="Arial" w:cs="Arial"/>
              <w:noProof/>
              <w:color w:val="auto"/>
              <w:sz w:val="22"/>
              <w:szCs w:val="22"/>
              <w:lang w:eastAsia="en-IN" w:bidi="ar-SA"/>
            </w:rPr>
          </w:pPr>
          <w:hyperlink w:anchor="_Toc235535053" w:history="1">
            <w:r w:rsidRPr="00E50DF2">
              <w:rPr>
                <w:rStyle w:val="Hyperlink"/>
                <w:rFonts w:ascii="Arial" w:hAnsi="Arial" w:cs="Arial"/>
                <w:noProof/>
                <w:sz w:val="22"/>
                <w:szCs w:val="22"/>
              </w:rPr>
              <w:t>g) Include recommendations for future development of PCC and partnership working in the UK</w:t>
            </w:r>
            <w:r w:rsidRPr="00E50DF2">
              <w:rPr>
                <w:rFonts w:ascii="Arial" w:hAnsi="Arial" w:cs="Arial"/>
                <w:noProof/>
                <w:webHidden/>
                <w:sz w:val="22"/>
                <w:szCs w:val="22"/>
              </w:rPr>
              <w:tab/>
            </w:r>
            <w:r w:rsidRPr="00E50DF2">
              <w:rPr>
                <w:rFonts w:ascii="Arial" w:hAnsi="Arial" w:cs="Arial"/>
                <w:noProof/>
                <w:webHidden/>
                <w:sz w:val="22"/>
                <w:szCs w:val="22"/>
              </w:rPr>
              <w:fldChar w:fldCharType="begin"/>
            </w:r>
            <w:r w:rsidRPr="00E50DF2">
              <w:rPr>
                <w:rFonts w:ascii="Arial" w:hAnsi="Arial" w:cs="Arial"/>
                <w:noProof/>
                <w:webHidden/>
                <w:sz w:val="22"/>
                <w:szCs w:val="22"/>
              </w:rPr>
              <w:instrText xml:space="preserve"> PAGEREF _Toc235535053 \h </w:instrText>
            </w:r>
            <w:r w:rsidRPr="00E50DF2">
              <w:rPr>
                <w:rFonts w:ascii="Arial" w:hAnsi="Arial" w:cs="Arial"/>
                <w:noProof/>
                <w:webHidden/>
                <w:sz w:val="22"/>
                <w:szCs w:val="22"/>
              </w:rPr>
            </w:r>
            <w:r w:rsidRPr="00E50DF2">
              <w:rPr>
                <w:rFonts w:ascii="Arial" w:hAnsi="Arial" w:cs="Arial"/>
                <w:noProof/>
                <w:webHidden/>
                <w:sz w:val="22"/>
                <w:szCs w:val="22"/>
              </w:rPr>
              <w:fldChar w:fldCharType="separate"/>
            </w:r>
            <w:r w:rsidRPr="00E50DF2">
              <w:rPr>
                <w:rFonts w:ascii="Arial" w:hAnsi="Arial" w:cs="Arial"/>
                <w:noProof/>
                <w:webHidden/>
                <w:sz w:val="22"/>
                <w:szCs w:val="22"/>
              </w:rPr>
              <w:t>6</w:t>
            </w:r>
            <w:r w:rsidRPr="00E50DF2">
              <w:rPr>
                <w:rFonts w:ascii="Arial" w:hAnsi="Arial" w:cs="Arial"/>
                <w:noProof/>
                <w:webHidden/>
                <w:sz w:val="22"/>
                <w:szCs w:val="22"/>
              </w:rPr>
              <w:fldChar w:fldCharType="end"/>
            </w:r>
          </w:hyperlink>
        </w:p>
        <w:p w14:paraId="6ECF83A8" w14:textId="1E8BE8E0" w:rsidR="005C27CC" w:rsidRPr="00E50DF2" w:rsidRDefault="005C27CC" w:rsidP="00E50DF2">
          <w:pPr>
            <w:pStyle w:val="TOC1"/>
            <w:tabs>
              <w:tab w:val="right" w:leader="dot" w:pos="9016"/>
            </w:tabs>
            <w:rPr>
              <w:rFonts w:ascii="Arial" w:eastAsiaTheme="minorEastAsia" w:hAnsi="Arial" w:cs="Arial"/>
              <w:noProof/>
              <w:color w:val="auto"/>
              <w:sz w:val="22"/>
              <w:szCs w:val="22"/>
              <w:lang w:eastAsia="en-IN" w:bidi="ar-SA"/>
            </w:rPr>
          </w:pPr>
          <w:hyperlink w:anchor="_Toc235535054" w:history="1">
            <w:r w:rsidRPr="00E50DF2">
              <w:rPr>
                <w:rStyle w:val="Hyperlink"/>
                <w:rFonts w:ascii="Arial" w:hAnsi="Arial" w:cs="Arial"/>
                <w:noProof/>
                <w:sz w:val="22"/>
                <w:szCs w:val="22"/>
              </w:rPr>
              <w:t>References</w:t>
            </w:r>
            <w:r w:rsidRPr="00E50DF2">
              <w:rPr>
                <w:rFonts w:ascii="Arial" w:hAnsi="Arial" w:cs="Arial"/>
                <w:noProof/>
                <w:webHidden/>
                <w:sz w:val="22"/>
                <w:szCs w:val="22"/>
              </w:rPr>
              <w:tab/>
            </w:r>
            <w:r w:rsidRPr="00E50DF2">
              <w:rPr>
                <w:rFonts w:ascii="Arial" w:hAnsi="Arial" w:cs="Arial"/>
                <w:noProof/>
                <w:webHidden/>
                <w:sz w:val="22"/>
                <w:szCs w:val="22"/>
              </w:rPr>
              <w:fldChar w:fldCharType="begin"/>
            </w:r>
            <w:r w:rsidRPr="00E50DF2">
              <w:rPr>
                <w:rFonts w:ascii="Arial" w:hAnsi="Arial" w:cs="Arial"/>
                <w:noProof/>
                <w:webHidden/>
                <w:sz w:val="22"/>
                <w:szCs w:val="22"/>
              </w:rPr>
              <w:instrText xml:space="preserve"> PAGEREF _Toc235535054 \h </w:instrText>
            </w:r>
            <w:r w:rsidRPr="00E50DF2">
              <w:rPr>
                <w:rFonts w:ascii="Arial" w:hAnsi="Arial" w:cs="Arial"/>
                <w:noProof/>
                <w:webHidden/>
                <w:sz w:val="22"/>
                <w:szCs w:val="22"/>
              </w:rPr>
            </w:r>
            <w:r w:rsidRPr="00E50DF2">
              <w:rPr>
                <w:rFonts w:ascii="Arial" w:hAnsi="Arial" w:cs="Arial"/>
                <w:noProof/>
                <w:webHidden/>
                <w:sz w:val="22"/>
                <w:szCs w:val="22"/>
              </w:rPr>
              <w:fldChar w:fldCharType="separate"/>
            </w:r>
            <w:r w:rsidRPr="00E50DF2">
              <w:rPr>
                <w:rFonts w:ascii="Arial" w:hAnsi="Arial" w:cs="Arial"/>
                <w:noProof/>
                <w:webHidden/>
                <w:sz w:val="22"/>
                <w:szCs w:val="22"/>
              </w:rPr>
              <w:t>8</w:t>
            </w:r>
            <w:r w:rsidRPr="00E50DF2">
              <w:rPr>
                <w:rFonts w:ascii="Arial" w:hAnsi="Arial" w:cs="Arial"/>
                <w:noProof/>
                <w:webHidden/>
                <w:sz w:val="22"/>
                <w:szCs w:val="22"/>
              </w:rPr>
              <w:fldChar w:fldCharType="end"/>
            </w:r>
          </w:hyperlink>
        </w:p>
        <w:p w14:paraId="3E327798" w14:textId="29FAB4CD" w:rsidR="00890C96" w:rsidRPr="00E50DF2" w:rsidRDefault="00890C96" w:rsidP="00E50DF2">
          <w:pPr>
            <w:rPr>
              <w:rFonts w:ascii="Arial" w:hAnsi="Arial" w:cs="Arial"/>
              <w:sz w:val="22"/>
              <w:szCs w:val="22"/>
            </w:rPr>
          </w:pPr>
          <w:r w:rsidRPr="00E50DF2">
            <w:rPr>
              <w:rFonts w:ascii="Arial" w:hAnsi="Arial" w:cs="Arial"/>
              <w:b/>
              <w:bCs/>
              <w:noProof/>
              <w:sz w:val="22"/>
              <w:szCs w:val="22"/>
            </w:rPr>
            <w:fldChar w:fldCharType="end"/>
          </w:r>
        </w:p>
      </w:sdtContent>
    </w:sdt>
    <w:p w14:paraId="7046EF90" w14:textId="2D83A762" w:rsidR="004F048B" w:rsidRPr="00E50DF2" w:rsidRDefault="00890C96" w:rsidP="00E50DF2">
      <w:pPr>
        <w:pStyle w:val="Heading1"/>
        <w:rPr>
          <w:rFonts w:ascii="Arial" w:hAnsi="Arial" w:cs="Arial"/>
          <w:sz w:val="22"/>
          <w:szCs w:val="22"/>
        </w:rPr>
      </w:pPr>
      <w:r w:rsidRPr="00E50DF2">
        <w:rPr>
          <w:rFonts w:ascii="Arial" w:hAnsi="Arial" w:cs="Arial"/>
          <w:sz w:val="22"/>
          <w:szCs w:val="22"/>
        </w:rPr>
        <w:br w:type="page"/>
      </w:r>
      <w:bookmarkStart w:id="0" w:name="_Toc235532821"/>
      <w:bookmarkStart w:id="1" w:name="_Toc235535047"/>
      <w:r w:rsidR="004F048B" w:rsidRPr="00E50DF2">
        <w:rPr>
          <w:rFonts w:ascii="Arial" w:hAnsi="Arial" w:cs="Arial"/>
          <w:sz w:val="22"/>
          <w:szCs w:val="22"/>
        </w:rPr>
        <w:lastRenderedPageBreak/>
        <w:t>a)  Define person centre care and identify the main benefits and limitations of this practice</w:t>
      </w:r>
      <w:bookmarkEnd w:id="0"/>
      <w:bookmarkEnd w:id="1"/>
    </w:p>
    <w:p w14:paraId="410AD2D3" w14:textId="6907A442" w:rsidR="004F048B" w:rsidRPr="00E50DF2" w:rsidRDefault="005C27CC" w:rsidP="00E50DF2">
      <w:pPr>
        <w:rPr>
          <w:rFonts w:ascii="Arial" w:hAnsi="Arial" w:cs="Arial"/>
          <w:sz w:val="22"/>
          <w:szCs w:val="22"/>
        </w:rPr>
      </w:pPr>
      <w:r w:rsidRPr="00E50DF2">
        <w:rPr>
          <w:rFonts w:ascii="Arial" w:hAnsi="Arial" w:cs="Arial"/>
          <w:sz w:val="22"/>
          <w:szCs w:val="22"/>
        </w:rPr>
        <w:t>Person centred care shifts the focus in clinical decision making from the disease towards the individual as a whole. This approach understands that people are complex and that social contexts influence this. It is based on trust and relationships and is dependent on shared decision making. Byrne, Baldwin and Harvey (2020) state that the main criticism of the concept is that there is no definition that has been universally accepted. This low threshold means that the concept can hide undesirable practices and the concept is left empirically overburdened. This criticism of the concept is warranted as there is no empirically verifiable definition of the concept. Despite this, the practice shows measurable evidence of success. Person centred care construct services according to the needs and preferences of the users and Liao et al. (2023) explain that this improves the quality of the offered service. Furthermore, Lorber et al. (2024) explain that this approach leads to better satisfaction and quality of life and better control of non-communicable diseases. Kwame and Petrucka (2021) stated that true, person-centred care utilizes effective, purposeful, and goal directed collaboration that enhances the autonomy of the patient and the therapeutic relationship. The authors agree that there is a broad consensus that this practice has value but the ability to implement the practice is limited by the context of the given healthcare service.</w:t>
      </w:r>
    </w:p>
    <w:p w14:paraId="3A74F3EF" w14:textId="77777777" w:rsidR="004F048B" w:rsidRPr="00E50DF2" w:rsidRDefault="004F048B" w:rsidP="00E50DF2">
      <w:pPr>
        <w:pStyle w:val="Heading1"/>
        <w:rPr>
          <w:rFonts w:ascii="Arial" w:hAnsi="Arial" w:cs="Arial"/>
          <w:sz w:val="22"/>
          <w:szCs w:val="22"/>
        </w:rPr>
      </w:pPr>
      <w:bookmarkStart w:id="2" w:name="_Toc235532822"/>
      <w:bookmarkStart w:id="3" w:name="_Toc235535048"/>
      <w:r w:rsidRPr="00E50DF2">
        <w:rPr>
          <w:rFonts w:ascii="Arial" w:hAnsi="Arial" w:cs="Arial"/>
          <w:sz w:val="22"/>
          <w:szCs w:val="22"/>
        </w:rPr>
        <w:t>(b) Critically examine a relevant theory or model of care of your choice which underpins PCC</w:t>
      </w:r>
      <w:bookmarkEnd w:id="2"/>
      <w:bookmarkEnd w:id="3"/>
    </w:p>
    <w:p w14:paraId="4DF9CBF7" w14:textId="6A91878B" w:rsidR="004F048B" w:rsidRPr="00E50DF2" w:rsidRDefault="005C27CC" w:rsidP="00E50DF2">
      <w:pPr>
        <w:rPr>
          <w:rFonts w:ascii="Arial" w:hAnsi="Arial" w:cs="Arial"/>
          <w:sz w:val="22"/>
          <w:szCs w:val="22"/>
        </w:rPr>
      </w:pPr>
      <w:r w:rsidRPr="00E50DF2">
        <w:rPr>
          <w:rFonts w:ascii="Arial" w:hAnsi="Arial" w:cs="Arial"/>
          <w:sz w:val="22"/>
          <w:szCs w:val="22"/>
        </w:rPr>
        <w:t xml:space="preserve">Person centred theory is well expressed in the Person-centred Nursing Framework. McCance and McCormack (2025) describe this mid-range theory as having prerequisites, the care environment, person centred processes and the outcomes. The attributes of the practitioner and the setting shape the achievement of the care. This framework has the strength of being able to translate the abstract values of a theory to the observable and measurable entities of daily practice. McCance and McCormack (2025) also acknowledge that the model has a number of limitations, particularly the actual conditions that are often present in healthcare settings as a result of organizational turbulence and staffing shortages. Santana et al. (2018) offer a design framework which organizes structure, process and outcomes. Compared to relational frameworks, this design creates an actionable guide for organizations and incorporates a system-level perspective, whereas a bedside framework lacks. The integration of the communication continuum proposed by Kwame and Petrucka (2021) emphasizes that care and communication are inherently interlinked because both personal and organizational barriers can inhibit genuine contact. This becomes a more critical framework when </w:t>
      </w:r>
      <w:r w:rsidR="00E50DF2">
        <w:rPr>
          <w:rFonts w:ascii="Arial" w:hAnsi="Arial" w:cs="Arial"/>
          <w:sz w:val="22"/>
          <w:szCs w:val="22"/>
        </w:rPr>
        <w:t xml:space="preserve">one </w:t>
      </w:r>
      <w:proofErr w:type="gramStart"/>
      <w:r w:rsidRPr="00E50DF2">
        <w:rPr>
          <w:rFonts w:ascii="Arial" w:hAnsi="Arial" w:cs="Arial"/>
          <w:sz w:val="22"/>
          <w:szCs w:val="22"/>
        </w:rPr>
        <w:t>compare</w:t>
      </w:r>
      <w:proofErr w:type="gramEnd"/>
      <w:r w:rsidRPr="00E50DF2">
        <w:rPr>
          <w:rFonts w:ascii="Arial" w:hAnsi="Arial" w:cs="Arial"/>
          <w:sz w:val="22"/>
          <w:szCs w:val="22"/>
        </w:rPr>
        <w:t xml:space="preserve"> the theoretical origins. In the work of Serbser–Koal et al. (2024), the descendants of </w:t>
      </w:r>
      <w:r w:rsidRPr="00E50DF2">
        <w:rPr>
          <w:rFonts w:ascii="Arial" w:hAnsi="Arial" w:cs="Arial"/>
          <w:sz w:val="22"/>
          <w:szCs w:val="22"/>
        </w:rPr>
        <w:lastRenderedPageBreak/>
        <w:t>Kitwood, Brooker and Rogers, the authors argue that many models place an excessive focus on the individual, while the rest of the theory focuses on relationality and sociality. This indicates a true conceptual gap, as frameworks that focus on the individual, family and community levels misrepresent how personhood is sustained. The models when taken together are able to complement each other, however, they still fail to address the concern between rigid theory and the disordered practice.</w:t>
      </w:r>
    </w:p>
    <w:p w14:paraId="00A86866" w14:textId="77777777" w:rsidR="004F048B" w:rsidRPr="00E50DF2" w:rsidRDefault="004F048B" w:rsidP="00E50DF2">
      <w:pPr>
        <w:pStyle w:val="Heading1"/>
        <w:rPr>
          <w:rFonts w:ascii="Arial" w:hAnsi="Arial" w:cs="Arial"/>
          <w:sz w:val="22"/>
          <w:szCs w:val="22"/>
        </w:rPr>
      </w:pPr>
      <w:bookmarkStart w:id="4" w:name="_Toc235532823"/>
      <w:bookmarkStart w:id="5" w:name="_Toc235535049"/>
      <w:r w:rsidRPr="00E50DF2">
        <w:rPr>
          <w:rFonts w:ascii="Arial" w:hAnsi="Arial" w:cs="Arial"/>
          <w:sz w:val="22"/>
          <w:szCs w:val="22"/>
        </w:rPr>
        <w:t>c) Analyse the ethical fundamentals of health and social care</w:t>
      </w:r>
      <w:bookmarkEnd w:id="4"/>
      <w:bookmarkEnd w:id="5"/>
    </w:p>
    <w:p w14:paraId="6E5C39E3" w14:textId="45425619" w:rsidR="005C27CC" w:rsidRPr="00E50DF2" w:rsidRDefault="005C27CC" w:rsidP="00E50DF2">
      <w:pPr>
        <w:rPr>
          <w:rFonts w:ascii="Arial" w:hAnsi="Arial" w:cs="Arial"/>
          <w:sz w:val="22"/>
          <w:szCs w:val="22"/>
        </w:rPr>
      </w:pPr>
      <w:r w:rsidRPr="00E50DF2">
        <w:rPr>
          <w:rFonts w:ascii="Arial" w:hAnsi="Arial" w:cs="Arial"/>
          <w:sz w:val="22"/>
          <w:szCs w:val="22"/>
        </w:rPr>
        <w:t>Every interaction in health and social care is built on ethics. Mousavi (2024) describes the foundational four of autonomy, beneficence, non-maleficence and justice, and notes that the balancing of justice and beneficence achieves both proper access to care and the safety and continuity of care. In addition to these four ‘foundational’ principles, mid-level principles are health maximization and efficiency. Schröder-Bäck et al. (2014) described these and other principles, noting that the larger the set, the more flexibility exists to address particular dilemmas. Paternalism is a frequent component of these dilemmas. Wong et al. (2025) back the four principles plus mid-level principles approach, describing that nurses are uneven in their commitment to the principles and that commitment is influenced by the degree of emotional distress they experience, as well as organizational constraints, and indicates that there is a large gap between the principles and their actual implementation. Cheraghi et al. (2023) focus beneficence and state that it is not simply the avoidance of non-maleficence, and that beneficence can be in direct opposition to autonomy. When a clinician believes a course of action to be harmful, and the patient believes that course of action to be the correct one, the patient is free to make the decision. In this case, the quality of a clinician’s judgement is most important. This circumstance is in direct opposition to any rigid ordering of ethics.</w:t>
      </w:r>
    </w:p>
    <w:p w14:paraId="7E018834" w14:textId="605090CE" w:rsidR="004F048B" w:rsidRPr="00E50DF2" w:rsidRDefault="005C27CC" w:rsidP="00E50DF2">
      <w:pPr>
        <w:rPr>
          <w:rFonts w:ascii="Arial" w:hAnsi="Arial" w:cs="Arial"/>
          <w:sz w:val="22"/>
          <w:szCs w:val="22"/>
        </w:rPr>
      </w:pPr>
      <w:r w:rsidRPr="00E50DF2">
        <w:rPr>
          <w:rFonts w:ascii="Arial" w:hAnsi="Arial" w:cs="Arial"/>
          <w:sz w:val="22"/>
          <w:szCs w:val="22"/>
        </w:rPr>
        <w:t>The ethical fundamentals do not serve as an inflexible checklist. Rather, they work as competing goods to be weighed on a case-by-case basis alongside skill, honesty, and a careful consideration of the plight of the weakened and vulnerable, including people and groups of people, whose situation and/or capacity may place them at a certain level of risk.</w:t>
      </w:r>
    </w:p>
    <w:p w14:paraId="1C61F4E4" w14:textId="77777777" w:rsidR="004F048B" w:rsidRPr="00E50DF2" w:rsidRDefault="004F048B" w:rsidP="00E50DF2">
      <w:pPr>
        <w:pStyle w:val="Heading1"/>
        <w:rPr>
          <w:rFonts w:ascii="Arial" w:hAnsi="Arial" w:cs="Arial"/>
          <w:sz w:val="22"/>
          <w:szCs w:val="22"/>
        </w:rPr>
      </w:pPr>
      <w:bookmarkStart w:id="6" w:name="_Toc235532824"/>
      <w:bookmarkStart w:id="7" w:name="_Toc235535050"/>
      <w:r w:rsidRPr="00E50DF2">
        <w:rPr>
          <w:rFonts w:ascii="Arial" w:hAnsi="Arial" w:cs="Arial"/>
          <w:sz w:val="22"/>
          <w:szCs w:val="22"/>
        </w:rPr>
        <w:t>d) Evaluate partnership working in health and social care</w:t>
      </w:r>
      <w:bookmarkEnd w:id="6"/>
      <w:bookmarkEnd w:id="7"/>
    </w:p>
    <w:p w14:paraId="74B8C3F9" w14:textId="622DB5D8" w:rsidR="005C27CC" w:rsidRPr="00E50DF2" w:rsidRDefault="005C27CC" w:rsidP="00E50DF2">
      <w:pPr>
        <w:rPr>
          <w:rFonts w:ascii="Arial" w:hAnsi="Arial" w:cs="Arial"/>
          <w:sz w:val="22"/>
          <w:szCs w:val="22"/>
        </w:rPr>
      </w:pPr>
      <w:r w:rsidRPr="00E50DF2">
        <w:rPr>
          <w:rFonts w:ascii="Arial" w:hAnsi="Arial" w:cs="Arial"/>
          <w:sz w:val="22"/>
          <w:szCs w:val="22"/>
        </w:rPr>
        <w:t xml:space="preserve">Responding to the needs of individuals with multiple, complicated demands necessitates that many disparate services come together as one. Heek et al. (2026) identify four integral elements of an effective partnership: a shared aim, clearly defined and differentiated roles, monitoring and evaluation along with financing. Enablers include active involvement and open lines of communication, along with flexibility. Opposing priorities, unclear roles and fragmented systems are barriers. The framework is beneficial as it steers success or failure toward </w:t>
      </w:r>
      <w:r w:rsidRPr="00E50DF2">
        <w:rPr>
          <w:rFonts w:ascii="Arial" w:hAnsi="Arial" w:cs="Arial"/>
          <w:sz w:val="22"/>
          <w:szCs w:val="22"/>
        </w:rPr>
        <w:lastRenderedPageBreak/>
        <w:t xml:space="preserve">identifiable elements of the framework, as opposed to the participants' goodwill. Corrigan et al. (2024) elaborate on the framework at the system level, emphasizing the extensive reliance of integrated care systems in England on constructed community partnerships. Moreover, the wellbeing of the community is best served when relationships are built and maintained, as opposed to being built and maintained only on an assumption. Mitchell et al. (2023) present a counterbalance to this by showing that many components of integrated care systems, primarily primary care, are at least partially in a state of disintegration, as a result of distance and disparate priorities and contracts. Wong et al. (2022) discuss a community health and social care partnership and describe how older adults received coordinated services. However, staff turnover, unclear roles, and the struggle to share information across service boundaries limited the partnership. Each source examined shows the gains in coordination undermined by structural and informational friction. A fair evaluation needs to resist two instances, the first being a dismissal of partnership working, and the second being </w:t>
      </w:r>
      <w:proofErr w:type="spellStart"/>
      <w:proofErr w:type="gramStart"/>
      <w:r w:rsidRPr="00E50DF2">
        <w:rPr>
          <w:rFonts w:ascii="Arial" w:hAnsi="Arial" w:cs="Arial"/>
          <w:sz w:val="22"/>
          <w:szCs w:val="22"/>
        </w:rPr>
        <w:t>a</w:t>
      </w:r>
      <w:proofErr w:type="spellEnd"/>
      <w:proofErr w:type="gramEnd"/>
      <w:r w:rsidRPr="00E50DF2">
        <w:rPr>
          <w:rFonts w:ascii="Arial" w:hAnsi="Arial" w:cs="Arial"/>
          <w:sz w:val="22"/>
          <w:szCs w:val="22"/>
        </w:rPr>
        <w:t xml:space="preserve"> aesthetic view of partnership working. The evidenced-based research is unbalanced and the barriers that are reported are present across a multitude of regions and organizations.</w:t>
      </w:r>
    </w:p>
    <w:p w14:paraId="1210F4BD" w14:textId="70E33220" w:rsidR="004F048B" w:rsidRPr="00E50DF2" w:rsidRDefault="005C27CC" w:rsidP="00E50DF2">
      <w:pPr>
        <w:rPr>
          <w:rFonts w:ascii="Arial" w:hAnsi="Arial" w:cs="Arial"/>
          <w:sz w:val="22"/>
          <w:szCs w:val="22"/>
        </w:rPr>
      </w:pPr>
      <w:r w:rsidRPr="00E50DF2">
        <w:rPr>
          <w:rFonts w:ascii="Arial" w:hAnsi="Arial" w:cs="Arial"/>
          <w:sz w:val="22"/>
          <w:szCs w:val="22"/>
        </w:rPr>
        <w:t>It is imperative that any analysis approaches the foundational structure of collaboration, as opposed to its relational surface, as it cannot be assumed that partnership agreements will yield the development of integrated care.</w:t>
      </w:r>
    </w:p>
    <w:p w14:paraId="0AABD2F3" w14:textId="77777777" w:rsidR="004F048B" w:rsidRPr="00E50DF2" w:rsidRDefault="004F048B" w:rsidP="00E50DF2">
      <w:pPr>
        <w:pStyle w:val="Heading1"/>
        <w:rPr>
          <w:rFonts w:ascii="Arial" w:hAnsi="Arial" w:cs="Arial"/>
          <w:sz w:val="22"/>
          <w:szCs w:val="22"/>
        </w:rPr>
      </w:pPr>
      <w:bookmarkStart w:id="8" w:name="_Toc235532825"/>
      <w:bookmarkStart w:id="9" w:name="_Toc235535051"/>
      <w:r w:rsidRPr="00E50DF2">
        <w:rPr>
          <w:rFonts w:ascii="Arial" w:hAnsi="Arial" w:cs="Arial"/>
          <w:sz w:val="22"/>
          <w:szCs w:val="22"/>
        </w:rPr>
        <w:t>e) Explore the application of partnership working in a practical health and social care setting of your choice</w:t>
      </w:r>
      <w:bookmarkEnd w:id="8"/>
      <w:bookmarkEnd w:id="9"/>
    </w:p>
    <w:p w14:paraId="78FF0E7A" w14:textId="77777777" w:rsidR="005C27CC" w:rsidRPr="00E50DF2" w:rsidRDefault="005C27CC" w:rsidP="00E50DF2">
      <w:pPr>
        <w:rPr>
          <w:rFonts w:ascii="Arial" w:hAnsi="Arial" w:cs="Arial"/>
          <w:sz w:val="22"/>
          <w:szCs w:val="22"/>
        </w:rPr>
      </w:pPr>
      <w:r w:rsidRPr="00E50DF2">
        <w:rPr>
          <w:rFonts w:ascii="Arial" w:hAnsi="Arial" w:cs="Arial"/>
          <w:sz w:val="22"/>
          <w:szCs w:val="22"/>
        </w:rPr>
        <w:t xml:space="preserve">Community mental health services are examples of partnership working. Chmielowska et al. (2022) describe the Open Dialogue approach as a social network model of a crisis and continuing care that positions peer support workers with lived experience as partners with clinicians, with shared decision making and co production as the focal point. Benefits reported included stronger engagement, alleviation of symptoms, improved employment opportunities and reduction in service use. This model of partnership working extends beyond the professional community and includes service users and their networks as co-equal partners. Parker et al. (2023) describe a similar arrangement, shared care of people with severe mental illness, which involves general practitioners and community mental health teams. Facilitators included fit with existing processes, a dedicated coordinating position, a multidisciplinary team and contemporaneous shared documentation. Barriers included a lack of motivation and confidence among primary care staff, poor funding and incentive alignment, and chronic issues with data sharing. These findings resonate with the rest of the literature, suggesting that both structure and relationships are of equal importance. However, the limitations emerge with greater scrutiny. Chmielowska et al. (2022) report that the role of peer support within </w:t>
      </w:r>
      <w:r w:rsidRPr="00E50DF2">
        <w:rPr>
          <w:rFonts w:ascii="Arial" w:hAnsi="Arial" w:cs="Arial"/>
          <w:sz w:val="22"/>
          <w:szCs w:val="22"/>
        </w:rPr>
        <w:lastRenderedPageBreak/>
        <w:t>Open Dialogue is, at best, fluid and, at worst, poorly defined. Parker et al. (2023) note that shared care is, at best, precariously sustained and, at worst, reliant on the resolve of individual practitioners.</w:t>
      </w:r>
    </w:p>
    <w:p w14:paraId="51C09652" w14:textId="1E9BC2DD" w:rsidR="004F048B" w:rsidRPr="00E50DF2" w:rsidRDefault="005C27CC" w:rsidP="00E50DF2">
      <w:pPr>
        <w:rPr>
          <w:rFonts w:ascii="Arial" w:hAnsi="Arial" w:cs="Arial"/>
          <w:sz w:val="22"/>
          <w:szCs w:val="22"/>
        </w:rPr>
      </w:pPr>
      <w:r w:rsidRPr="00E50DF2">
        <w:rPr>
          <w:rFonts w:ascii="Arial" w:hAnsi="Arial" w:cs="Arial"/>
          <w:sz w:val="22"/>
          <w:szCs w:val="22"/>
        </w:rPr>
        <w:t>The strength and fragility of person-centered partnerships can be observed in community mental health services. When roles, funding, and information systems are out of alignment, the benefits of these partnerships are diminished.</w:t>
      </w:r>
    </w:p>
    <w:p w14:paraId="418CA193" w14:textId="77777777" w:rsidR="004F048B" w:rsidRPr="00E50DF2" w:rsidRDefault="004F048B" w:rsidP="00E50DF2">
      <w:pPr>
        <w:pStyle w:val="Heading1"/>
        <w:rPr>
          <w:rFonts w:ascii="Arial" w:hAnsi="Arial" w:cs="Arial"/>
          <w:sz w:val="22"/>
          <w:szCs w:val="22"/>
        </w:rPr>
      </w:pPr>
      <w:bookmarkStart w:id="10" w:name="_Toc235532826"/>
      <w:bookmarkStart w:id="11" w:name="_Toc235535052"/>
      <w:r w:rsidRPr="00E50DF2">
        <w:rPr>
          <w:rFonts w:ascii="Arial" w:hAnsi="Arial" w:cs="Arial"/>
          <w:sz w:val="22"/>
          <w:szCs w:val="22"/>
        </w:rPr>
        <w:t>f) Discuss and examine relevant policy and legislation in relation to PCC and PW</w:t>
      </w:r>
      <w:bookmarkEnd w:id="10"/>
      <w:bookmarkEnd w:id="11"/>
    </w:p>
    <w:p w14:paraId="7B51E248" w14:textId="7D24865E" w:rsidR="004F048B" w:rsidRPr="00E50DF2" w:rsidRDefault="005C27CC" w:rsidP="00E50DF2">
      <w:pPr>
        <w:rPr>
          <w:rFonts w:ascii="Arial" w:hAnsi="Arial" w:cs="Arial"/>
          <w:sz w:val="22"/>
          <w:szCs w:val="22"/>
        </w:rPr>
      </w:pPr>
      <w:r w:rsidRPr="00E50DF2">
        <w:rPr>
          <w:rFonts w:ascii="Arial" w:hAnsi="Arial" w:cs="Arial"/>
          <w:sz w:val="22"/>
          <w:szCs w:val="22"/>
        </w:rPr>
        <w:t>Policy and legislation transform the aspirations of person centered care and partnership working into mandated provisions, although the translation remains somewhat degraded. Moore et al. (2023) analyzed postgraduate medical curricula in the United Kingdom and noted that person centered care is often mentioned, but embedded in a highly inconsistent manner or not defined or assessed at all. Thus, the endorsement of a policy is not a guarantee of its implementation. This is relevant because education is the main driver to translate a policy into behavioural standards in a profession. At the systems level, Mitchell et al. (2023) analyzed the mandated restructuring of the English National Health Service (NHS) into Integrated Care Systems and argued that primary care providers can remain structurally and culturally separate, thus, the law that mandates integration will not eliminate the boundaries the law seeks to address. Corrigan et al. (2024) continue this argument by saying that Integrated Care Systems will only promote health and wellbeing in a highly imprecise and post-structuralist policy environment. When viewed collectively, these sources point to the same limitation of most legislative systems.</w:t>
      </w:r>
    </w:p>
    <w:p w14:paraId="28EAE3CF" w14:textId="60CB98CF" w:rsidR="005C27CC" w:rsidRPr="00E50DF2" w:rsidRDefault="005C27CC" w:rsidP="00E50DF2">
      <w:pPr>
        <w:rPr>
          <w:rFonts w:ascii="Arial" w:hAnsi="Arial" w:cs="Arial"/>
          <w:sz w:val="22"/>
          <w:szCs w:val="22"/>
        </w:rPr>
      </w:pPr>
      <w:r w:rsidRPr="00E50DF2">
        <w:rPr>
          <w:rFonts w:ascii="Arial" w:hAnsi="Arial" w:cs="Arial"/>
          <w:sz w:val="22"/>
          <w:szCs w:val="22"/>
        </w:rPr>
        <w:t>Statute can create the physical containers, assign the roles, and provide a name for a thing, but by itself, will not create a culture of trust and adaptive relationships that person centered or collaborative care demands. There is a strong tendency in most integrated care policy systems that top tier, directive policy systems, change faster than the culture and integrated care policy systems that are necessary to make the policy systems meaningful.</w:t>
      </w:r>
    </w:p>
    <w:p w14:paraId="082F1C56" w14:textId="77777777" w:rsidR="004F048B" w:rsidRPr="00E50DF2" w:rsidRDefault="004F048B" w:rsidP="00E50DF2">
      <w:pPr>
        <w:pStyle w:val="Heading1"/>
        <w:rPr>
          <w:rFonts w:ascii="Arial" w:hAnsi="Arial" w:cs="Arial"/>
          <w:sz w:val="22"/>
          <w:szCs w:val="22"/>
        </w:rPr>
      </w:pPr>
      <w:bookmarkStart w:id="12" w:name="_Toc235532827"/>
      <w:bookmarkStart w:id="13" w:name="_Toc235535053"/>
      <w:r w:rsidRPr="00E50DF2">
        <w:rPr>
          <w:rFonts w:ascii="Arial" w:hAnsi="Arial" w:cs="Arial"/>
          <w:sz w:val="22"/>
          <w:szCs w:val="22"/>
        </w:rPr>
        <w:t>g) Include recommendations for future development of PCC and partnership working in the UK</w:t>
      </w:r>
      <w:bookmarkEnd w:id="12"/>
      <w:bookmarkEnd w:id="13"/>
    </w:p>
    <w:p w14:paraId="06CFE823" w14:textId="77777777" w:rsidR="005C27CC" w:rsidRPr="00E50DF2" w:rsidRDefault="005C27CC" w:rsidP="00E50DF2">
      <w:pPr>
        <w:rPr>
          <w:rFonts w:ascii="Arial" w:hAnsi="Arial" w:cs="Arial"/>
          <w:sz w:val="22"/>
          <w:szCs w:val="22"/>
        </w:rPr>
      </w:pPr>
      <w:r w:rsidRPr="00E50DF2">
        <w:rPr>
          <w:rFonts w:ascii="Arial" w:hAnsi="Arial" w:cs="Arial"/>
          <w:sz w:val="22"/>
          <w:szCs w:val="22"/>
        </w:rPr>
        <w:t xml:space="preserve">The evidence supports gradual, rather than abrupt, developments. Wong et al. (2022) show that partnerships for health and social care services in the community may lead to better outcomes for older people, demonstrating the value of local, coordinated models that recognize service users and the community as real partners and not just recipients. Corrigan et al. (2024) build on this work and suggest that deliberate community collaboration be </w:t>
      </w:r>
      <w:r w:rsidRPr="00E50DF2">
        <w:rPr>
          <w:rFonts w:ascii="Arial" w:hAnsi="Arial" w:cs="Arial"/>
          <w:sz w:val="22"/>
          <w:szCs w:val="22"/>
        </w:rPr>
        <w:lastRenderedPageBreak/>
        <w:t>fostered. Integrated care systems build and sustain community wellbeing, but only where community relationships and resources are cultivated and sustained. Education is the next focus. Moore et al. (2023) show the inconsistent incorporation of person-centred care in professional training. Future development must narrow the gap between policy and practice in the area of person-centred care and practice, and have greater focus on and assessment of skills in interaction and communication. Finally, the integration of care services is the last focus. Mitchell et al. (2023) show that when integration of care services is the goal, there is a lack of alignment between culture and care. This demonstrates the importance of having clear indicators that measure the integration of care services and substantiate the claimed benefits, as integration of care services is not supported by evidence. These suggestions may be limited. There is no guarantee that the recommendations may be implemented elsewhere based on the evidence of their implementation in one case. Cultural change along with training and the incorporation of other services will require time and funding that are not guaranteed. However, the focus is clear. Progress results from integrating local co-creation, intersectoral collaboration, standardized evaluation, and education sustained over time.</w:t>
      </w:r>
    </w:p>
    <w:p w14:paraId="7109394A" w14:textId="4D84F97D" w:rsidR="005C27CC" w:rsidRPr="00E50DF2" w:rsidRDefault="005C27CC" w:rsidP="00E50DF2">
      <w:pPr>
        <w:rPr>
          <w:rFonts w:ascii="Arial" w:hAnsi="Arial" w:cs="Arial"/>
          <w:sz w:val="22"/>
          <w:szCs w:val="22"/>
        </w:rPr>
      </w:pPr>
      <w:r w:rsidRPr="00E50DF2">
        <w:rPr>
          <w:rFonts w:ascii="Arial" w:hAnsi="Arial" w:cs="Arial"/>
          <w:sz w:val="22"/>
          <w:szCs w:val="22"/>
        </w:rPr>
        <w:t>Well-reasoned argument shows that costly disruptions from top-down revisions of an organization will always be greater than the uncertain benefits of the organization</w:t>
      </w:r>
      <w:r w:rsidR="00E50DF2">
        <w:rPr>
          <w:rFonts w:ascii="Arial" w:hAnsi="Arial" w:cs="Arial"/>
          <w:sz w:val="22"/>
          <w:szCs w:val="22"/>
        </w:rPr>
        <w:t>,</w:t>
      </w:r>
      <w:r w:rsidRPr="00E50DF2">
        <w:rPr>
          <w:rFonts w:ascii="Arial" w:hAnsi="Arial" w:cs="Arial"/>
          <w:sz w:val="22"/>
          <w:szCs w:val="22"/>
        </w:rPr>
        <w:t xml:space="preserve"> therefore, it is better to slowly and systematically improve an organization, using the available data to adjust and refine the practices, based on the proven effective practices of the local setting.</w:t>
      </w:r>
    </w:p>
    <w:p w14:paraId="12C0CE66" w14:textId="6C6156E1" w:rsidR="00890C96" w:rsidRPr="00E50DF2" w:rsidRDefault="00890C96" w:rsidP="00E50DF2">
      <w:pPr>
        <w:rPr>
          <w:rFonts w:ascii="Arial" w:hAnsi="Arial" w:cs="Arial"/>
          <w:sz w:val="22"/>
          <w:szCs w:val="22"/>
        </w:rPr>
      </w:pPr>
    </w:p>
    <w:p w14:paraId="0F40A5B4" w14:textId="77777777" w:rsidR="004F048B" w:rsidRPr="00E50DF2" w:rsidRDefault="004F048B" w:rsidP="00E50DF2">
      <w:pPr>
        <w:jc w:val="left"/>
        <w:rPr>
          <w:rFonts w:ascii="Arial" w:eastAsiaTheme="majorEastAsia" w:hAnsi="Arial" w:cs="Arial"/>
          <w:b/>
          <w:sz w:val="22"/>
          <w:szCs w:val="22"/>
        </w:rPr>
      </w:pPr>
      <w:r w:rsidRPr="00E50DF2">
        <w:rPr>
          <w:rFonts w:ascii="Arial" w:hAnsi="Arial" w:cs="Arial"/>
          <w:sz w:val="22"/>
          <w:szCs w:val="22"/>
        </w:rPr>
        <w:br w:type="page"/>
      </w:r>
    </w:p>
    <w:p w14:paraId="3BE55963" w14:textId="2EB92156" w:rsidR="008D7A45" w:rsidRPr="00E50DF2" w:rsidRDefault="0080305E" w:rsidP="00E50DF2">
      <w:pPr>
        <w:pStyle w:val="Heading1"/>
        <w:rPr>
          <w:rFonts w:ascii="Arial" w:hAnsi="Arial" w:cs="Arial"/>
          <w:sz w:val="22"/>
          <w:szCs w:val="22"/>
        </w:rPr>
      </w:pPr>
      <w:bookmarkStart w:id="14" w:name="_Toc235535054"/>
      <w:r w:rsidRPr="00E50DF2">
        <w:rPr>
          <w:rFonts w:ascii="Arial" w:hAnsi="Arial" w:cs="Arial"/>
          <w:sz w:val="22"/>
          <w:szCs w:val="22"/>
        </w:rPr>
        <w:lastRenderedPageBreak/>
        <w:t>References</w:t>
      </w:r>
      <w:bookmarkEnd w:id="14"/>
      <w:r w:rsidRPr="00E50DF2">
        <w:rPr>
          <w:rFonts w:ascii="Arial" w:hAnsi="Arial" w:cs="Arial"/>
          <w:sz w:val="22"/>
          <w:szCs w:val="22"/>
        </w:rPr>
        <w:t xml:space="preserve"> </w:t>
      </w:r>
    </w:p>
    <w:p w14:paraId="5033EC45"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Byrne, A.-L., Baldwin, A. and Harvey, C. (2020) 'Whose centre is it anyway? Defining person-centred care in nursing: An integrative review', </w:t>
      </w:r>
      <w:r w:rsidRPr="00E50DF2">
        <w:rPr>
          <w:rFonts w:ascii="Arial" w:hAnsi="Arial" w:cs="Arial"/>
          <w:i/>
          <w:iCs/>
          <w:sz w:val="22"/>
          <w:szCs w:val="22"/>
        </w:rPr>
        <w:t>PLoS ONE</w:t>
      </w:r>
      <w:r w:rsidRPr="00E50DF2">
        <w:rPr>
          <w:rFonts w:ascii="Arial" w:hAnsi="Arial" w:cs="Arial"/>
          <w:sz w:val="22"/>
          <w:szCs w:val="22"/>
        </w:rPr>
        <w:t xml:space="preserve">, 15(3), e0229923. </w:t>
      </w:r>
      <w:hyperlink r:id="rId7" w:history="1">
        <w:r w:rsidRPr="00E50DF2">
          <w:rPr>
            <w:rStyle w:val="Hyperlink"/>
            <w:rFonts w:ascii="Arial" w:hAnsi="Arial" w:cs="Arial"/>
            <w:sz w:val="22"/>
            <w:szCs w:val="22"/>
          </w:rPr>
          <w:t>https://journals.plos.org/plosone/article/file?id=10.1371/journal.pone.0229923&amp;type=printable</w:t>
        </w:r>
      </w:hyperlink>
    </w:p>
    <w:p w14:paraId="72FBE376"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Cheraghi, R., Valizadeh, L., Zamanzadeh, V., Hassankhani, H. and Jafarzadeh, A. (2023) 'Clarification of ethical principle of the beneficence in nursing care: an integrative review', </w:t>
      </w:r>
      <w:r w:rsidRPr="00E50DF2">
        <w:rPr>
          <w:rFonts w:ascii="Arial" w:hAnsi="Arial" w:cs="Arial"/>
          <w:i/>
          <w:iCs/>
          <w:sz w:val="22"/>
          <w:szCs w:val="22"/>
        </w:rPr>
        <w:t>BMC Nursing</w:t>
      </w:r>
      <w:r w:rsidRPr="00E50DF2">
        <w:rPr>
          <w:rFonts w:ascii="Arial" w:hAnsi="Arial" w:cs="Arial"/>
          <w:sz w:val="22"/>
          <w:szCs w:val="22"/>
        </w:rPr>
        <w:t xml:space="preserve">, 22, 89. </w:t>
      </w:r>
      <w:hyperlink r:id="rId8" w:history="1">
        <w:r w:rsidRPr="00E50DF2">
          <w:rPr>
            <w:rStyle w:val="Hyperlink"/>
            <w:rFonts w:ascii="Arial" w:hAnsi="Arial" w:cs="Arial"/>
            <w:sz w:val="22"/>
            <w:szCs w:val="22"/>
          </w:rPr>
          <w:t>https://bmcnurs.biomedcentral.com/counter/pdf/10.1186/s12912-023-01246-4.pdf</w:t>
        </w:r>
      </w:hyperlink>
      <w:r w:rsidRPr="00E50DF2">
        <w:rPr>
          <w:rFonts w:ascii="Arial" w:hAnsi="Arial" w:cs="Arial"/>
          <w:sz w:val="22"/>
          <w:szCs w:val="22"/>
        </w:rPr>
        <w:t xml:space="preserve"> </w:t>
      </w:r>
    </w:p>
    <w:p w14:paraId="44522240"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Chmielowska, M., Mannocci, N., Tansel, A. and Zisman-Ilani, Y. (2022) 'Peer support and shared decision making in Open Dialogue: Opportunities and recommendations', </w:t>
      </w:r>
      <w:r w:rsidRPr="00E50DF2">
        <w:rPr>
          <w:rFonts w:ascii="Arial" w:hAnsi="Arial" w:cs="Arial"/>
          <w:i/>
          <w:iCs/>
          <w:sz w:val="22"/>
          <w:szCs w:val="22"/>
        </w:rPr>
        <w:t>Frontiers in Psychology</w:t>
      </w:r>
      <w:r w:rsidRPr="00E50DF2">
        <w:rPr>
          <w:rFonts w:ascii="Arial" w:hAnsi="Arial" w:cs="Arial"/>
          <w:sz w:val="22"/>
          <w:szCs w:val="22"/>
        </w:rPr>
        <w:t xml:space="preserve">, 13, 1059412. </w:t>
      </w:r>
      <w:hyperlink r:id="rId9" w:history="1">
        <w:r w:rsidRPr="00E50DF2">
          <w:rPr>
            <w:rStyle w:val="Hyperlink"/>
            <w:rFonts w:ascii="Arial" w:hAnsi="Arial" w:cs="Arial"/>
            <w:sz w:val="22"/>
            <w:szCs w:val="22"/>
          </w:rPr>
          <w:t>https://www.frontiersin.org/articles/10.3389/fpsyg.2022.1059412/pdf</w:t>
        </w:r>
      </w:hyperlink>
    </w:p>
    <w:p w14:paraId="1DF8B8CF"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Corrigan, O., Danielsen, S., Doherty, S. and Lane, P. (2024) 'Integrated care systems in England: the significance of collaborative community assets in promoting and sustaining health and wellbeing', </w:t>
      </w:r>
      <w:r w:rsidRPr="00E50DF2">
        <w:rPr>
          <w:rFonts w:ascii="Arial" w:hAnsi="Arial" w:cs="Arial"/>
          <w:i/>
          <w:iCs/>
          <w:sz w:val="22"/>
          <w:szCs w:val="22"/>
        </w:rPr>
        <w:t>Frontiers in Sociology</w:t>
      </w:r>
      <w:r w:rsidRPr="00E50DF2">
        <w:rPr>
          <w:rFonts w:ascii="Arial" w:hAnsi="Arial" w:cs="Arial"/>
          <w:sz w:val="22"/>
          <w:szCs w:val="22"/>
        </w:rPr>
        <w:t xml:space="preserve">, 9, 1355215. </w:t>
      </w:r>
      <w:hyperlink r:id="rId10" w:history="1">
        <w:r w:rsidRPr="00E50DF2">
          <w:rPr>
            <w:rStyle w:val="Hyperlink"/>
            <w:rFonts w:ascii="Arial" w:hAnsi="Arial" w:cs="Arial"/>
            <w:sz w:val="22"/>
            <w:szCs w:val="22"/>
          </w:rPr>
          <w:t>https://www.frontiersin.org/articles/10.3389/fsoc.2024.1355215/pdf</w:t>
        </w:r>
      </w:hyperlink>
    </w:p>
    <w:p w14:paraId="69D6A295"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Heek, H.C., Nooteboom, L.A., Barnhoorn-Bos, A.M., Vermeiren, R.R.J.M. and Mulder, E.A. (2026) 'A Balancing Act: Partnership Dynamics in Practice When Organising and Developing Integrated Care Initiatives', </w:t>
      </w:r>
      <w:r w:rsidRPr="00E50DF2">
        <w:rPr>
          <w:rFonts w:ascii="Arial" w:hAnsi="Arial" w:cs="Arial"/>
          <w:i/>
          <w:iCs/>
          <w:sz w:val="22"/>
          <w:szCs w:val="22"/>
        </w:rPr>
        <w:t>International Journal of Integrated Care</w:t>
      </w:r>
      <w:r w:rsidRPr="00E50DF2">
        <w:rPr>
          <w:rFonts w:ascii="Arial" w:hAnsi="Arial" w:cs="Arial"/>
          <w:sz w:val="22"/>
          <w:szCs w:val="22"/>
        </w:rPr>
        <w:t xml:space="preserve">, 26(1), 5, pp 1-12. </w:t>
      </w:r>
      <w:hyperlink r:id="rId11" w:history="1">
        <w:r w:rsidRPr="00E50DF2">
          <w:rPr>
            <w:rStyle w:val="Hyperlink"/>
            <w:rFonts w:ascii="Arial" w:hAnsi="Arial" w:cs="Arial"/>
            <w:sz w:val="22"/>
            <w:szCs w:val="22"/>
          </w:rPr>
          <w:t>https://ijic.org/articles/9359/files/6985c81fe45cb.pdf</w:t>
        </w:r>
      </w:hyperlink>
    </w:p>
    <w:p w14:paraId="6A280F9C"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Kwame, A. and Petrucka, P.M. (2021) 'A literature-based study of patient-centered care and communication in nurse-patient interactions: barriers, facilitators, and the way forward', </w:t>
      </w:r>
      <w:r w:rsidRPr="00E50DF2">
        <w:rPr>
          <w:rFonts w:ascii="Arial" w:hAnsi="Arial" w:cs="Arial"/>
          <w:i/>
          <w:iCs/>
          <w:sz w:val="22"/>
          <w:szCs w:val="22"/>
        </w:rPr>
        <w:t>BMC Nursing</w:t>
      </w:r>
      <w:r w:rsidRPr="00E50DF2">
        <w:rPr>
          <w:rFonts w:ascii="Arial" w:hAnsi="Arial" w:cs="Arial"/>
          <w:sz w:val="22"/>
          <w:szCs w:val="22"/>
        </w:rPr>
        <w:t xml:space="preserve">, 20, 158. </w:t>
      </w:r>
      <w:hyperlink r:id="rId12" w:history="1">
        <w:r w:rsidRPr="00E50DF2">
          <w:rPr>
            <w:rStyle w:val="Hyperlink"/>
            <w:rFonts w:ascii="Arial" w:hAnsi="Arial" w:cs="Arial"/>
            <w:sz w:val="22"/>
            <w:szCs w:val="22"/>
          </w:rPr>
          <w:t>https://bmcnurs.biomedcentral.com/counter/pdf/10.1186/s12912-021-00684-2.pdf</w:t>
        </w:r>
      </w:hyperlink>
    </w:p>
    <w:p w14:paraId="1DEBB994"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Liao, L., Feng, M., You, Y., Chen, Y., Guan, C. and Liu, Y. (2023) 'Experiences of older people, healthcare providers and caregivers on implementing person-centered care for community-dwelling older people: a systematic review and qualitative meta-synthesis', </w:t>
      </w:r>
      <w:r w:rsidRPr="00E50DF2">
        <w:rPr>
          <w:rFonts w:ascii="Arial" w:hAnsi="Arial" w:cs="Arial"/>
          <w:i/>
          <w:iCs/>
          <w:sz w:val="22"/>
          <w:szCs w:val="22"/>
        </w:rPr>
        <w:t>BMC Geriatrics</w:t>
      </w:r>
      <w:r w:rsidRPr="00E50DF2">
        <w:rPr>
          <w:rFonts w:ascii="Arial" w:hAnsi="Arial" w:cs="Arial"/>
          <w:sz w:val="22"/>
          <w:szCs w:val="22"/>
        </w:rPr>
        <w:t xml:space="preserve">, 23, 207. </w:t>
      </w:r>
      <w:hyperlink r:id="rId13" w:history="1">
        <w:r w:rsidRPr="00E50DF2">
          <w:rPr>
            <w:rStyle w:val="Hyperlink"/>
            <w:rFonts w:ascii="Arial" w:hAnsi="Arial" w:cs="Arial"/>
            <w:sz w:val="22"/>
            <w:szCs w:val="22"/>
          </w:rPr>
          <w:t>https://bmcgeriatr.biomedcentral.com/counter/pdf/10.1186/s12877-023-03915-0.pdf</w:t>
        </w:r>
      </w:hyperlink>
    </w:p>
    <w:p w14:paraId="773B1770"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Lorber, M., Mlinar Reljić, N., Kegl, B., Fekonja, Z., Štiglic, G., Davey, A. and Kmetec, S. (2024) 'Person-Centred Care: A Support Strategy for Managing Non-Communicable Diseases', </w:t>
      </w:r>
      <w:r w:rsidRPr="00E50DF2">
        <w:rPr>
          <w:rFonts w:ascii="Arial" w:hAnsi="Arial" w:cs="Arial"/>
          <w:i/>
          <w:iCs/>
          <w:sz w:val="22"/>
          <w:szCs w:val="22"/>
        </w:rPr>
        <w:t>Healthcare</w:t>
      </w:r>
      <w:r w:rsidRPr="00E50DF2">
        <w:rPr>
          <w:rFonts w:ascii="Arial" w:hAnsi="Arial" w:cs="Arial"/>
          <w:sz w:val="22"/>
          <w:szCs w:val="22"/>
        </w:rPr>
        <w:t xml:space="preserve">, 12(5), 526. </w:t>
      </w:r>
      <w:hyperlink r:id="rId14" w:history="1">
        <w:r w:rsidRPr="00E50DF2">
          <w:rPr>
            <w:rStyle w:val="Hyperlink"/>
            <w:rFonts w:ascii="Arial" w:hAnsi="Arial" w:cs="Arial"/>
            <w:sz w:val="22"/>
            <w:szCs w:val="22"/>
          </w:rPr>
          <w:t>https://www.mdpi.com/2227-9032/12/5/526/pdf</w:t>
        </w:r>
      </w:hyperlink>
    </w:p>
    <w:p w14:paraId="30FF1821"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lastRenderedPageBreak/>
        <w:t xml:space="preserve">McCance, T. and McCormack, B. (2025) 'The Person-centred Nursing Framework: a mid-range theory for nursing practice', </w:t>
      </w:r>
      <w:r w:rsidRPr="00E50DF2">
        <w:rPr>
          <w:rFonts w:ascii="Arial" w:hAnsi="Arial" w:cs="Arial"/>
          <w:i/>
          <w:iCs/>
          <w:sz w:val="22"/>
          <w:szCs w:val="22"/>
        </w:rPr>
        <w:t>Journal of Research in Nursing</w:t>
      </w:r>
      <w:r w:rsidRPr="00E50DF2">
        <w:rPr>
          <w:rFonts w:ascii="Arial" w:hAnsi="Arial" w:cs="Arial"/>
          <w:sz w:val="22"/>
          <w:szCs w:val="22"/>
        </w:rPr>
        <w:t xml:space="preserve">, 30(1), pp. 47–60. </w:t>
      </w:r>
      <w:hyperlink r:id="rId15" w:history="1">
        <w:r w:rsidRPr="00E50DF2">
          <w:rPr>
            <w:rStyle w:val="Hyperlink"/>
            <w:rFonts w:ascii="Arial" w:hAnsi="Arial" w:cs="Arial"/>
            <w:sz w:val="22"/>
            <w:szCs w:val="22"/>
          </w:rPr>
          <w:t>https://pmc.ncbi.nlm.nih.gov/articles/PMC11907491/pdf/</w:t>
        </w:r>
      </w:hyperlink>
    </w:p>
    <w:p w14:paraId="454D67F4"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Mitchell, C., Higgerson, J., Tazzyman, A. and Whittaker, W. (2023) 'Primary care services in the English NHS: are they a thorn in the side of integrated care systems? A qualitative analysis', </w:t>
      </w:r>
      <w:r w:rsidRPr="00E50DF2">
        <w:rPr>
          <w:rFonts w:ascii="Arial" w:hAnsi="Arial" w:cs="Arial"/>
          <w:i/>
          <w:iCs/>
          <w:sz w:val="22"/>
          <w:szCs w:val="22"/>
        </w:rPr>
        <w:t>BMC Primary Care</w:t>
      </w:r>
      <w:r w:rsidRPr="00E50DF2">
        <w:rPr>
          <w:rFonts w:ascii="Arial" w:hAnsi="Arial" w:cs="Arial"/>
          <w:sz w:val="22"/>
          <w:szCs w:val="22"/>
        </w:rPr>
        <w:t xml:space="preserve">, 24, 168. </w:t>
      </w:r>
      <w:hyperlink r:id="rId16" w:history="1">
        <w:r w:rsidRPr="00E50DF2">
          <w:rPr>
            <w:rStyle w:val="Hyperlink"/>
            <w:rFonts w:ascii="Arial" w:hAnsi="Arial" w:cs="Arial"/>
            <w:sz w:val="22"/>
            <w:szCs w:val="22"/>
          </w:rPr>
          <w:t>https://bmcprimcare.biomedcentral.com/counter/pdf/10.1186/s12875-023-02124-3.pdf</w:t>
        </w:r>
      </w:hyperlink>
      <w:r w:rsidRPr="00E50DF2">
        <w:rPr>
          <w:rFonts w:ascii="Arial" w:hAnsi="Arial" w:cs="Arial"/>
          <w:sz w:val="22"/>
          <w:szCs w:val="22"/>
        </w:rPr>
        <w:t xml:space="preserve"> </w:t>
      </w:r>
    </w:p>
    <w:p w14:paraId="4599DDCC"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Moore, H.L., Watson, R., Farnworth, A., Giles, K., Tomson, D. and Thomson, R.G. (2023) 'Inclusion of person-centred care in UK postgraduate medical education curricula: Interviews and documentary analysis', </w:t>
      </w:r>
      <w:r w:rsidRPr="00E50DF2">
        <w:rPr>
          <w:rFonts w:ascii="Arial" w:hAnsi="Arial" w:cs="Arial"/>
          <w:i/>
          <w:iCs/>
          <w:sz w:val="22"/>
          <w:szCs w:val="22"/>
        </w:rPr>
        <w:t>BMC Medical Education</w:t>
      </w:r>
      <w:r w:rsidRPr="00E50DF2">
        <w:rPr>
          <w:rFonts w:ascii="Arial" w:hAnsi="Arial" w:cs="Arial"/>
          <w:sz w:val="22"/>
          <w:szCs w:val="22"/>
        </w:rPr>
        <w:t>, 23, 757. doi:10.1186/s12909-023-04730-2.</w:t>
      </w:r>
      <w:r w:rsidRPr="00E50DF2">
        <w:rPr>
          <w:rFonts w:ascii="Arial" w:hAnsi="Arial" w:cs="Arial"/>
          <w:sz w:val="22"/>
          <w:szCs w:val="22"/>
        </w:rPr>
        <w:br/>
      </w:r>
      <w:hyperlink r:id="rId17" w:history="1">
        <w:r w:rsidRPr="00E50DF2">
          <w:rPr>
            <w:rStyle w:val="Hyperlink"/>
            <w:rFonts w:ascii="Arial" w:hAnsi="Arial" w:cs="Arial"/>
            <w:sz w:val="22"/>
            <w:szCs w:val="22"/>
          </w:rPr>
          <w:t>https://bmcmededuc.biomedcentral.com/counter/pdf/10.1186/s12909-023-04730-2.pdf</w:t>
        </w:r>
      </w:hyperlink>
    </w:p>
    <w:p w14:paraId="3ADEB300"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Mousavi, S. (2024) 'Global Ethical Principles in Healthcare Networks, Including Debates on Euthanasia and Abortion', </w:t>
      </w:r>
      <w:r w:rsidRPr="00E50DF2">
        <w:rPr>
          <w:rFonts w:ascii="Arial" w:hAnsi="Arial" w:cs="Arial"/>
          <w:i/>
          <w:iCs/>
          <w:sz w:val="22"/>
          <w:szCs w:val="22"/>
        </w:rPr>
        <w:t>Cureus</w:t>
      </w:r>
      <w:r w:rsidRPr="00E50DF2">
        <w:rPr>
          <w:rFonts w:ascii="Arial" w:hAnsi="Arial" w:cs="Arial"/>
          <w:sz w:val="22"/>
          <w:szCs w:val="22"/>
        </w:rPr>
        <w:t xml:space="preserve">, 16(4), e59116. </w:t>
      </w:r>
      <w:r w:rsidRPr="00E50DF2">
        <w:rPr>
          <w:rFonts w:ascii="Arial" w:hAnsi="Arial" w:cs="Arial"/>
          <w:sz w:val="22"/>
          <w:szCs w:val="22"/>
        </w:rPr>
        <w:br/>
      </w:r>
      <w:hyperlink r:id="rId18" w:history="1">
        <w:r w:rsidRPr="00E50DF2">
          <w:rPr>
            <w:rStyle w:val="Hyperlink"/>
            <w:rFonts w:ascii="Arial" w:hAnsi="Arial" w:cs="Arial"/>
            <w:sz w:val="22"/>
            <w:szCs w:val="22"/>
          </w:rPr>
          <w:t>https://pmc.ncbi.nlm.nih.gov/articles/PMC11128767/pdf/</w:t>
        </w:r>
      </w:hyperlink>
    </w:p>
    <w:p w14:paraId="0C85E351"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Parker, S.M., Paine, K., Spooner, C. and Harris, M. (2023) 'Barriers and facilitators to the participation and engagement of primary care in shared-care arrangements with community mental health services for preventive care of people with serious mental illness: a scoping review', </w:t>
      </w:r>
      <w:r w:rsidRPr="00E50DF2">
        <w:rPr>
          <w:rFonts w:ascii="Arial" w:hAnsi="Arial" w:cs="Arial"/>
          <w:i/>
          <w:iCs/>
          <w:sz w:val="22"/>
          <w:szCs w:val="22"/>
        </w:rPr>
        <w:t>BMC Health Services Research</w:t>
      </w:r>
      <w:r w:rsidRPr="00E50DF2">
        <w:rPr>
          <w:rFonts w:ascii="Arial" w:hAnsi="Arial" w:cs="Arial"/>
          <w:sz w:val="22"/>
          <w:szCs w:val="22"/>
        </w:rPr>
        <w:t xml:space="preserve">, 23, 977. </w:t>
      </w:r>
      <w:hyperlink r:id="rId19" w:history="1">
        <w:r w:rsidRPr="00E50DF2">
          <w:rPr>
            <w:rStyle w:val="Hyperlink"/>
            <w:rFonts w:ascii="Arial" w:hAnsi="Arial" w:cs="Arial"/>
            <w:sz w:val="22"/>
            <w:szCs w:val="22"/>
          </w:rPr>
          <w:t>https://bmchealthservres.biomedcentral.com/counter/pdf/10.1186/s12913-023-09918-2.pdf</w:t>
        </w:r>
      </w:hyperlink>
    </w:p>
    <w:p w14:paraId="076E4583"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Santana, M.J., Manalili, K., Jolley, R.J., Zelinsky, S., Quan, H. and Lu, M. (2018) 'How to practice person-centred care: A conceptual framework', </w:t>
      </w:r>
      <w:r w:rsidRPr="00E50DF2">
        <w:rPr>
          <w:rFonts w:ascii="Arial" w:hAnsi="Arial" w:cs="Arial"/>
          <w:i/>
          <w:iCs/>
          <w:sz w:val="22"/>
          <w:szCs w:val="22"/>
        </w:rPr>
        <w:t>Health Expectations</w:t>
      </w:r>
      <w:r w:rsidRPr="00E50DF2">
        <w:rPr>
          <w:rFonts w:ascii="Arial" w:hAnsi="Arial" w:cs="Arial"/>
          <w:sz w:val="22"/>
          <w:szCs w:val="22"/>
        </w:rPr>
        <w:t xml:space="preserve">, 21(2), pp. 429–440. </w:t>
      </w:r>
      <w:hyperlink r:id="rId20" w:history="1">
        <w:r w:rsidRPr="00E50DF2">
          <w:rPr>
            <w:rStyle w:val="Hyperlink"/>
            <w:rFonts w:ascii="Arial" w:hAnsi="Arial" w:cs="Arial"/>
            <w:sz w:val="22"/>
            <w:szCs w:val="22"/>
          </w:rPr>
          <w:t>https://onlinelibrary.wiley.com/doi/pdfdirect/10.1111/hex.12640</w:t>
        </w:r>
      </w:hyperlink>
      <w:r w:rsidRPr="00E50DF2">
        <w:rPr>
          <w:rFonts w:ascii="Arial" w:hAnsi="Arial" w:cs="Arial"/>
          <w:sz w:val="22"/>
          <w:szCs w:val="22"/>
        </w:rPr>
        <w:t xml:space="preserve"> </w:t>
      </w:r>
    </w:p>
    <w:p w14:paraId="2C6D7713"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Schröder-Bäck, P., Duncan, P., Sherlaw, W., Brall, C. and Czabanowska, K. (2014) 'Teaching seven principles for public health ethics: towards a curriculum for a short course on ethics in public health programmes', </w:t>
      </w:r>
      <w:r w:rsidRPr="00E50DF2">
        <w:rPr>
          <w:rFonts w:ascii="Arial" w:hAnsi="Arial" w:cs="Arial"/>
          <w:i/>
          <w:iCs/>
          <w:sz w:val="22"/>
          <w:szCs w:val="22"/>
        </w:rPr>
        <w:t>BMC Medical Ethics</w:t>
      </w:r>
      <w:r w:rsidRPr="00E50DF2">
        <w:rPr>
          <w:rFonts w:ascii="Arial" w:hAnsi="Arial" w:cs="Arial"/>
          <w:sz w:val="22"/>
          <w:szCs w:val="22"/>
        </w:rPr>
        <w:t xml:space="preserve">, 15, 73. </w:t>
      </w:r>
      <w:hyperlink r:id="rId21" w:history="1">
        <w:r w:rsidRPr="00E50DF2">
          <w:rPr>
            <w:rStyle w:val="Hyperlink"/>
            <w:rFonts w:ascii="Arial" w:hAnsi="Arial" w:cs="Arial"/>
            <w:sz w:val="22"/>
            <w:szCs w:val="22"/>
          </w:rPr>
          <w:t>https://bmcmedethics.biomedcentral.com/counter/pdf/10.1186/1472-6939-15-73.pdf</w:t>
        </w:r>
      </w:hyperlink>
    </w:p>
    <w:p w14:paraId="7E7DEE7D"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Serbser-Koal, J., Rommerskirch-Manietta, M., Purwins, D. and Roes, M. (2024) 'Person-centredness in dementia care: an integrative review of theoretical approaches', </w:t>
      </w:r>
      <w:r w:rsidRPr="00E50DF2">
        <w:rPr>
          <w:rFonts w:ascii="Arial" w:hAnsi="Arial" w:cs="Arial"/>
          <w:i/>
          <w:iCs/>
          <w:sz w:val="22"/>
          <w:szCs w:val="22"/>
        </w:rPr>
        <w:t>BMJ Open</w:t>
      </w:r>
      <w:r w:rsidRPr="00E50DF2">
        <w:rPr>
          <w:rFonts w:ascii="Arial" w:hAnsi="Arial" w:cs="Arial"/>
          <w:sz w:val="22"/>
          <w:szCs w:val="22"/>
        </w:rPr>
        <w:t xml:space="preserve">, 14(6), e085051. </w:t>
      </w:r>
      <w:hyperlink r:id="rId22" w:history="1">
        <w:r w:rsidRPr="00E50DF2">
          <w:rPr>
            <w:rStyle w:val="Hyperlink"/>
            <w:rFonts w:ascii="Arial" w:hAnsi="Arial" w:cs="Arial"/>
            <w:sz w:val="22"/>
            <w:szCs w:val="22"/>
          </w:rPr>
          <w:t>https://bmjopen.bmj.com/content/bmjopen/14/6/e085051.full.pdf</w:t>
        </w:r>
      </w:hyperlink>
    </w:p>
    <w:p w14:paraId="40332267"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lastRenderedPageBreak/>
        <w:t xml:space="preserve">Wong, A.K.C., Wong, F.K.Y., Wong, M.C.S., Chow, K.K.S., Kwan, D.K.S. and Lau, D.Y.S. (2022) 'A community-based health–social partnership program for community-dwelling older adults: a hybrid effectiveness–implementation pilot study', </w:t>
      </w:r>
      <w:r w:rsidRPr="00E50DF2">
        <w:rPr>
          <w:rFonts w:ascii="Arial" w:hAnsi="Arial" w:cs="Arial"/>
          <w:i/>
          <w:iCs/>
          <w:sz w:val="22"/>
          <w:szCs w:val="22"/>
        </w:rPr>
        <w:t>BMC Geriatrics</w:t>
      </w:r>
      <w:r w:rsidRPr="00E50DF2">
        <w:rPr>
          <w:rFonts w:ascii="Arial" w:hAnsi="Arial" w:cs="Arial"/>
          <w:sz w:val="22"/>
          <w:szCs w:val="22"/>
        </w:rPr>
        <w:t xml:space="preserve">, 22, 789. </w:t>
      </w:r>
      <w:hyperlink r:id="rId23" w:history="1">
        <w:r w:rsidRPr="00E50DF2">
          <w:rPr>
            <w:rStyle w:val="Hyperlink"/>
            <w:rFonts w:ascii="Arial" w:hAnsi="Arial" w:cs="Arial"/>
            <w:sz w:val="22"/>
            <w:szCs w:val="22"/>
          </w:rPr>
          <w:t>https://bmcgeriatr.biomedcentral.com/counter/pdf/10.1186/s12877-022-03463-z.pdf</w:t>
        </w:r>
      </w:hyperlink>
      <w:r w:rsidRPr="00E50DF2">
        <w:rPr>
          <w:rFonts w:ascii="Arial" w:hAnsi="Arial" w:cs="Arial"/>
          <w:sz w:val="22"/>
          <w:szCs w:val="22"/>
        </w:rPr>
        <w:t xml:space="preserve"> </w:t>
      </w:r>
    </w:p>
    <w:p w14:paraId="04BB9FF7" w14:textId="77777777" w:rsidR="00FB6411" w:rsidRPr="00E50DF2" w:rsidRDefault="00FB6411" w:rsidP="00E50DF2">
      <w:pPr>
        <w:ind w:left="720" w:hanging="720"/>
        <w:rPr>
          <w:rFonts w:ascii="Arial" w:hAnsi="Arial" w:cs="Arial"/>
          <w:sz w:val="22"/>
          <w:szCs w:val="22"/>
        </w:rPr>
      </w:pPr>
      <w:r w:rsidRPr="00E50DF2">
        <w:rPr>
          <w:rFonts w:ascii="Arial" w:hAnsi="Arial" w:cs="Arial"/>
          <w:sz w:val="22"/>
          <w:szCs w:val="22"/>
        </w:rPr>
        <w:t xml:space="preserve">Wong, V., Hassan, N., Wong, Y.P., Chua, S.Y.N., Abdul Rahman, S., Mohamad, M.L. and Lim, S. (2025) 'Nurses' adherence to ethical principles – A qualitative study', </w:t>
      </w:r>
      <w:r w:rsidRPr="00E50DF2">
        <w:rPr>
          <w:rFonts w:ascii="Arial" w:hAnsi="Arial" w:cs="Arial"/>
          <w:i/>
          <w:iCs/>
          <w:sz w:val="22"/>
          <w:szCs w:val="22"/>
        </w:rPr>
        <w:t>Nursing Ethics</w:t>
      </w:r>
      <w:r w:rsidRPr="00E50DF2">
        <w:rPr>
          <w:rFonts w:ascii="Arial" w:hAnsi="Arial" w:cs="Arial"/>
          <w:sz w:val="22"/>
          <w:szCs w:val="22"/>
        </w:rPr>
        <w:t xml:space="preserve">, 32(4), pp. 1162–1176. </w:t>
      </w:r>
      <w:hyperlink r:id="rId24" w:history="1">
        <w:r w:rsidRPr="00E50DF2">
          <w:rPr>
            <w:rStyle w:val="Hyperlink"/>
            <w:rFonts w:ascii="Arial" w:hAnsi="Arial" w:cs="Arial"/>
            <w:sz w:val="22"/>
            <w:szCs w:val="22"/>
          </w:rPr>
          <w:t>https://journals.sagepub.com/doi/pdf/10.1177/09697330241291159</w:t>
        </w:r>
      </w:hyperlink>
      <w:r w:rsidRPr="00E50DF2">
        <w:rPr>
          <w:rFonts w:ascii="Arial" w:hAnsi="Arial" w:cs="Arial"/>
          <w:sz w:val="22"/>
          <w:szCs w:val="22"/>
        </w:rPr>
        <w:t xml:space="preserve"> </w:t>
      </w:r>
    </w:p>
    <w:p w14:paraId="66698C3E" w14:textId="77777777" w:rsidR="002A5D75" w:rsidRPr="00E50DF2" w:rsidRDefault="002A5D75" w:rsidP="00E50DF2">
      <w:pPr>
        <w:rPr>
          <w:rFonts w:ascii="Arial" w:hAnsi="Arial" w:cs="Arial"/>
          <w:sz w:val="22"/>
          <w:szCs w:val="22"/>
        </w:rPr>
      </w:pPr>
    </w:p>
    <w:p w14:paraId="2BF0B211" w14:textId="77777777" w:rsidR="0080305E" w:rsidRPr="00E50DF2" w:rsidRDefault="0080305E" w:rsidP="00E50DF2">
      <w:pPr>
        <w:rPr>
          <w:rFonts w:ascii="Arial" w:hAnsi="Arial" w:cs="Arial"/>
          <w:sz w:val="22"/>
          <w:szCs w:val="22"/>
        </w:rPr>
      </w:pPr>
    </w:p>
    <w:sectPr w:rsidR="0080305E" w:rsidRPr="00E50DF2" w:rsidSect="00890C96">
      <w:footerReference w:type="default" r:id="rId25"/>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8E96D" w14:textId="77777777" w:rsidR="0035165B" w:rsidRDefault="0035165B" w:rsidP="00890C96">
      <w:pPr>
        <w:spacing w:after="0" w:line="240" w:lineRule="auto"/>
      </w:pPr>
      <w:r>
        <w:separator/>
      </w:r>
    </w:p>
  </w:endnote>
  <w:endnote w:type="continuationSeparator" w:id="0">
    <w:p w14:paraId="4EBACCEB" w14:textId="77777777" w:rsidR="0035165B" w:rsidRDefault="0035165B" w:rsidP="00890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4970224"/>
      <w:docPartObj>
        <w:docPartGallery w:val="Page Numbers (Bottom of Page)"/>
        <w:docPartUnique/>
      </w:docPartObj>
    </w:sdtPr>
    <w:sdtEndPr>
      <w:rPr>
        <w:noProof/>
      </w:rPr>
    </w:sdtEndPr>
    <w:sdtContent>
      <w:p w14:paraId="44DEFFF5" w14:textId="4E0475D9" w:rsidR="00890C96" w:rsidRDefault="00890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0A9859" w14:textId="77777777" w:rsidR="00890C96" w:rsidRDefault="00890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BD55A" w14:textId="77777777" w:rsidR="0035165B" w:rsidRDefault="0035165B" w:rsidP="00890C96">
      <w:pPr>
        <w:spacing w:after="0" w:line="240" w:lineRule="auto"/>
      </w:pPr>
      <w:r>
        <w:separator/>
      </w:r>
    </w:p>
  </w:footnote>
  <w:footnote w:type="continuationSeparator" w:id="0">
    <w:p w14:paraId="2BBB72F7" w14:textId="77777777" w:rsidR="0035165B" w:rsidRDefault="0035165B" w:rsidP="00890C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05E"/>
    <w:rsid w:val="00037DAC"/>
    <w:rsid w:val="000E748D"/>
    <w:rsid w:val="00163204"/>
    <w:rsid w:val="0023094F"/>
    <w:rsid w:val="00261E5A"/>
    <w:rsid w:val="002A5D75"/>
    <w:rsid w:val="002B4FA6"/>
    <w:rsid w:val="0035165B"/>
    <w:rsid w:val="00355D03"/>
    <w:rsid w:val="003A49EF"/>
    <w:rsid w:val="003D1DBB"/>
    <w:rsid w:val="00425AEC"/>
    <w:rsid w:val="00434EC3"/>
    <w:rsid w:val="004A3684"/>
    <w:rsid w:val="004B0D9F"/>
    <w:rsid w:val="004F048B"/>
    <w:rsid w:val="005C27CC"/>
    <w:rsid w:val="005E4241"/>
    <w:rsid w:val="00654723"/>
    <w:rsid w:val="0080305E"/>
    <w:rsid w:val="008574B1"/>
    <w:rsid w:val="0088647A"/>
    <w:rsid w:val="00890C96"/>
    <w:rsid w:val="008D7A45"/>
    <w:rsid w:val="009D0641"/>
    <w:rsid w:val="009F2F80"/>
    <w:rsid w:val="00A6177E"/>
    <w:rsid w:val="00B13910"/>
    <w:rsid w:val="00B7586F"/>
    <w:rsid w:val="00CA39FA"/>
    <w:rsid w:val="00D16D19"/>
    <w:rsid w:val="00DD0BA1"/>
    <w:rsid w:val="00E50DF2"/>
    <w:rsid w:val="00EA39E8"/>
    <w:rsid w:val="00F77D97"/>
    <w:rsid w:val="00F87B5A"/>
    <w:rsid w:val="00FB6411"/>
    <w:rsid w:val="00FC767C"/>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BC86B"/>
  <w15:chartTrackingRefBased/>
  <w15:docId w15:val="{0A4A6F88-B861-47AE-9CDC-8F82DA4F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D0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F87B5A"/>
    <w:pPr>
      <w:keepNext/>
      <w:keepLines/>
      <w:spacing w:before="360" w:after="80"/>
      <w:jc w:val="left"/>
      <w:outlineLvl w:val="0"/>
    </w:pPr>
    <w:rPr>
      <w:rFonts w:eastAsiaTheme="majorEastAsia" w:cstheme="majorBidi"/>
      <w:b/>
      <w:sz w:val="28"/>
      <w:szCs w:val="50"/>
    </w:rPr>
  </w:style>
  <w:style w:type="paragraph" w:styleId="Heading2">
    <w:name w:val="heading 2"/>
    <w:basedOn w:val="Normal"/>
    <w:next w:val="Normal"/>
    <w:link w:val="Heading2Char"/>
    <w:autoRedefine/>
    <w:uiPriority w:val="9"/>
    <w:semiHidden/>
    <w:unhideWhenUsed/>
    <w:qFormat/>
    <w:rsid w:val="00355D03"/>
    <w:pPr>
      <w:keepNext/>
      <w:keepLines/>
      <w:spacing w:before="160" w:after="80"/>
      <w:jc w:val="left"/>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80305E"/>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80305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0305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0305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305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305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305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B5A"/>
    <w:rPr>
      <w:rFonts w:ascii="Times New Roman" w:eastAsiaTheme="majorEastAsia" w:hAnsi="Times New Roman" w:cstheme="majorBidi"/>
      <w:b/>
      <w:color w:val="000000" w:themeColor="text1"/>
      <w:sz w:val="28"/>
      <w:szCs w:val="50"/>
    </w:rPr>
  </w:style>
  <w:style w:type="character" w:customStyle="1" w:styleId="Heading2Char">
    <w:name w:val="Heading 2 Char"/>
    <w:basedOn w:val="DefaultParagraphFont"/>
    <w:link w:val="Heading2"/>
    <w:uiPriority w:val="9"/>
    <w:semiHidden/>
    <w:rsid w:val="00355D03"/>
    <w:rPr>
      <w:rFonts w:ascii="Times New Roman" w:eastAsiaTheme="majorEastAsia" w:hAnsi="Times New Roman" w:cstheme="majorBidi"/>
      <w:b/>
      <w:color w:val="000000" w:themeColor="text1"/>
      <w:sz w:val="24"/>
      <w:szCs w:val="40"/>
    </w:rPr>
  </w:style>
  <w:style w:type="character" w:customStyle="1" w:styleId="Heading3Char">
    <w:name w:val="Heading 3 Char"/>
    <w:basedOn w:val="DefaultParagraphFont"/>
    <w:link w:val="Heading3"/>
    <w:uiPriority w:val="9"/>
    <w:semiHidden/>
    <w:rsid w:val="0080305E"/>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80305E"/>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0305E"/>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0305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0305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0305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0305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0305E"/>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80305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0305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0305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80305E"/>
    <w:pPr>
      <w:spacing w:before="160"/>
      <w:jc w:val="center"/>
    </w:pPr>
    <w:rPr>
      <w:i/>
      <w:iCs/>
      <w:color w:val="404040" w:themeColor="text1" w:themeTint="BF"/>
    </w:rPr>
  </w:style>
  <w:style w:type="character" w:customStyle="1" w:styleId="QuoteChar">
    <w:name w:val="Quote Char"/>
    <w:basedOn w:val="DefaultParagraphFont"/>
    <w:link w:val="Quote"/>
    <w:uiPriority w:val="29"/>
    <w:rsid w:val="0080305E"/>
    <w:rPr>
      <w:rFonts w:ascii="Times New Roman" w:hAnsi="Times New Roman"/>
      <w:i/>
      <w:iCs/>
      <w:color w:val="404040" w:themeColor="text1" w:themeTint="BF"/>
      <w:sz w:val="24"/>
    </w:rPr>
  </w:style>
  <w:style w:type="paragraph" w:styleId="ListParagraph">
    <w:name w:val="List Paragraph"/>
    <w:basedOn w:val="Normal"/>
    <w:uiPriority w:val="34"/>
    <w:qFormat/>
    <w:rsid w:val="0080305E"/>
    <w:pPr>
      <w:ind w:left="720"/>
      <w:contextualSpacing/>
    </w:pPr>
  </w:style>
  <w:style w:type="character" w:styleId="IntenseEmphasis">
    <w:name w:val="Intense Emphasis"/>
    <w:basedOn w:val="DefaultParagraphFont"/>
    <w:uiPriority w:val="21"/>
    <w:qFormat/>
    <w:rsid w:val="0080305E"/>
    <w:rPr>
      <w:i/>
      <w:iCs/>
      <w:color w:val="2F5496" w:themeColor="accent1" w:themeShade="BF"/>
    </w:rPr>
  </w:style>
  <w:style w:type="paragraph" w:styleId="IntenseQuote">
    <w:name w:val="Intense Quote"/>
    <w:basedOn w:val="Normal"/>
    <w:next w:val="Normal"/>
    <w:link w:val="IntenseQuoteChar"/>
    <w:uiPriority w:val="30"/>
    <w:qFormat/>
    <w:rsid w:val="008030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305E"/>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0305E"/>
    <w:rPr>
      <w:b/>
      <w:bCs/>
      <w:smallCaps/>
      <w:color w:val="2F5496" w:themeColor="accent1" w:themeShade="BF"/>
      <w:spacing w:val="5"/>
    </w:rPr>
  </w:style>
  <w:style w:type="character" w:styleId="Hyperlink">
    <w:name w:val="Hyperlink"/>
    <w:basedOn w:val="DefaultParagraphFont"/>
    <w:uiPriority w:val="99"/>
    <w:unhideWhenUsed/>
    <w:rsid w:val="002A5D75"/>
    <w:rPr>
      <w:color w:val="0563C1" w:themeColor="hyperlink"/>
      <w:u w:val="single"/>
    </w:rPr>
  </w:style>
  <w:style w:type="character" w:styleId="UnresolvedMention">
    <w:name w:val="Unresolved Mention"/>
    <w:basedOn w:val="DefaultParagraphFont"/>
    <w:uiPriority w:val="99"/>
    <w:semiHidden/>
    <w:unhideWhenUsed/>
    <w:rsid w:val="002A5D75"/>
    <w:rPr>
      <w:color w:val="605E5C"/>
      <w:shd w:val="clear" w:color="auto" w:fill="E1DFDD"/>
    </w:rPr>
  </w:style>
  <w:style w:type="paragraph" w:styleId="TOCHeading">
    <w:name w:val="TOC Heading"/>
    <w:basedOn w:val="Heading1"/>
    <w:next w:val="Normal"/>
    <w:uiPriority w:val="39"/>
    <w:unhideWhenUsed/>
    <w:qFormat/>
    <w:rsid w:val="00890C96"/>
    <w:pPr>
      <w:spacing w:before="240" w:after="0" w:line="259" w:lineRule="auto"/>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890C96"/>
    <w:pPr>
      <w:spacing w:after="100"/>
    </w:pPr>
  </w:style>
  <w:style w:type="paragraph" w:styleId="Header">
    <w:name w:val="header"/>
    <w:basedOn w:val="Normal"/>
    <w:link w:val="HeaderChar"/>
    <w:uiPriority w:val="99"/>
    <w:unhideWhenUsed/>
    <w:rsid w:val="00890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C96"/>
    <w:rPr>
      <w:rFonts w:ascii="Times New Roman" w:hAnsi="Times New Roman"/>
      <w:color w:val="000000" w:themeColor="text1"/>
      <w:sz w:val="24"/>
    </w:rPr>
  </w:style>
  <w:style w:type="paragraph" w:styleId="Footer">
    <w:name w:val="footer"/>
    <w:basedOn w:val="Normal"/>
    <w:link w:val="FooterChar"/>
    <w:uiPriority w:val="99"/>
    <w:unhideWhenUsed/>
    <w:rsid w:val="00890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C9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nurs.biomedcentral.com/counter/pdf/10.1186/s12912-023-01246-4.pdf" TargetMode="External"/><Relationship Id="rId13" Type="http://schemas.openxmlformats.org/officeDocument/2006/relationships/hyperlink" Target="https://bmcgeriatr.biomedcentral.com/counter/pdf/10.1186/s12877-023-03915-0.pdf" TargetMode="External"/><Relationship Id="rId18" Type="http://schemas.openxmlformats.org/officeDocument/2006/relationships/hyperlink" Target="https://pmc.ncbi.nlm.nih.gov/articles/PMC11128767/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mcmedethics.biomedcentral.com/counter/pdf/10.1186/1472-6939-15-73.pdf" TargetMode="External"/><Relationship Id="rId7" Type="http://schemas.openxmlformats.org/officeDocument/2006/relationships/hyperlink" Target="https://journals.plos.org/plosone/article/file?id=10.1371/journal.pone.0229923&amp;type=printable" TargetMode="External"/><Relationship Id="rId12" Type="http://schemas.openxmlformats.org/officeDocument/2006/relationships/hyperlink" Target="https://bmcnurs.biomedcentral.com/counter/pdf/10.1186/s12912-021-00684-2.pdf" TargetMode="External"/><Relationship Id="rId17" Type="http://schemas.openxmlformats.org/officeDocument/2006/relationships/hyperlink" Target="https://bmcmededuc.biomedcentral.com/counter/pdf/10.1186/s12909-023-04730-2.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mcprimcare.biomedcentral.com/counter/pdf/10.1186/s12875-023-02124-3.pdf" TargetMode="External"/><Relationship Id="rId20" Type="http://schemas.openxmlformats.org/officeDocument/2006/relationships/hyperlink" Target="https://onlinelibrary.wiley.com/doi/pdfdirect/10.1111/hex.1264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jic.org/articles/9359/files/6985c81fe45cb.pdf" TargetMode="External"/><Relationship Id="rId24" Type="http://schemas.openxmlformats.org/officeDocument/2006/relationships/hyperlink" Target="https://journals.sagepub.com/doi/pdf/10.1177/09697330241291159" TargetMode="External"/><Relationship Id="rId5" Type="http://schemas.openxmlformats.org/officeDocument/2006/relationships/footnotes" Target="footnotes.xml"/><Relationship Id="rId15" Type="http://schemas.openxmlformats.org/officeDocument/2006/relationships/hyperlink" Target="https://pmc.ncbi.nlm.nih.gov/articles/PMC11907491/pdf/" TargetMode="External"/><Relationship Id="rId23" Type="http://schemas.openxmlformats.org/officeDocument/2006/relationships/hyperlink" Target="https://bmcgeriatr.biomedcentral.com/counter/pdf/10.1186/s12877-022-03463-z.pdf" TargetMode="External"/><Relationship Id="rId10" Type="http://schemas.openxmlformats.org/officeDocument/2006/relationships/hyperlink" Target="https://www.frontiersin.org/articles/10.3389/fsoc.2024.1355215/pdf" TargetMode="External"/><Relationship Id="rId19" Type="http://schemas.openxmlformats.org/officeDocument/2006/relationships/hyperlink" Target="https://bmchealthservres.biomedcentral.com/counter/pdf/10.1186/s12913-023-09918-2.pdf" TargetMode="External"/><Relationship Id="rId4" Type="http://schemas.openxmlformats.org/officeDocument/2006/relationships/webSettings" Target="webSettings.xml"/><Relationship Id="rId9" Type="http://schemas.openxmlformats.org/officeDocument/2006/relationships/hyperlink" Target="https://www.frontiersin.org/articles/10.3389/fpsyg.2022.1059412/pdf" TargetMode="External"/><Relationship Id="rId14" Type="http://schemas.openxmlformats.org/officeDocument/2006/relationships/hyperlink" Target="https://www.mdpi.com/2227-9032/12/5/526/pdf" TargetMode="External"/><Relationship Id="rId22" Type="http://schemas.openxmlformats.org/officeDocument/2006/relationships/hyperlink" Target="https://bmjopen.bmj.com/content/bmjopen/14/6/e085051.full.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3D92E-59F7-4047-BBC0-01118F1E2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3262</Words>
  <Characters>18594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Saha</dc:creator>
  <cp:keywords/>
  <dc:description/>
  <cp:lastModifiedBy>Maryam Waseem (2433389)</cp:lastModifiedBy>
  <cp:revision>25</cp:revision>
  <dcterms:created xsi:type="dcterms:W3CDTF">2026-07-21T08:00:00Z</dcterms:created>
  <dcterms:modified xsi:type="dcterms:W3CDTF">2026-07-26T07:42:00Z</dcterms:modified>
</cp:coreProperties>
</file>