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400"/>
        <w:jc w:val="center"/>
      </w:pPr>
      <w:r>
        <w:rPr>
          <w:b/>
          <w:color w:val="1F4E79"/>
          <w:sz w:val="44"/>
        </w:rPr>
        <w:t>AEGIS FINTECH INNOVATIONS LTD.</w:t>
      </w:r>
    </w:p>
    <w:p>
      <w:pPr>
        <w:jc w:val="center"/>
      </w:pPr>
      <w:r>
        <w:rPr>
          <w:b/>
          <w:sz w:val="36"/>
        </w:rPr>
        <w:t>Information Security Unit</w:t>
        <w:br/>
        <w:t>Proposal and 12-Month Implementation Plan</w:t>
      </w:r>
    </w:p>
    <w:p>
      <w:pPr>
        <w:spacing w:before="600"/>
        <w:jc w:val="center"/>
      </w:pPr>
      <w:r>
        <w:rPr>
          <w:sz w:val="24"/>
        </w:rPr>
        <w:t>Task 2 - Work-Based Project</w:t>
        <w:br/>
        <w:t>Chief Information Security Officer Proposal</w:t>
      </w:r>
    </w:p>
    <w:p>
      <w:pPr>
        <w:spacing w:before="1000"/>
        <w:jc w:val="center"/>
      </w:pPr>
      <w:r>
        <w:rPr>
          <w:sz w:val="22"/>
        </w:rPr>
        <w:t>Sarah Ismail</w:t>
        <w:br/>
        <w:t>Student ID: 2312694</w:t>
        <w:br/>
        <w:t>University of Wales Trinity Saint David</w:t>
        <w:br/>
        <w:t>July 2026</w:t>
      </w:r>
    </w:p>
    <w:tbl>
      <w:tblPr>
        <w:tblStyle w:val="TableGrid"/>
        <w:tblW w:type="auto" w:w="0"/>
        <w:jc w:val="center"/>
        <w:tblLook w:firstColumn="1" w:firstRow="1" w:lastColumn="0" w:lastRow="0" w:noHBand="0" w:noVBand="1" w:val="04A0"/>
      </w:tblPr>
      <w:tblGrid>
        <w:gridCol w:w="10166"/>
      </w:tblGrid>
      <w:tr>
        <w:tc>
          <w:tcPr>
            <w:tcW w:type="dxa" w:w="10166"/>
            <w:shd w:fill="D9EAF7"/>
            <w:tcMar>
              <w:top w:w="140" w:type="dxa"/>
              <w:start w:w="180" w:type="dxa"/>
              <w:bottom w:w="140" w:type="dxa"/>
              <w:end w:w="180" w:type="dxa"/>
            </w:tcMar>
          </w:tcPr>
          <w:p>
            <w:pPr>
              <w:jc w:val="center"/>
            </w:pPr>
            <w:r>
              <w:rPr>
                <w:b/>
                <w:sz w:val="18"/>
              </w:rPr>
              <w:t>Evidence base: Task 1 research on Zero Trust Architecture, NIST SP 800-207, CISA maturity, identity governance, ZTNA, microsegmentation, SIEM/XDR/SOAR and the Midnight Blizzard case study.</w:t>
            </w:r>
          </w:p>
        </w:tc>
      </w:tr>
    </w:tbl>
    <w:p>
      <w:r>
        <w:br w:type="page"/>
      </w:r>
    </w:p>
    <w:p>
      <w:pPr>
        <w:pStyle w:val="Heading1"/>
      </w:pPr>
      <w:r>
        <w:t>Contents</w:t>
      </w:r>
    </w:p>
    <w:p>
      <w:pPr>
        <w:pStyle w:val="Small"/>
      </w:pPr>
      <w:r>
        <w:t>Executive Summary</w:t>
      </w:r>
    </w:p>
    <w:p>
      <w:pPr>
        <w:pStyle w:val="Small"/>
      </w:pPr>
      <w:r>
        <w:t>1. Introduction and Design Principles</w:t>
      </w:r>
    </w:p>
    <w:p>
      <w:pPr>
        <w:pStyle w:val="Small"/>
      </w:pPr>
      <w:r>
        <w:t>2. Work-Stream 1: Organisational Design and Resourcing</w:t>
      </w:r>
    </w:p>
    <w:p>
      <w:pPr>
        <w:pStyle w:val="Small"/>
      </w:pPr>
      <w:r>
        <w:t>3. Work-Stream 2: Policy Framework Development</w:t>
      </w:r>
    </w:p>
    <w:p>
      <w:pPr>
        <w:pStyle w:val="Small"/>
      </w:pPr>
      <w:r>
        <w:t>4. Work-Stream 3: GDPR and DORA Compliance Strategy</w:t>
      </w:r>
    </w:p>
    <w:p>
      <w:pPr>
        <w:pStyle w:val="Small"/>
      </w:pPr>
      <w:r>
        <w:t>5. Work-Stream 4: Technical Standards and Architecture</w:t>
      </w:r>
    </w:p>
    <w:p>
      <w:pPr>
        <w:pStyle w:val="Small"/>
      </w:pPr>
      <w:r>
        <w:t>6. Work-Stream 5: Strategic Risk Assessment</w:t>
      </w:r>
    </w:p>
    <w:p>
      <w:pPr>
        <w:pStyle w:val="Small"/>
      </w:pPr>
      <w:r>
        <w:t>7. Work-Stream 6: Ransomware Response and Business Continuity</w:t>
      </w:r>
    </w:p>
    <w:p>
      <w:pPr>
        <w:pStyle w:val="Small"/>
      </w:pPr>
      <w:r>
        <w:t>8. Work-Stream 7: Governance and Strategic Roadmap</w:t>
      </w:r>
    </w:p>
    <w:p>
      <w:pPr>
        <w:pStyle w:val="Small"/>
      </w:pPr>
      <w:r>
        <w:t>9. Conclusion and Recommendations</w:t>
      </w:r>
    </w:p>
    <w:p>
      <w:pPr>
        <w:pStyle w:val="Small"/>
      </w:pPr>
      <w:r>
        <w:t>References</w:t>
      </w:r>
    </w:p>
    <w:p>
      <w:pPr>
        <w:pStyle w:val="Heading2"/>
      </w:pPr>
      <w:r>
        <w:t>List of Figures and Tables</w:t>
      </w:r>
    </w:p>
    <w:p>
      <w:pPr>
        <w:pStyle w:val="Small"/>
      </w:pPr>
      <w:r>
        <w:t>Fig. 1. Proposed Information Security Unit</w:t>
      </w:r>
    </w:p>
    <w:p>
      <w:pPr>
        <w:pStyle w:val="Small"/>
      </w:pPr>
      <w:r>
        <w:t>Fig. 2. High-level Zero Trust security architecture</w:t>
      </w:r>
    </w:p>
    <w:p>
      <w:pPr>
        <w:pStyle w:val="Small"/>
      </w:pPr>
      <w:r>
        <w:t>Table I. GDPR and DORA compliance roadmap</w:t>
      </w:r>
    </w:p>
    <w:p>
      <w:pPr>
        <w:pStyle w:val="Small"/>
      </w:pPr>
      <w:r>
        <w:t>Table II. Strategic risk register</w:t>
      </w:r>
    </w:p>
    <w:p>
      <w:pPr>
        <w:pStyle w:val="Small"/>
      </w:pPr>
      <w:r>
        <w:t>Table III. Twelve-month implementation roadmap and KPIs</w:t>
      </w:r>
    </w:p>
    <w:p>
      <w:pPr>
        <w:pStyle w:val="Heading2"/>
      </w:pPr>
      <w:r>
        <w:t>Acronyms</w:t>
      </w:r>
    </w:p>
    <w:tbl>
      <w:tblPr>
        <w:tblStyle w:val="TableGrid"/>
        <w:tblW w:type="auto" w:w="0"/>
        <w:jc w:val="center"/>
        <w:tblLook w:firstColumn="1" w:firstRow="1" w:lastColumn="0" w:lastRow="0" w:noHBand="0" w:noVBand="1" w:val="04A0"/>
      </w:tblPr>
      <w:tblGrid>
        <w:gridCol w:w="5083"/>
        <w:gridCol w:w="5083"/>
      </w:tblGrid>
      <w:tr>
        <w:trPr>
          <w:tblHeader w:val="true"/>
        </w:trPr>
        <w:tc>
          <w:tcPr>
            <w:tcW w:type="dxa" w:w="1584"/>
            <w:shd w:fill="1F4E79"/>
            <w:vAlign w:val="center"/>
            <w:tcMar>
              <w:top w:w="70" w:type="dxa"/>
              <w:start w:w="70" w:type="dxa"/>
              <w:bottom w:w="70" w:type="dxa"/>
              <w:end w:w="70" w:type="dxa"/>
            </w:tcMar>
          </w:tcPr>
          <w:p>
            <w:pPr>
              <w:jc w:val="center"/>
            </w:pPr>
            <w:r>
              <w:rPr>
                <w:b/>
                <w:color w:val="FFFFFF"/>
                <w:sz w:val="16"/>
              </w:rPr>
              <w:t>Acronym</w:t>
            </w:r>
          </w:p>
        </w:tc>
        <w:tc>
          <w:tcPr>
            <w:tcW w:type="dxa" w:w="8352"/>
            <w:shd w:fill="1F4E79"/>
            <w:vAlign w:val="center"/>
            <w:tcMar>
              <w:top w:w="70" w:type="dxa"/>
              <w:start w:w="70" w:type="dxa"/>
              <w:bottom w:w="70" w:type="dxa"/>
              <w:end w:w="70" w:type="dxa"/>
            </w:tcMar>
          </w:tcPr>
          <w:p>
            <w:pPr>
              <w:jc w:val="center"/>
            </w:pPr>
            <w:r>
              <w:rPr>
                <w:b/>
                <w:color w:val="FFFFFF"/>
                <w:sz w:val="16"/>
              </w:rPr>
              <w:t>Meaning</w:t>
            </w:r>
          </w:p>
        </w:tc>
      </w:tr>
      <w:tr>
        <w:tc>
          <w:tcPr>
            <w:tcW w:type="dxa" w:w="1584"/>
            <w:tcMar>
              <w:top w:w="70" w:type="dxa"/>
              <w:start w:w="70" w:type="dxa"/>
              <w:bottom w:w="70" w:type="dxa"/>
              <w:end w:w="70" w:type="dxa"/>
            </w:tcMar>
            <w:vAlign w:val="top"/>
          </w:tcPr>
          <w:p>
            <w:pPr>
              <w:spacing w:after="0"/>
            </w:pPr>
            <w:r>
              <w:rPr>
                <w:sz w:val="16"/>
              </w:rPr>
              <w:t>CSPM</w:t>
            </w:r>
          </w:p>
        </w:tc>
        <w:tc>
          <w:tcPr>
            <w:tcW w:type="dxa" w:w="8352"/>
            <w:tcMar>
              <w:top w:w="70" w:type="dxa"/>
              <w:start w:w="70" w:type="dxa"/>
              <w:bottom w:w="70" w:type="dxa"/>
              <w:end w:w="70" w:type="dxa"/>
            </w:tcMar>
            <w:vAlign w:val="top"/>
          </w:tcPr>
          <w:p>
            <w:pPr>
              <w:spacing w:after="0"/>
            </w:pPr>
            <w:r>
              <w:rPr>
                <w:sz w:val="16"/>
              </w:rPr>
              <w:t>Cloud Security Posture Management</w:t>
            </w:r>
          </w:p>
        </w:tc>
      </w:tr>
      <w:tr>
        <w:tc>
          <w:tcPr>
            <w:tcW w:type="dxa" w:w="1584"/>
            <w:tcMar>
              <w:top w:w="70" w:type="dxa"/>
              <w:start w:w="70" w:type="dxa"/>
              <w:bottom w:w="70" w:type="dxa"/>
              <w:end w:w="70" w:type="dxa"/>
            </w:tcMar>
            <w:vAlign w:val="top"/>
          </w:tcPr>
          <w:p>
            <w:pPr>
              <w:spacing w:after="0"/>
            </w:pPr>
            <w:r>
              <w:rPr>
                <w:sz w:val="16"/>
              </w:rPr>
              <w:t>DORA</w:t>
            </w:r>
          </w:p>
        </w:tc>
        <w:tc>
          <w:tcPr>
            <w:tcW w:type="dxa" w:w="8352"/>
            <w:tcMar>
              <w:top w:w="70" w:type="dxa"/>
              <w:start w:w="70" w:type="dxa"/>
              <w:bottom w:w="70" w:type="dxa"/>
              <w:end w:w="70" w:type="dxa"/>
            </w:tcMar>
            <w:vAlign w:val="top"/>
          </w:tcPr>
          <w:p>
            <w:pPr>
              <w:spacing w:after="0"/>
            </w:pPr>
            <w:r>
              <w:rPr>
                <w:sz w:val="16"/>
              </w:rPr>
              <w:t>Digital Operational Resilience Act</w:t>
            </w:r>
          </w:p>
        </w:tc>
      </w:tr>
      <w:tr>
        <w:tc>
          <w:tcPr>
            <w:tcW w:type="dxa" w:w="1584"/>
            <w:tcMar>
              <w:top w:w="70" w:type="dxa"/>
              <w:start w:w="70" w:type="dxa"/>
              <w:bottom w:w="70" w:type="dxa"/>
              <w:end w:w="70" w:type="dxa"/>
            </w:tcMar>
            <w:vAlign w:val="top"/>
          </w:tcPr>
          <w:p>
            <w:pPr>
              <w:spacing w:after="0"/>
            </w:pPr>
            <w:r>
              <w:rPr>
                <w:sz w:val="16"/>
              </w:rPr>
              <w:t>DPO</w:t>
            </w:r>
          </w:p>
        </w:tc>
        <w:tc>
          <w:tcPr>
            <w:tcW w:type="dxa" w:w="8352"/>
            <w:tcMar>
              <w:top w:w="70" w:type="dxa"/>
              <w:start w:w="70" w:type="dxa"/>
              <w:bottom w:w="70" w:type="dxa"/>
              <w:end w:w="70" w:type="dxa"/>
            </w:tcMar>
            <w:vAlign w:val="top"/>
          </w:tcPr>
          <w:p>
            <w:pPr>
              <w:spacing w:after="0"/>
            </w:pPr>
            <w:r>
              <w:rPr>
                <w:sz w:val="16"/>
              </w:rPr>
              <w:t>Data Protection Officer</w:t>
            </w:r>
          </w:p>
        </w:tc>
      </w:tr>
      <w:tr>
        <w:tc>
          <w:tcPr>
            <w:tcW w:type="dxa" w:w="1584"/>
            <w:tcMar>
              <w:top w:w="70" w:type="dxa"/>
              <w:start w:w="70" w:type="dxa"/>
              <w:bottom w:w="70" w:type="dxa"/>
              <w:end w:w="70" w:type="dxa"/>
            </w:tcMar>
            <w:vAlign w:val="top"/>
          </w:tcPr>
          <w:p>
            <w:pPr>
              <w:spacing w:after="0"/>
            </w:pPr>
            <w:r>
              <w:rPr>
                <w:sz w:val="16"/>
              </w:rPr>
              <w:t>EDR/XDR</w:t>
            </w:r>
          </w:p>
        </w:tc>
        <w:tc>
          <w:tcPr>
            <w:tcW w:type="dxa" w:w="8352"/>
            <w:tcMar>
              <w:top w:w="70" w:type="dxa"/>
              <w:start w:w="70" w:type="dxa"/>
              <w:bottom w:w="70" w:type="dxa"/>
              <w:end w:w="70" w:type="dxa"/>
            </w:tcMar>
            <w:vAlign w:val="top"/>
          </w:tcPr>
          <w:p>
            <w:pPr>
              <w:spacing w:after="0"/>
            </w:pPr>
            <w:r>
              <w:rPr>
                <w:sz w:val="16"/>
              </w:rPr>
              <w:t>Endpoint / Extended Detection and Response</w:t>
            </w:r>
          </w:p>
        </w:tc>
      </w:tr>
      <w:tr>
        <w:tc>
          <w:tcPr>
            <w:tcW w:type="dxa" w:w="1584"/>
            <w:tcMar>
              <w:top w:w="70" w:type="dxa"/>
              <w:start w:w="70" w:type="dxa"/>
              <w:bottom w:w="70" w:type="dxa"/>
              <w:end w:w="70" w:type="dxa"/>
            </w:tcMar>
            <w:vAlign w:val="top"/>
          </w:tcPr>
          <w:p>
            <w:pPr>
              <w:spacing w:after="0"/>
            </w:pPr>
            <w:r>
              <w:rPr>
                <w:sz w:val="16"/>
              </w:rPr>
              <w:t>IAM</w:t>
            </w:r>
          </w:p>
        </w:tc>
        <w:tc>
          <w:tcPr>
            <w:tcW w:type="dxa" w:w="8352"/>
            <w:tcMar>
              <w:top w:w="70" w:type="dxa"/>
              <w:start w:w="70" w:type="dxa"/>
              <w:bottom w:w="70" w:type="dxa"/>
              <w:end w:w="70" w:type="dxa"/>
            </w:tcMar>
            <w:vAlign w:val="top"/>
          </w:tcPr>
          <w:p>
            <w:pPr>
              <w:spacing w:after="0"/>
            </w:pPr>
            <w:r>
              <w:rPr>
                <w:sz w:val="16"/>
              </w:rPr>
              <w:t>Identity and Access Management</w:t>
            </w:r>
          </w:p>
        </w:tc>
      </w:tr>
      <w:tr>
        <w:tc>
          <w:tcPr>
            <w:tcW w:type="dxa" w:w="1584"/>
            <w:tcMar>
              <w:top w:w="70" w:type="dxa"/>
              <w:start w:w="70" w:type="dxa"/>
              <w:bottom w:w="70" w:type="dxa"/>
              <w:end w:w="70" w:type="dxa"/>
            </w:tcMar>
            <w:vAlign w:val="top"/>
          </w:tcPr>
          <w:p>
            <w:pPr>
              <w:spacing w:after="0"/>
            </w:pPr>
            <w:r>
              <w:rPr>
                <w:sz w:val="16"/>
              </w:rPr>
              <w:t>MFA</w:t>
            </w:r>
          </w:p>
        </w:tc>
        <w:tc>
          <w:tcPr>
            <w:tcW w:type="dxa" w:w="8352"/>
            <w:tcMar>
              <w:top w:w="70" w:type="dxa"/>
              <w:start w:w="70" w:type="dxa"/>
              <w:bottom w:w="70" w:type="dxa"/>
              <w:end w:w="70" w:type="dxa"/>
            </w:tcMar>
            <w:vAlign w:val="top"/>
          </w:tcPr>
          <w:p>
            <w:pPr>
              <w:spacing w:after="0"/>
            </w:pPr>
            <w:r>
              <w:rPr>
                <w:sz w:val="16"/>
              </w:rPr>
              <w:t>Multifactor Authentication</w:t>
            </w:r>
          </w:p>
        </w:tc>
      </w:tr>
      <w:tr>
        <w:tc>
          <w:tcPr>
            <w:tcW w:type="dxa" w:w="1584"/>
            <w:tcMar>
              <w:top w:w="70" w:type="dxa"/>
              <w:start w:w="70" w:type="dxa"/>
              <w:bottom w:w="70" w:type="dxa"/>
              <w:end w:w="70" w:type="dxa"/>
            </w:tcMar>
            <w:vAlign w:val="top"/>
          </w:tcPr>
          <w:p>
            <w:pPr>
              <w:spacing w:after="0"/>
            </w:pPr>
            <w:r>
              <w:rPr>
                <w:sz w:val="16"/>
              </w:rPr>
              <w:t>PAM</w:t>
            </w:r>
          </w:p>
        </w:tc>
        <w:tc>
          <w:tcPr>
            <w:tcW w:type="dxa" w:w="8352"/>
            <w:tcMar>
              <w:top w:w="70" w:type="dxa"/>
              <w:start w:w="70" w:type="dxa"/>
              <w:bottom w:w="70" w:type="dxa"/>
              <w:end w:w="70" w:type="dxa"/>
            </w:tcMar>
            <w:vAlign w:val="top"/>
          </w:tcPr>
          <w:p>
            <w:pPr>
              <w:spacing w:after="0"/>
            </w:pPr>
            <w:r>
              <w:rPr>
                <w:sz w:val="16"/>
              </w:rPr>
              <w:t>Privileged Access Management</w:t>
            </w:r>
          </w:p>
        </w:tc>
      </w:tr>
      <w:tr>
        <w:tc>
          <w:tcPr>
            <w:tcW w:type="dxa" w:w="1584"/>
            <w:tcMar>
              <w:top w:w="70" w:type="dxa"/>
              <w:start w:w="70" w:type="dxa"/>
              <w:bottom w:w="70" w:type="dxa"/>
              <w:end w:w="70" w:type="dxa"/>
            </w:tcMar>
            <w:vAlign w:val="top"/>
          </w:tcPr>
          <w:p>
            <w:pPr>
              <w:spacing w:after="0"/>
            </w:pPr>
            <w:r>
              <w:rPr>
                <w:sz w:val="16"/>
              </w:rPr>
              <w:t>SIEM</w:t>
            </w:r>
          </w:p>
        </w:tc>
        <w:tc>
          <w:tcPr>
            <w:tcW w:type="dxa" w:w="8352"/>
            <w:tcMar>
              <w:top w:w="70" w:type="dxa"/>
              <w:start w:w="70" w:type="dxa"/>
              <w:bottom w:w="70" w:type="dxa"/>
              <w:end w:w="70" w:type="dxa"/>
            </w:tcMar>
            <w:vAlign w:val="top"/>
          </w:tcPr>
          <w:p>
            <w:pPr>
              <w:spacing w:after="0"/>
            </w:pPr>
            <w:r>
              <w:rPr>
                <w:sz w:val="16"/>
              </w:rPr>
              <w:t>Security Information and Event Management</w:t>
            </w:r>
          </w:p>
        </w:tc>
      </w:tr>
      <w:tr>
        <w:tc>
          <w:tcPr>
            <w:tcW w:type="dxa" w:w="1584"/>
            <w:tcMar>
              <w:top w:w="70" w:type="dxa"/>
              <w:start w:w="70" w:type="dxa"/>
              <w:bottom w:w="70" w:type="dxa"/>
              <w:end w:w="70" w:type="dxa"/>
            </w:tcMar>
            <w:vAlign w:val="top"/>
          </w:tcPr>
          <w:p>
            <w:pPr>
              <w:spacing w:after="0"/>
            </w:pPr>
            <w:r>
              <w:rPr>
                <w:sz w:val="16"/>
              </w:rPr>
              <w:t>SOAR</w:t>
            </w:r>
          </w:p>
        </w:tc>
        <w:tc>
          <w:tcPr>
            <w:tcW w:type="dxa" w:w="8352"/>
            <w:tcMar>
              <w:top w:w="70" w:type="dxa"/>
              <w:start w:w="70" w:type="dxa"/>
              <w:bottom w:w="70" w:type="dxa"/>
              <w:end w:w="70" w:type="dxa"/>
            </w:tcMar>
            <w:vAlign w:val="top"/>
          </w:tcPr>
          <w:p>
            <w:pPr>
              <w:spacing w:after="0"/>
            </w:pPr>
            <w:r>
              <w:rPr>
                <w:sz w:val="16"/>
              </w:rPr>
              <w:t>Security Orchestration, Automation and Response</w:t>
            </w:r>
          </w:p>
        </w:tc>
      </w:tr>
      <w:tr>
        <w:tc>
          <w:tcPr>
            <w:tcW w:type="dxa" w:w="1584"/>
            <w:tcMar>
              <w:top w:w="70" w:type="dxa"/>
              <w:start w:w="70" w:type="dxa"/>
              <w:bottom w:w="70" w:type="dxa"/>
              <w:end w:w="70" w:type="dxa"/>
            </w:tcMar>
            <w:vAlign w:val="top"/>
          </w:tcPr>
          <w:p>
            <w:pPr>
              <w:spacing w:after="0"/>
            </w:pPr>
            <w:r>
              <w:rPr>
                <w:sz w:val="16"/>
              </w:rPr>
              <w:t>ZTNA</w:t>
            </w:r>
          </w:p>
        </w:tc>
        <w:tc>
          <w:tcPr>
            <w:tcW w:type="dxa" w:w="8352"/>
            <w:tcMar>
              <w:top w:w="70" w:type="dxa"/>
              <w:start w:w="70" w:type="dxa"/>
              <w:bottom w:w="70" w:type="dxa"/>
              <w:end w:w="70" w:type="dxa"/>
            </w:tcMar>
            <w:vAlign w:val="top"/>
          </w:tcPr>
          <w:p>
            <w:pPr>
              <w:spacing w:after="0"/>
            </w:pPr>
            <w:r>
              <w:rPr>
                <w:sz w:val="16"/>
              </w:rPr>
              <w:t>Zero Trust Network Access</w:t>
            </w:r>
          </w:p>
        </w:tc>
      </w:tr>
    </w:tbl>
    <w:p>
      <w:r>
        <w:br w:type="page"/>
      </w:r>
    </w:p>
    <w:p>
      <w:pPr>
        <w:pStyle w:val="Heading1"/>
        <w:keepNext/>
      </w:pPr>
      <w:r>
        <w:t>Executive Summary</w:t>
      </w:r>
    </w:p>
    <w:p>
      <w:r>
        <w:t>Aegis FinTech is preparing for EU expansion while developing an AI-powered financial analytics platform. This creates a combined exposure to ransomware, cloud and software supply-chain weaknesses, identity compromise, personal-data breaches and regulatory failure. This proposal establishes a small but capable Information Security Unit and a practical 12-month programme based on the Zero Trust findings developed in Task 1. The central design assumption is that network location cannot be treated as proof of trust; access must be explicitly verified, limited to the required resource and continuously monitored [1]-[3].</w:t>
      </w:r>
    </w:p>
    <w:p>
      <w:r>
        <w:t>The proposal recommends NIST Cybersecurity Framework (CSF) 2.0 as the management framework, supported by the technical architecture in NIST SP 800-207. Priority controls are phishing-resistant MFA, identity governance, privileged access management, ZTNA, cloud posture management, microsegmentation, centralised logging, XDR/SIEM and tested immutable backups. Governance is provided through a board-sponsored Cyber Security Steering Committee, while GDPR and DORA requirements are translated into named deliverables, owners, evidence and deadlines. The intended outcome is not a collection of security products, but a measurable capability that protects funding confidence, supports EU market entry and limits the operational effect of a successful attack.</w:t>
      </w:r>
    </w:p>
    <w:p>
      <w:pPr>
        <w:pStyle w:val="Heading1"/>
        <w:keepNext/>
      </w:pPr>
      <w:r>
        <w:t>1. Introduction and Design Principles</w:t>
      </w:r>
    </w:p>
    <w:p>
      <w:r>
        <w:t>Task 1 concluded that Zero Trust is most effective as a phased governance and architecture programme rather than a single product. It also showed that weak legacy identities and excessive permissions can undermine otherwise mature controls, as demonstrated by the Microsoft Midnight Blizzard incident [7]. Aegis should therefore begin with identity, asset visibility and critical-data flows before attempting broad automation.</w:t>
      </w:r>
    </w:p>
    <w:p>
      <w:r>
        <w:t>The proposed unit will follow four principles: verify explicitly; apply least privilege; assume breach; and design for recovery. These principles support the CISA pillars of identity, devices, networks, applications/workloads and data [3]. They also fit the business need: a fintech startup requires proportionate controls that can scale, produce evidence for investors and regulators, and avoid slowing product delivery.</w:t>
      </w:r>
    </w:p>
    <w:p>
      <w:pPr>
        <w:pStyle w:val="Heading1"/>
        <w:keepNext/>
      </w:pPr>
      <w:r>
        <w:t>2. Work-Stream 1: Organisational Design and Resourcing</w:t>
      </w:r>
    </w:p>
    <w:p>
      <w:r>
        <w:t>Aegis should establish a core team of six, using a managed security service for 24-hour monitoring during the first year. This balances startup cost with the need for specialist coverage. The CISO remains accountable to the CEO and board, while the DPO must have sufficient independence to challenge processing decisions.</w:t>
      </w:r>
    </w:p>
    <w:tbl>
      <w:tblPr>
        <w:tblStyle w:val="TableGrid"/>
        <w:tblW w:type="auto" w:w="0"/>
        <w:jc w:val="center"/>
        <w:tblLook w:firstColumn="1" w:firstRow="1" w:lastColumn="0" w:lastRow="0" w:noHBand="0" w:noVBand="1" w:val="04A0"/>
      </w:tblPr>
      <w:tblGrid>
        <w:gridCol w:w="3389"/>
        <w:gridCol w:w="3389"/>
        <w:gridCol w:w="3389"/>
      </w:tblGrid>
      <w:tr>
        <w:tc>
          <w:tcPr>
            <w:tcW w:type="dxa" w:w="10167"/>
            <w:gridSpan w:val="3"/>
            <w:tcMar>
              <w:top w:w="90" w:type="dxa"/>
              <w:start w:w="90" w:type="dxa"/>
              <w:bottom w:w="90" w:type="dxa"/>
              <w:end w:w="90" w:type="dxa"/>
            </w:tcMar>
            <w:vAlign w:val="center"/>
            <w:shd w:fill="1F4E79"/>
          </w:tcPr>
          <w:p>
            <w:pPr>
              <w:jc w:val="center"/>
            </w:pPr>
            <w:r>
              <w:rPr>
                <w:b/>
                <w:color w:val="FFFFFF"/>
              </w:rPr>
              <w:t>Board / CEO</w:t>
            </w:r>
          </w:p>
        </w:tc>
      </w:tr>
      <w:tr>
        <w:tc>
          <w:tcPr>
            <w:tcW w:type="dxa" w:w="10167"/>
            <w:gridSpan w:val="3"/>
            <w:tcMar>
              <w:top w:w="90" w:type="dxa"/>
              <w:start w:w="90" w:type="dxa"/>
              <w:bottom w:w="90" w:type="dxa"/>
              <w:end w:w="90" w:type="dxa"/>
            </w:tcMar>
            <w:vAlign w:val="center"/>
            <w:shd w:fill="5B9BD5"/>
          </w:tcPr>
          <w:p>
            <w:pPr>
              <w:jc w:val="center"/>
            </w:pPr>
            <w:r>
              <w:rPr>
                <w:b/>
              </w:rPr>
              <w:t>Chief Information Security Officer</w:t>
            </w:r>
          </w:p>
        </w:tc>
      </w:tr>
      <w:tr>
        <w:tc>
          <w:tcPr>
            <w:tcW w:type="dxa" w:w="3389"/>
            <w:tcMar>
              <w:top w:w="90" w:type="dxa"/>
              <w:start w:w="90" w:type="dxa"/>
              <w:bottom w:w="90" w:type="dxa"/>
              <w:end w:w="90" w:type="dxa"/>
            </w:tcMar>
            <w:vAlign w:val="center"/>
            <w:shd w:fill="D9EAF7"/>
          </w:tcPr>
          <w:p>
            <w:pPr>
              <w:jc w:val="center"/>
            </w:pPr>
            <w:r>
              <w:rPr>
                <w:b/>
              </w:rPr>
              <w:t>Governance, Risk &amp; Compliance Manager</w:t>
              <w:br/>
              <w:t>(with DPO access)</w:t>
            </w:r>
          </w:p>
        </w:tc>
        <w:tc>
          <w:tcPr>
            <w:tcW w:type="dxa" w:w="3389"/>
            <w:tcMar>
              <w:top w:w="90" w:type="dxa"/>
              <w:start w:w="90" w:type="dxa"/>
              <w:bottom w:w="90" w:type="dxa"/>
              <w:end w:w="90" w:type="dxa"/>
            </w:tcMar>
            <w:vAlign w:val="center"/>
            <w:shd w:fill="D9EAF7"/>
          </w:tcPr>
          <w:p>
            <w:pPr>
              <w:jc w:val="center"/>
            </w:pPr>
            <w:r>
              <w:rPr>
                <w:b/>
              </w:rPr>
              <w:t>Cloud Security Architect</w:t>
            </w:r>
          </w:p>
        </w:tc>
        <w:tc>
          <w:tcPr>
            <w:tcW w:type="dxa" w:w="3389"/>
            <w:tcMar>
              <w:top w:w="90" w:type="dxa"/>
              <w:start w:w="90" w:type="dxa"/>
              <w:bottom w:w="90" w:type="dxa"/>
              <w:end w:w="90" w:type="dxa"/>
            </w:tcMar>
            <w:vAlign w:val="center"/>
            <w:shd w:fill="D9EAF7"/>
          </w:tcPr>
          <w:p>
            <w:pPr>
              <w:jc w:val="center"/>
            </w:pPr>
            <w:r>
              <w:rPr>
                <w:b/>
              </w:rPr>
              <w:t>Security Operations Lead</w:t>
              <w:br/>
              <w:t>(MSSP oversight)</w:t>
            </w:r>
          </w:p>
        </w:tc>
      </w:tr>
      <w:tr>
        <w:tc>
          <w:tcPr>
            <w:tcW w:type="dxa" w:w="3389"/>
            <w:tcMar>
              <w:top w:w="90" w:type="dxa"/>
              <w:start w:w="90" w:type="dxa"/>
              <w:bottom w:w="90" w:type="dxa"/>
              <w:end w:w="90" w:type="dxa"/>
            </w:tcMar>
            <w:vAlign w:val="center"/>
          </w:tcPr>
          <w:p>
            <w:pPr>
              <w:jc w:val="center"/>
            </w:pPr>
            <w:r>
              <w:t>Security Analyst / Awareness</w:t>
            </w:r>
          </w:p>
        </w:tc>
        <w:tc>
          <w:tcPr>
            <w:tcW w:type="dxa" w:w="3389"/>
            <w:tcMar>
              <w:top w:w="90" w:type="dxa"/>
              <w:start w:w="90" w:type="dxa"/>
              <w:bottom w:w="90" w:type="dxa"/>
              <w:end w:w="90" w:type="dxa"/>
            </w:tcMar>
            <w:vAlign w:val="center"/>
          </w:tcPr>
          <w:p>
            <w:pPr>
              <w:jc w:val="center"/>
            </w:pPr>
            <w:r>
              <w:t>DevSecOps Engineer</w:t>
            </w:r>
          </w:p>
        </w:tc>
        <w:tc>
          <w:tcPr>
            <w:tcW w:type="dxa" w:w="3389"/>
            <w:tcMar>
              <w:top w:w="90" w:type="dxa"/>
              <w:start w:w="90" w:type="dxa"/>
              <w:bottom w:w="90" w:type="dxa"/>
              <w:end w:w="90" w:type="dxa"/>
            </w:tcMar>
            <w:vAlign w:val="center"/>
          </w:tcPr>
          <w:p>
            <w:pPr>
              <w:jc w:val="center"/>
            </w:pPr>
            <w:r>
              <w:t>AI &amp; Data Security Specialist</w:t>
            </w:r>
          </w:p>
        </w:tc>
      </w:tr>
    </w:tbl>
    <w:p>
      <w:pPr>
        <w:pStyle w:val="CaptionX"/>
        <w:jc w:val="center"/>
      </w:pPr>
      <w:r>
        <w:t>Fig. 1. Proposed Information Security Unit.</w:t>
      </w:r>
    </w:p>
    <w:p>
      <w:r>
        <w:t>Role justification. The Cloud Security Architect owns secure landing zones, CSPM, segmentation and resilient cloud design. The DevSecOps Engineer embeds security tests, secrets management and software composition analysis into delivery pipelines. The Security Operations Lead owns SIEM/XDR use cases, incident response and the managed service. The GRC Manager maps controls to GDPR, DORA and investor assurance, while the DPO advises independently on privacy. The AI and Data Security Specialist governs training data, model access, prompt and data leakage risks, and adversarial testing. These roles directly implement the visibility, governance, identity and automation dependencies identified in Task 1 [3]-[6].</w:t>
      </w:r>
    </w:p>
    <w:p>
      <w:pPr>
        <w:pStyle w:val="Heading1"/>
        <w:keepNext/>
      </w:pPr>
      <w:r>
        <w:t>3. Work-Stream 2: Policy Framework Development</w:t>
      </w:r>
    </w:p>
    <w:p>
      <w:pPr>
        <w:pStyle w:val="Heading2"/>
      </w:pPr>
      <w:r>
        <w:t>3.1 Acceptable Use Policy for AI and Cloud Services</w:t>
      </w:r>
    </w:p>
    <w:p>
      <w:r>
        <w:t>Purpose and scope. The policy applies to employees, contractors and service accounts using generative AI, analytics models, SaaS or cloud infrastructure. Only approved services and company-managed identities may process Aegis information. Personal, customer, source-code or confidential funding data must not be entered into public AI tools unless a documented assessment, contract and technical control permit it. Cloud resources must use approved regions, encryption, logging, tagging and least-privilege roles. High-risk AI use requires human review, traceability and a data-protection assessment. Task 1 found that access decisions are only reliable when identity, device and resource context are known [1], [3]; therefore anonymous accounts, shared credentials and unmanaged API keys are prohibited.</w:t>
      </w:r>
    </w:p>
    <w:p>
      <w:pPr>
        <w:pStyle w:val="Heading2"/>
      </w:pPr>
      <w:r>
        <w:t>3.2 Hybrid Work and Remote Access Security Policy</w:t>
      </w:r>
    </w:p>
    <w:p>
      <w:r>
        <w:t>Remote access will use ZTNA rather than broad network-level VPN access. Users must authenticate with phishing-resistant MFA on managed, encrypted and compliant devices. Access is granted per application and adjusted according to role, device health, location risk and behaviour. Privileged activity requires PAM, time-limited approval and recorded sessions. Local storage of regulated data is restricted and lost devices must be reported immediately. This reflects Task 1’s finding that the office network is no longer a dependable trust boundary and that ZTNA should expose only the specific application authorised for a user [1], [2], [10].</w:t>
      </w:r>
    </w:p>
    <w:p>
      <w:pPr>
        <w:pStyle w:val="Heading2"/>
      </w:pPr>
      <w:r>
        <w:t>3.3 Third-Party and Cloud Vendor Risk Management Policy</w:t>
      </w:r>
    </w:p>
    <w:p>
      <w:r>
        <w:t>All suppliers will be classified by data sensitivity, operational criticality and substitution difficulty. Due diligence must cover security certifications, breach history, resilience testing, data location, subcontractors, identity controls, logging, recovery capability and secure exit. Contracts for critical services must include incident notification, audit rights, recovery objectives, data return/deletion and cooperation with regulators. Continuous review will use CSPM findings, security ratings and service performance. Task 1 reported rising third-party involvement in breaches and warned that SASE and cloud consolidation can introduce provider concentration and residency risk [2], [8], [11]. DORA also keeps the financial entity responsible for ICT obligations even when services are outsourced [16].</w:t>
      </w:r>
    </w:p>
    <w:p>
      <w:pPr>
        <w:pStyle w:val="Heading1"/>
        <w:keepNext/>
      </w:pPr>
      <w:r>
        <w:t>4. Work-Stream 3: GDPR and DORA Compliance Strategy</w:t>
      </w:r>
    </w:p>
    <w:p>
      <w:r>
        <w:t>The compliance programme should produce evidence, not only statements of intent. GDPR Article 32 requires security measures appropriate to processing risk, including resilience and regular testing; Article 35 requires a DPIA where automated processing is likely to create high risk, and Article 33 establishes the supervisory-authority breach notification process [15]. DORA requires management-body accountability for ICT risk, documented response and recovery, resilience testing and control of ICT third-party risk [16].</w:t>
      </w:r>
    </w:p>
    <w:tbl>
      <w:tblPr>
        <w:tblStyle w:val="TableGrid"/>
        <w:tblW w:type="auto" w:w="0"/>
        <w:jc w:val="center"/>
        <w:tblLook w:firstColumn="1" w:firstRow="1" w:lastColumn="0" w:lastRow="0" w:noHBand="0" w:noVBand="1" w:val="04A0"/>
      </w:tblPr>
      <w:tblGrid>
        <w:gridCol w:w="2541"/>
        <w:gridCol w:w="2541"/>
        <w:gridCol w:w="2541"/>
        <w:gridCol w:w="2541"/>
      </w:tblGrid>
      <w:tr>
        <w:trPr>
          <w:tblHeader w:val="true"/>
        </w:trPr>
        <w:tc>
          <w:tcPr>
            <w:tcW w:type="dxa" w:w="1080"/>
            <w:shd w:fill="1F4E79"/>
            <w:vAlign w:val="center"/>
            <w:tcMar>
              <w:top w:w="70" w:type="dxa"/>
              <w:start w:w="70" w:type="dxa"/>
              <w:bottom w:w="70" w:type="dxa"/>
              <w:end w:w="70" w:type="dxa"/>
            </w:tcMar>
          </w:tcPr>
          <w:p>
            <w:pPr>
              <w:jc w:val="center"/>
            </w:pPr>
            <w:r>
              <w:rPr>
                <w:b/>
                <w:color w:val="FFFFFF"/>
                <w:sz w:val="14"/>
              </w:rPr>
              <w:t>Timing</w:t>
            </w:r>
          </w:p>
        </w:tc>
        <w:tc>
          <w:tcPr>
            <w:tcW w:type="dxa" w:w="1728"/>
            <w:shd w:fill="1F4E79"/>
            <w:vAlign w:val="center"/>
            <w:tcMar>
              <w:top w:w="70" w:type="dxa"/>
              <w:start w:w="70" w:type="dxa"/>
              <w:bottom w:w="70" w:type="dxa"/>
              <w:end w:w="70" w:type="dxa"/>
            </w:tcMar>
          </w:tcPr>
          <w:p>
            <w:pPr>
              <w:jc w:val="center"/>
            </w:pPr>
            <w:r>
              <w:rPr>
                <w:b/>
                <w:color w:val="FFFFFF"/>
                <w:sz w:val="14"/>
              </w:rPr>
              <w:t>Milestone</w:t>
            </w:r>
          </w:p>
        </w:tc>
        <w:tc>
          <w:tcPr>
            <w:tcW w:type="dxa" w:w="4680"/>
            <w:shd w:fill="1F4E79"/>
            <w:vAlign w:val="center"/>
            <w:tcMar>
              <w:top w:w="70" w:type="dxa"/>
              <w:start w:w="70" w:type="dxa"/>
              <w:bottom w:w="70" w:type="dxa"/>
              <w:end w:w="70" w:type="dxa"/>
            </w:tcMar>
          </w:tcPr>
          <w:p>
            <w:pPr>
              <w:jc w:val="center"/>
            </w:pPr>
            <w:r>
              <w:rPr>
                <w:b/>
                <w:color w:val="FFFFFF"/>
                <w:sz w:val="14"/>
              </w:rPr>
              <w:t>Main actions</w:t>
            </w:r>
          </w:p>
        </w:tc>
        <w:tc>
          <w:tcPr>
            <w:tcW w:type="dxa" w:w="2448"/>
            <w:shd w:fill="1F4E79"/>
            <w:vAlign w:val="center"/>
            <w:tcMar>
              <w:top w:w="70" w:type="dxa"/>
              <w:start w:w="70" w:type="dxa"/>
              <w:bottom w:w="70" w:type="dxa"/>
              <w:end w:w="70" w:type="dxa"/>
            </w:tcMar>
          </w:tcPr>
          <w:p>
            <w:pPr>
              <w:jc w:val="center"/>
            </w:pPr>
            <w:r>
              <w:rPr>
                <w:b/>
                <w:color w:val="FFFFFF"/>
                <w:sz w:val="14"/>
              </w:rPr>
              <w:t>Evidence / exit criterion</w:t>
            </w:r>
          </w:p>
        </w:tc>
      </w:tr>
      <w:tr>
        <w:tc>
          <w:tcPr>
            <w:tcW w:type="dxa" w:w="1080"/>
            <w:tcMar>
              <w:top w:w="70" w:type="dxa"/>
              <w:start w:w="70" w:type="dxa"/>
              <w:bottom w:w="70" w:type="dxa"/>
              <w:end w:w="70" w:type="dxa"/>
            </w:tcMar>
            <w:vAlign w:val="top"/>
          </w:tcPr>
          <w:p>
            <w:pPr>
              <w:spacing w:after="0"/>
            </w:pPr>
            <w:r>
              <w:rPr>
                <w:sz w:val="14"/>
              </w:rPr>
              <w:t>Months 1-2</w:t>
            </w:r>
          </w:p>
        </w:tc>
        <w:tc>
          <w:tcPr>
            <w:tcW w:type="dxa" w:w="1728"/>
            <w:tcMar>
              <w:top w:w="70" w:type="dxa"/>
              <w:start w:w="70" w:type="dxa"/>
              <w:bottom w:w="70" w:type="dxa"/>
              <w:end w:w="70" w:type="dxa"/>
            </w:tcMar>
            <w:vAlign w:val="top"/>
          </w:tcPr>
          <w:p>
            <w:pPr>
              <w:spacing w:after="0"/>
            </w:pPr>
            <w:r>
              <w:rPr>
                <w:sz w:val="14"/>
              </w:rPr>
              <w:t>Scope and accountability</w:t>
            </w:r>
          </w:p>
        </w:tc>
        <w:tc>
          <w:tcPr>
            <w:tcW w:type="dxa" w:w="4680"/>
            <w:tcMar>
              <w:top w:w="70" w:type="dxa"/>
              <w:start w:w="70" w:type="dxa"/>
              <w:bottom w:w="70" w:type="dxa"/>
              <w:end w:w="70" w:type="dxa"/>
            </w:tcMar>
            <w:vAlign w:val="top"/>
          </w:tcPr>
          <w:p>
            <w:pPr>
              <w:spacing w:after="0"/>
            </w:pPr>
            <w:r>
              <w:rPr>
                <w:sz w:val="14"/>
              </w:rPr>
              <w:t>Appoint DPO access; identify EU establishments, products, controllers/processors and competent authorities; approve security and privacy governance.</w:t>
            </w:r>
          </w:p>
        </w:tc>
        <w:tc>
          <w:tcPr>
            <w:tcW w:type="dxa" w:w="2448"/>
            <w:tcMar>
              <w:top w:w="70" w:type="dxa"/>
              <w:start w:w="70" w:type="dxa"/>
              <w:bottom w:w="70" w:type="dxa"/>
              <w:end w:w="70" w:type="dxa"/>
            </w:tcMar>
            <w:vAlign w:val="top"/>
          </w:tcPr>
          <w:p>
            <w:pPr>
              <w:spacing w:after="0"/>
            </w:pPr>
            <w:r>
              <w:rPr>
                <w:sz w:val="14"/>
              </w:rPr>
              <w:t>Approved RACI, processing scope and board minutes</w:t>
            </w:r>
          </w:p>
        </w:tc>
      </w:tr>
      <w:tr>
        <w:tc>
          <w:tcPr>
            <w:tcW w:type="dxa" w:w="1080"/>
            <w:tcMar>
              <w:top w:w="70" w:type="dxa"/>
              <w:start w:w="70" w:type="dxa"/>
              <w:bottom w:w="70" w:type="dxa"/>
              <w:end w:w="70" w:type="dxa"/>
            </w:tcMar>
            <w:vAlign w:val="top"/>
          </w:tcPr>
          <w:p>
            <w:pPr>
              <w:spacing w:after="0"/>
            </w:pPr>
            <w:r>
              <w:rPr>
                <w:sz w:val="14"/>
              </w:rPr>
              <w:t>Months 2-4</w:t>
            </w:r>
          </w:p>
        </w:tc>
        <w:tc>
          <w:tcPr>
            <w:tcW w:type="dxa" w:w="1728"/>
            <w:tcMar>
              <w:top w:w="70" w:type="dxa"/>
              <w:start w:w="70" w:type="dxa"/>
              <w:bottom w:w="70" w:type="dxa"/>
              <w:end w:w="70" w:type="dxa"/>
            </w:tcMar>
            <w:vAlign w:val="top"/>
          </w:tcPr>
          <w:p>
            <w:pPr>
              <w:spacing w:after="0"/>
            </w:pPr>
            <w:r>
              <w:rPr>
                <w:sz w:val="14"/>
              </w:rPr>
              <w:t>Data and ICT baseline</w:t>
            </w:r>
          </w:p>
        </w:tc>
        <w:tc>
          <w:tcPr>
            <w:tcW w:type="dxa" w:w="4680"/>
            <w:tcMar>
              <w:top w:w="70" w:type="dxa"/>
              <w:start w:w="70" w:type="dxa"/>
              <w:bottom w:w="70" w:type="dxa"/>
              <w:end w:w="70" w:type="dxa"/>
            </w:tcMar>
            <w:vAlign w:val="top"/>
          </w:tcPr>
          <w:p>
            <w:pPr>
              <w:spacing w:after="0"/>
            </w:pPr>
            <w:r>
              <w:rPr>
                <w:sz w:val="14"/>
              </w:rPr>
              <w:t>Complete records of processing, data-flow maps, critical-function inventory, asset register, vendor register and gap assessment.</w:t>
            </w:r>
          </w:p>
        </w:tc>
        <w:tc>
          <w:tcPr>
            <w:tcW w:type="dxa" w:w="2448"/>
            <w:tcMar>
              <w:top w:w="70" w:type="dxa"/>
              <w:start w:w="70" w:type="dxa"/>
              <w:bottom w:w="70" w:type="dxa"/>
              <w:end w:w="70" w:type="dxa"/>
            </w:tcMar>
            <w:vAlign w:val="top"/>
          </w:tcPr>
          <w:p>
            <w:pPr>
              <w:spacing w:after="0"/>
            </w:pPr>
            <w:r>
              <w:rPr>
                <w:sz w:val="14"/>
              </w:rPr>
              <w:t>ROPA, ICT risk register, supplier inventory</w:t>
            </w:r>
          </w:p>
        </w:tc>
      </w:tr>
      <w:tr>
        <w:tc>
          <w:tcPr>
            <w:tcW w:type="dxa" w:w="1080"/>
            <w:tcMar>
              <w:top w:w="70" w:type="dxa"/>
              <w:start w:w="70" w:type="dxa"/>
              <w:bottom w:w="70" w:type="dxa"/>
              <w:end w:w="70" w:type="dxa"/>
            </w:tcMar>
            <w:vAlign w:val="top"/>
          </w:tcPr>
          <w:p>
            <w:pPr>
              <w:spacing w:after="0"/>
            </w:pPr>
            <w:r>
              <w:rPr>
                <w:sz w:val="14"/>
              </w:rPr>
              <w:t>Months 3-6</w:t>
            </w:r>
          </w:p>
        </w:tc>
        <w:tc>
          <w:tcPr>
            <w:tcW w:type="dxa" w:w="1728"/>
            <w:tcMar>
              <w:top w:w="70" w:type="dxa"/>
              <w:start w:w="70" w:type="dxa"/>
              <w:bottom w:w="70" w:type="dxa"/>
              <w:end w:w="70" w:type="dxa"/>
            </w:tcMar>
            <w:vAlign w:val="top"/>
          </w:tcPr>
          <w:p>
            <w:pPr>
              <w:spacing w:after="0"/>
            </w:pPr>
            <w:r>
              <w:rPr>
                <w:sz w:val="14"/>
              </w:rPr>
              <w:t>Risk treatment</w:t>
            </w:r>
          </w:p>
        </w:tc>
        <w:tc>
          <w:tcPr>
            <w:tcW w:type="dxa" w:w="4680"/>
            <w:tcMar>
              <w:top w:w="70" w:type="dxa"/>
              <w:start w:w="70" w:type="dxa"/>
              <w:bottom w:w="70" w:type="dxa"/>
              <w:end w:w="70" w:type="dxa"/>
            </w:tcMar>
            <w:vAlign w:val="top"/>
          </w:tcPr>
          <w:p>
            <w:pPr>
              <w:spacing w:after="0"/>
            </w:pPr>
            <w:r>
              <w:rPr>
                <w:sz w:val="14"/>
              </w:rPr>
              <w:t>Complete DPIAs for AI analytics; implement retention, lawful-basis review, data-subject procedures, IAM/MFA, logging and encryption priorities.</w:t>
            </w:r>
          </w:p>
        </w:tc>
        <w:tc>
          <w:tcPr>
            <w:tcW w:type="dxa" w:w="2448"/>
            <w:tcMar>
              <w:top w:w="70" w:type="dxa"/>
              <w:start w:w="70" w:type="dxa"/>
              <w:bottom w:w="70" w:type="dxa"/>
              <w:end w:w="70" w:type="dxa"/>
            </w:tcMar>
            <w:vAlign w:val="top"/>
          </w:tcPr>
          <w:p>
            <w:pPr>
              <w:spacing w:after="0"/>
            </w:pPr>
            <w:r>
              <w:rPr>
                <w:sz w:val="14"/>
              </w:rPr>
              <w:t>Signed DPIAs, control evidence, remediation tracker</w:t>
            </w:r>
          </w:p>
        </w:tc>
      </w:tr>
      <w:tr>
        <w:tc>
          <w:tcPr>
            <w:tcW w:type="dxa" w:w="1080"/>
            <w:tcMar>
              <w:top w:w="70" w:type="dxa"/>
              <w:start w:w="70" w:type="dxa"/>
              <w:bottom w:w="70" w:type="dxa"/>
              <w:end w:w="70" w:type="dxa"/>
            </w:tcMar>
            <w:vAlign w:val="top"/>
          </w:tcPr>
          <w:p>
            <w:pPr>
              <w:spacing w:after="0"/>
            </w:pPr>
            <w:r>
              <w:rPr>
                <w:sz w:val="14"/>
              </w:rPr>
              <w:t>Months 5-8</w:t>
            </w:r>
          </w:p>
        </w:tc>
        <w:tc>
          <w:tcPr>
            <w:tcW w:type="dxa" w:w="1728"/>
            <w:tcMar>
              <w:top w:w="70" w:type="dxa"/>
              <w:start w:w="70" w:type="dxa"/>
              <w:bottom w:w="70" w:type="dxa"/>
              <w:end w:w="70" w:type="dxa"/>
            </w:tcMar>
            <w:vAlign w:val="top"/>
          </w:tcPr>
          <w:p>
            <w:pPr>
              <w:spacing w:after="0"/>
            </w:pPr>
            <w:r>
              <w:rPr>
                <w:sz w:val="14"/>
              </w:rPr>
              <w:t>Operational resilience</w:t>
            </w:r>
          </w:p>
        </w:tc>
        <w:tc>
          <w:tcPr>
            <w:tcW w:type="dxa" w:w="4680"/>
            <w:tcMar>
              <w:top w:w="70" w:type="dxa"/>
              <w:start w:w="70" w:type="dxa"/>
              <w:bottom w:w="70" w:type="dxa"/>
              <w:end w:w="70" w:type="dxa"/>
            </w:tcMar>
            <w:vAlign w:val="top"/>
          </w:tcPr>
          <w:p>
            <w:pPr>
              <w:spacing w:after="0"/>
            </w:pPr>
            <w:r>
              <w:rPr>
                <w:sz w:val="14"/>
              </w:rPr>
              <w:t>Define incident classification, regulatory escalation, business impact analysis, recovery objectives and crisis communications.</w:t>
            </w:r>
          </w:p>
        </w:tc>
        <w:tc>
          <w:tcPr>
            <w:tcW w:type="dxa" w:w="2448"/>
            <w:tcMar>
              <w:top w:w="70" w:type="dxa"/>
              <w:start w:w="70" w:type="dxa"/>
              <w:bottom w:w="70" w:type="dxa"/>
              <w:end w:w="70" w:type="dxa"/>
            </w:tcMar>
            <w:vAlign w:val="top"/>
          </w:tcPr>
          <w:p>
            <w:pPr>
              <w:spacing w:after="0"/>
            </w:pPr>
            <w:r>
              <w:rPr>
                <w:sz w:val="14"/>
              </w:rPr>
              <w:t>Tested plans, contact matrix and exercise report</w:t>
            </w:r>
          </w:p>
        </w:tc>
      </w:tr>
      <w:tr>
        <w:tc>
          <w:tcPr>
            <w:tcW w:type="dxa" w:w="1080"/>
            <w:tcMar>
              <w:top w:w="70" w:type="dxa"/>
              <w:start w:w="70" w:type="dxa"/>
              <w:bottom w:w="70" w:type="dxa"/>
              <w:end w:w="70" w:type="dxa"/>
            </w:tcMar>
            <w:vAlign w:val="top"/>
          </w:tcPr>
          <w:p>
            <w:pPr>
              <w:spacing w:after="0"/>
            </w:pPr>
            <w:r>
              <w:rPr>
                <w:sz w:val="14"/>
              </w:rPr>
              <w:t>Months 6-10</w:t>
            </w:r>
          </w:p>
        </w:tc>
        <w:tc>
          <w:tcPr>
            <w:tcW w:type="dxa" w:w="1728"/>
            <w:tcMar>
              <w:top w:w="70" w:type="dxa"/>
              <w:start w:w="70" w:type="dxa"/>
              <w:bottom w:w="70" w:type="dxa"/>
              <w:end w:w="70" w:type="dxa"/>
            </w:tcMar>
            <w:vAlign w:val="top"/>
          </w:tcPr>
          <w:p>
            <w:pPr>
              <w:spacing w:after="0"/>
            </w:pPr>
            <w:r>
              <w:rPr>
                <w:sz w:val="14"/>
              </w:rPr>
              <w:t>Third-party assurance</w:t>
            </w:r>
          </w:p>
        </w:tc>
        <w:tc>
          <w:tcPr>
            <w:tcW w:type="dxa" w:w="4680"/>
            <w:tcMar>
              <w:top w:w="70" w:type="dxa"/>
              <w:start w:w="70" w:type="dxa"/>
              <w:bottom w:w="70" w:type="dxa"/>
              <w:end w:w="70" w:type="dxa"/>
            </w:tcMar>
            <w:vAlign w:val="top"/>
          </w:tcPr>
          <w:p>
            <w:pPr>
              <w:spacing w:after="0"/>
            </w:pPr>
            <w:r>
              <w:rPr>
                <w:sz w:val="14"/>
              </w:rPr>
              <w:t>Insert DORA/GDPR clauses, assess critical providers, document concentration and exit risks, and test one provider-failure scenario.</w:t>
            </w:r>
          </w:p>
        </w:tc>
        <w:tc>
          <w:tcPr>
            <w:tcW w:type="dxa" w:w="2448"/>
            <w:tcMar>
              <w:top w:w="70" w:type="dxa"/>
              <w:start w:w="70" w:type="dxa"/>
              <w:bottom w:w="70" w:type="dxa"/>
              <w:end w:w="70" w:type="dxa"/>
            </w:tcMar>
            <w:vAlign w:val="top"/>
          </w:tcPr>
          <w:p>
            <w:pPr>
              <w:spacing w:after="0"/>
            </w:pPr>
            <w:r>
              <w:rPr>
                <w:sz w:val="14"/>
              </w:rPr>
              <w:t>Contracts, assessments, exit plans</w:t>
            </w:r>
          </w:p>
        </w:tc>
      </w:tr>
      <w:tr>
        <w:tc>
          <w:tcPr>
            <w:tcW w:type="dxa" w:w="1080"/>
            <w:tcMar>
              <w:top w:w="70" w:type="dxa"/>
              <w:start w:w="70" w:type="dxa"/>
              <w:bottom w:w="70" w:type="dxa"/>
              <w:end w:w="70" w:type="dxa"/>
            </w:tcMar>
            <w:vAlign w:val="top"/>
          </w:tcPr>
          <w:p>
            <w:pPr>
              <w:spacing w:after="0"/>
            </w:pPr>
            <w:r>
              <w:rPr>
                <w:sz w:val="14"/>
              </w:rPr>
              <w:t>Months 9-12</w:t>
            </w:r>
          </w:p>
        </w:tc>
        <w:tc>
          <w:tcPr>
            <w:tcW w:type="dxa" w:w="1728"/>
            <w:tcMar>
              <w:top w:w="70" w:type="dxa"/>
              <w:start w:w="70" w:type="dxa"/>
              <w:bottom w:w="70" w:type="dxa"/>
              <w:end w:w="70" w:type="dxa"/>
            </w:tcMar>
            <w:vAlign w:val="top"/>
          </w:tcPr>
          <w:p>
            <w:pPr>
              <w:spacing w:after="0"/>
            </w:pPr>
            <w:r>
              <w:rPr>
                <w:sz w:val="14"/>
              </w:rPr>
              <w:t>Readiness and assurance</w:t>
            </w:r>
          </w:p>
        </w:tc>
        <w:tc>
          <w:tcPr>
            <w:tcW w:type="dxa" w:w="4680"/>
            <w:tcMar>
              <w:top w:w="70" w:type="dxa"/>
              <w:start w:w="70" w:type="dxa"/>
              <w:bottom w:w="70" w:type="dxa"/>
              <w:end w:w="70" w:type="dxa"/>
            </w:tcMar>
            <w:vAlign w:val="top"/>
          </w:tcPr>
          <w:p>
            <w:pPr>
              <w:spacing w:after="0"/>
            </w:pPr>
            <w:r>
              <w:rPr>
                <w:sz w:val="14"/>
              </w:rPr>
              <w:t>Run ransomware/tabletop exercises, test breach notification, complete internal audit and board readiness review before EU launch.</w:t>
            </w:r>
          </w:p>
        </w:tc>
        <w:tc>
          <w:tcPr>
            <w:tcW w:type="dxa" w:w="2448"/>
            <w:tcMar>
              <w:top w:w="70" w:type="dxa"/>
              <w:start w:w="70" w:type="dxa"/>
              <w:bottom w:w="70" w:type="dxa"/>
              <w:end w:w="70" w:type="dxa"/>
            </w:tcMar>
            <w:vAlign w:val="top"/>
          </w:tcPr>
          <w:p>
            <w:pPr>
              <w:spacing w:after="0"/>
            </w:pPr>
            <w:r>
              <w:rPr>
                <w:sz w:val="14"/>
              </w:rPr>
              <w:t>Audit report, actions closed, launch decision</w:t>
            </w:r>
          </w:p>
        </w:tc>
      </w:tr>
    </w:tbl>
    <w:p>
      <w:pPr>
        <w:pStyle w:val="CaptionX"/>
        <w:jc w:val="center"/>
      </w:pPr>
      <w:r>
        <w:t>Table I. GDPR and DORA compliance roadmap.</w:t>
      </w:r>
    </w:p>
    <w:p>
      <w:pPr>
        <w:pStyle w:val="Heading1"/>
        <w:keepNext/>
      </w:pPr>
      <w:r>
        <w:t>5. Work-Stream 4: Technical Standards and Architecture</w:t>
      </w:r>
    </w:p>
    <w:p>
      <w:r>
        <w:t>NIST CSF 2.0 is recommended as the core framework because it is outcome-based, scalable and suitable for communicating risk to an executive board. Its six functions - Govern, Identify, Protect, Detect, Respond and Recover - cover the complete security lifecycle and place explicit emphasis on governance and supply-chain risk [17]. NIST SP 800-207 will provide the more detailed Zero Trust architecture beneath it [1]. ISO/IEC 27001 certification can be considered after the first year, once controls and evidence are stable.</w:t>
      </w:r>
    </w:p>
    <w:tbl>
      <w:tblPr>
        <w:tblStyle w:val="TableGrid"/>
        <w:tblW w:type="auto" w:w="0"/>
        <w:jc w:val="center"/>
        <w:tblLook w:firstColumn="1" w:firstRow="1" w:lastColumn="0" w:lastRow="0" w:noHBand="0" w:noVBand="1" w:val="04A0"/>
      </w:tblPr>
      <w:tblGrid>
        <w:gridCol w:w="2541"/>
        <w:gridCol w:w="2541"/>
        <w:gridCol w:w="2541"/>
        <w:gridCol w:w="2541"/>
      </w:tblGrid>
      <w:tr>
        <w:tc>
          <w:tcPr>
            <w:tcW w:type="dxa" w:w="2541"/>
            <w:shd w:fill="D9EAF7"/>
            <w:tcMar>
              <w:top w:w="75" w:type="dxa"/>
              <w:start w:w="50" w:type="dxa"/>
              <w:bottom w:w="75" w:type="dxa"/>
              <w:end w:w="50" w:type="dxa"/>
            </w:tcMar>
          </w:tcPr>
          <w:p>
            <w:pPr>
              <w:jc w:val="center"/>
            </w:pPr>
            <w:r>
              <w:rPr>
                <w:b w:val="0"/>
                <w:sz w:val="15"/>
              </w:rPr>
              <w:t>Users / admins / workloads</w:t>
            </w:r>
          </w:p>
        </w:tc>
        <w:tc>
          <w:tcPr>
            <w:tcW w:type="dxa" w:w="2541"/>
            <w:shd w:fill="D9EAF7"/>
            <w:tcMar>
              <w:top w:w="75" w:type="dxa"/>
              <w:start w:w="50" w:type="dxa"/>
              <w:bottom w:w="75" w:type="dxa"/>
              <w:end w:w="50" w:type="dxa"/>
            </w:tcMar>
          </w:tcPr>
          <w:p>
            <w:pPr>
              <w:jc w:val="center"/>
            </w:pPr>
            <w:r>
              <w:rPr>
                <w:b w:val="0"/>
                <w:sz w:val="15"/>
              </w:rPr>
              <w:t>Identity provider + IGA</w:t>
            </w:r>
          </w:p>
        </w:tc>
        <w:tc>
          <w:tcPr>
            <w:tcW w:type="dxa" w:w="2541"/>
            <w:shd w:fill="D9EAF7"/>
            <w:tcMar>
              <w:top w:w="75" w:type="dxa"/>
              <w:start w:w="50" w:type="dxa"/>
              <w:bottom w:w="75" w:type="dxa"/>
              <w:end w:w="50" w:type="dxa"/>
            </w:tcMar>
          </w:tcPr>
          <w:p>
            <w:pPr>
              <w:jc w:val="center"/>
            </w:pPr>
            <w:r>
              <w:rPr>
                <w:b w:val="0"/>
                <w:sz w:val="15"/>
              </w:rPr>
              <w:t>Device posture / EDR</w:t>
            </w:r>
          </w:p>
        </w:tc>
        <w:tc>
          <w:tcPr>
            <w:tcW w:type="dxa" w:w="2541"/>
            <w:shd w:fill="D9EAF7"/>
            <w:tcMar>
              <w:top w:w="75" w:type="dxa"/>
              <w:start w:w="50" w:type="dxa"/>
              <w:bottom w:w="75" w:type="dxa"/>
              <w:end w:w="50" w:type="dxa"/>
            </w:tcMar>
          </w:tcPr>
          <w:p>
            <w:pPr>
              <w:jc w:val="center"/>
            </w:pPr>
            <w:r>
              <w:rPr>
                <w:b w:val="0"/>
                <w:sz w:val="15"/>
              </w:rPr>
              <w:t>Threat intelligence</w:t>
            </w:r>
          </w:p>
        </w:tc>
      </w:tr>
      <w:tr>
        <w:tc>
          <w:tcPr>
            <w:tcW w:type="dxa" w:w="2541"/>
            <w:shd w:fill="BDD7EE"/>
            <w:tcMar>
              <w:top w:w="75" w:type="dxa"/>
              <w:start w:w="50" w:type="dxa"/>
              <w:bottom w:w="75" w:type="dxa"/>
              <w:end w:w="50" w:type="dxa"/>
            </w:tcMar>
          </w:tcPr>
          <w:p>
            <w:pPr>
              <w:jc w:val="center"/>
            </w:pPr>
            <w:r>
              <w:rPr>
                <w:b/>
                <w:sz w:val="15"/>
              </w:rPr>
              <w:t>Phishing-resistant MFA</w:t>
            </w:r>
          </w:p>
        </w:tc>
        <w:tc>
          <w:tcPr>
            <w:tcW w:type="dxa" w:w="2541"/>
            <w:shd w:fill="BDD7EE"/>
            <w:tcMar>
              <w:top w:w="75" w:type="dxa"/>
              <w:start w:w="50" w:type="dxa"/>
              <w:bottom w:w="75" w:type="dxa"/>
              <w:end w:w="50" w:type="dxa"/>
            </w:tcMar>
          </w:tcPr>
          <w:p>
            <w:pPr>
              <w:jc w:val="center"/>
            </w:pPr>
            <w:r>
              <w:rPr>
                <w:b/>
                <w:sz w:val="15"/>
              </w:rPr>
              <w:t>Policy engine / risk decision</w:t>
            </w:r>
          </w:p>
        </w:tc>
        <w:tc>
          <w:tcPr>
            <w:tcW w:type="dxa" w:w="2541"/>
            <w:shd w:fill="BDD7EE"/>
            <w:tcMar>
              <w:top w:w="75" w:type="dxa"/>
              <w:start w:w="50" w:type="dxa"/>
              <w:bottom w:w="75" w:type="dxa"/>
              <w:end w:w="50" w:type="dxa"/>
            </w:tcMar>
          </w:tcPr>
          <w:p>
            <w:pPr>
              <w:jc w:val="center"/>
            </w:pPr>
            <w:r>
              <w:rPr>
                <w:b/>
                <w:sz w:val="15"/>
              </w:rPr>
              <w:t>PAM / just-in-time access</w:t>
            </w:r>
          </w:p>
        </w:tc>
        <w:tc>
          <w:tcPr>
            <w:tcW w:type="dxa" w:w="2541"/>
            <w:shd w:fill="BDD7EE"/>
            <w:tcMar>
              <w:top w:w="75" w:type="dxa"/>
              <w:start w:w="50" w:type="dxa"/>
              <w:bottom w:w="75" w:type="dxa"/>
              <w:end w:w="50" w:type="dxa"/>
            </w:tcMar>
          </w:tcPr>
          <w:p>
            <w:pPr>
              <w:jc w:val="center"/>
            </w:pPr>
            <w:r>
              <w:rPr>
                <w:b/>
                <w:sz w:val="15"/>
              </w:rPr>
              <w:t>ZTNA enforcement</w:t>
            </w:r>
          </w:p>
        </w:tc>
      </w:tr>
      <w:tr>
        <w:tc>
          <w:tcPr>
            <w:tcW w:type="dxa" w:w="2541"/>
            <w:shd w:fill="E2F0D9"/>
            <w:tcMar>
              <w:top w:w="75" w:type="dxa"/>
              <w:start w:w="50" w:type="dxa"/>
              <w:bottom w:w="75" w:type="dxa"/>
              <w:end w:w="50" w:type="dxa"/>
            </w:tcMar>
          </w:tcPr>
          <w:p>
            <w:pPr>
              <w:jc w:val="center"/>
            </w:pPr>
            <w:r>
              <w:rPr>
                <w:b w:val="0"/>
                <w:sz w:val="15"/>
              </w:rPr>
              <w:t>AI analytics platform</w:t>
            </w:r>
          </w:p>
        </w:tc>
        <w:tc>
          <w:tcPr>
            <w:tcW w:type="dxa" w:w="2541"/>
            <w:shd w:fill="E2F0D9"/>
            <w:tcMar>
              <w:top w:w="75" w:type="dxa"/>
              <w:start w:w="50" w:type="dxa"/>
              <w:bottom w:w="75" w:type="dxa"/>
              <w:end w:w="50" w:type="dxa"/>
            </w:tcMar>
          </w:tcPr>
          <w:p>
            <w:pPr>
              <w:jc w:val="center"/>
            </w:pPr>
            <w:r>
              <w:rPr>
                <w:b w:val="0"/>
                <w:sz w:val="15"/>
              </w:rPr>
              <w:t>Data services</w:t>
            </w:r>
          </w:p>
        </w:tc>
        <w:tc>
          <w:tcPr>
            <w:tcW w:type="dxa" w:w="2541"/>
            <w:shd w:fill="E2F0D9"/>
            <w:tcMar>
              <w:top w:w="75" w:type="dxa"/>
              <w:start w:w="50" w:type="dxa"/>
              <w:bottom w:w="75" w:type="dxa"/>
              <w:end w:w="50" w:type="dxa"/>
            </w:tcMar>
          </w:tcPr>
          <w:p>
            <w:pPr>
              <w:jc w:val="center"/>
            </w:pPr>
            <w:r>
              <w:rPr>
                <w:b w:val="0"/>
                <w:sz w:val="15"/>
              </w:rPr>
              <w:t>Cloud workloads / APIs</w:t>
            </w:r>
          </w:p>
        </w:tc>
        <w:tc>
          <w:tcPr>
            <w:tcW w:type="dxa" w:w="2541"/>
            <w:shd w:fill="E2F0D9"/>
            <w:tcMar>
              <w:top w:w="75" w:type="dxa"/>
              <w:start w:w="50" w:type="dxa"/>
              <w:bottom w:w="75" w:type="dxa"/>
              <w:end w:w="50" w:type="dxa"/>
            </w:tcMar>
          </w:tcPr>
          <w:p>
            <w:pPr>
              <w:jc w:val="center"/>
            </w:pPr>
            <w:r>
              <w:rPr>
                <w:b w:val="0"/>
                <w:sz w:val="15"/>
              </w:rPr>
              <w:t>Approved SaaS</w:t>
            </w:r>
          </w:p>
        </w:tc>
      </w:tr>
      <w:tr>
        <w:tc>
          <w:tcPr>
            <w:tcW w:type="dxa" w:w="2541"/>
            <w:shd w:fill="FFF2CC"/>
            <w:tcMar>
              <w:top w:w="75" w:type="dxa"/>
              <w:start w:w="50" w:type="dxa"/>
              <w:bottom w:w="75" w:type="dxa"/>
              <w:end w:w="50" w:type="dxa"/>
            </w:tcMar>
          </w:tcPr>
          <w:p>
            <w:pPr>
              <w:jc w:val="center"/>
            </w:pPr>
            <w:r>
              <w:rPr>
                <w:b w:val="0"/>
                <w:sz w:val="15"/>
              </w:rPr>
              <w:t>Microsegmentation</w:t>
            </w:r>
          </w:p>
        </w:tc>
        <w:tc>
          <w:tcPr>
            <w:tcW w:type="dxa" w:w="2541"/>
            <w:shd w:fill="FFF2CC"/>
            <w:tcMar>
              <w:top w:w="75" w:type="dxa"/>
              <w:start w:w="50" w:type="dxa"/>
              <w:bottom w:w="75" w:type="dxa"/>
              <w:end w:w="50" w:type="dxa"/>
            </w:tcMar>
          </w:tcPr>
          <w:p>
            <w:pPr>
              <w:jc w:val="center"/>
            </w:pPr>
            <w:r>
              <w:rPr>
                <w:b w:val="0"/>
                <w:sz w:val="15"/>
              </w:rPr>
              <w:t>Encryption / key management</w:t>
            </w:r>
          </w:p>
        </w:tc>
        <w:tc>
          <w:tcPr>
            <w:tcW w:type="dxa" w:w="2541"/>
            <w:shd w:fill="FFF2CC"/>
            <w:tcMar>
              <w:top w:w="75" w:type="dxa"/>
              <w:start w:w="50" w:type="dxa"/>
              <w:bottom w:w="75" w:type="dxa"/>
              <w:end w:w="50" w:type="dxa"/>
            </w:tcMar>
          </w:tcPr>
          <w:p>
            <w:pPr>
              <w:jc w:val="center"/>
            </w:pPr>
            <w:r>
              <w:rPr>
                <w:b w:val="0"/>
                <w:sz w:val="15"/>
              </w:rPr>
              <w:t>CSPM / CIEM</w:t>
            </w:r>
          </w:p>
        </w:tc>
        <w:tc>
          <w:tcPr>
            <w:tcW w:type="dxa" w:w="2541"/>
            <w:shd w:fill="FFF2CC"/>
            <w:tcMar>
              <w:top w:w="75" w:type="dxa"/>
              <w:start w:w="50" w:type="dxa"/>
              <w:bottom w:w="75" w:type="dxa"/>
              <w:end w:w="50" w:type="dxa"/>
            </w:tcMar>
          </w:tcPr>
          <w:p>
            <w:pPr>
              <w:jc w:val="center"/>
            </w:pPr>
            <w:r>
              <w:rPr>
                <w:b w:val="0"/>
                <w:sz w:val="15"/>
              </w:rPr>
              <w:t>DevSecOps controls</w:t>
            </w:r>
          </w:p>
        </w:tc>
      </w:tr>
      <w:tr>
        <w:tc>
          <w:tcPr>
            <w:tcW w:type="dxa" w:w="2541"/>
            <w:shd w:fill="FCE4D6"/>
            <w:tcMar>
              <w:top w:w="75" w:type="dxa"/>
              <w:start w:w="50" w:type="dxa"/>
              <w:bottom w:w="75" w:type="dxa"/>
              <w:end w:w="50" w:type="dxa"/>
            </w:tcMar>
          </w:tcPr>
          <w:p>
            <w:pPr>
              <w:jc w:val="center"/>
            </w:pPr>
            <w:r>
              <w:rPr>
                <w:b/>
                <w:sz w:val="15"/>
              </w:rPr>
              <w:t>Central logs</w:t>
            </w:r>
          </w:p>
        </w:tc>
        <w:tc>
          <w:tcPr>
            <w:tcW w:type="dxa" w:w="2541"/>
            <w:shd w:fill="FCE4D6"/>
            <w:tcMar>
              <w:top w:w="75" w:type="dxa"/>
              <w:start w:w="50" w:type="dxa"/>
              <w:bottom w:w="75" w:type="dxa"/>
              <w:end w:w="50" w:type="dxa"/>
            </w:tcMar>
          </w:tcPr>
          <w:p>
            <w:pPr>
              <w:jc w:val="center"/>
            </w:pPr>
            <w:r>
              <w:rPr>
                <w:b/>
                <w:sz w:val="15"/>
              </w:rPr>
              <w:t>SIEM + XDR</w:t>
            </w:r>
          </w:p>
        </w:tc>
        <w:tc>
          <w:tcPr>
            <w:tcW w:type="dxa" w:w="2541"/>
            <w:shd w:fill="FCE4D6"/>
            <w:tcMar>
              <w:top w:w="75" w:type="dxa"/>
              <w:start w:w="50" w:type="dxa"/>
              <w:bottom w:w="75" w:type="dxa"/>
              <w:end w:w="50" w:type="dxa"/>
            </w:tcMar>
          </w:tcPr>
          <w:p>
            <w:pPr>
              <w:jc w:val="center"/>
            </w:pPr>
            <w:r>
              <w:rPr>
                <w:b/>
                <w:sz w:val="15"/>
              </w:rPr>
              <w:t>SOAR playbooks</w:t>
            </w:r>
          </w:p>
        </w:tc>
        <w:tc>
          <w:tcPr>
            <w:tcW w:type="dxa" w:w="2541"/>
            <w:shd w:fill="FCE4D6"/>
            <w:tcMar>
              <w:top w:w="75" w:type="dxa"/>
              <w:start w:w="50" w:type="dxa"/>
              <w:bottom w:w="75" w:type="dxa"/>
              <w:end w:w="50" w:type="dxa"/>
            </w:tcMar>
          </w:tcPr>
          <w:p>
            <w:pPr>
              <w:jc w:val="center"/>
            </w:pPr>
            <w:r>
              <w:rPr>
                <w:b/>
                <w:sz w:val="15"/>
              </w:rPr>
              <w:t>Immutable backup / recovery</w:t>
            </w:r>
          </w:p>
        </w:tc>
      </w:tr>
    </w:tbl>
    <w:p>
      <w:pPr>
        <w:pStyle w:val="CaptionX"/>
        <w:jc w:val="center"/>
      </w:pPr>
      <w:r>
        <w:t>Fig. 2. High-level Zero Trust security architecture. Each request is evaluated through identity, device and contextual policy before reaching a specific resource; telemetry feeds detection and response.</w:t>
      </w:r>
    </w:p>
    <w:p>
      <w:r>
        <w:t>The architecture deliberately avoids treating internal network location as trusted. Identity governance controls joiners, movers, leavers and service identities; phishing-resistant MFA and PAM protect privileged access; ZTNA creates application-specific sessions; and microsegmentation limits workload-to-workload movement. CSPM and cloud entitlement management detect misconfiguration and excessive cloud privileges. SIEM/XDR combines identity, endpoint, cloud and application events, while SOAR may revoke tokens or isolate endpoints. High-impact automation remains subject to tested playbooks and human approval, reflecting Task 1’s warning that unreliable telemetry can cause harmful automated decisions [1], [3], [13], [14].</w:t>
      </w:r>
    </w:p>
    <w:p>
      <w:pPr>
        <w:pStyle w:val="Heading1"/>
        <w:keepNext/>
      </w:pPr>
      <w:r>
        <w:t>6. Work-Stream 5: Strategic Risk Assessment</w:t>
      </w:r>
    </w:p>
    <w:tbl>
      <w:tblPr>
        <w:tblStyle w:val="TableGrid"/>
        <w:tblW w:type="auto" w:w="0"/>
        <w:jc w:val="center"/>
        <w:tblLook w:firstColumn="1" w:firstRow="1" w:lastColumn="0" w:lastRow="0" w:noHBand="0" w:noVBand="1" w:val="04A0"/>
      </w:tblPr>
      <w:tblGrid>
        <w:gridCol w:w="1694"/>
        <w:gridCol w:w="1694"/>
        <w:gridCol w:w="1694"/>
        <w:gridCol w:w="1694"/>
        <w:gridCol w:w="1694"/>
        <w:gridCol w:w="1694"/>
      </w:tblGrid>
      <w:tr>
        <w:trPr>
          <w:tblHeader w:val="true"/>
        </w:trPr>
        <w:tc>
          <w:tcPr>
            <w:tcW w:type="dxa" w:w="1800"/>
            <w:shd w:fill="1F4E79"/>
            <w:vAlign w:val="center"/>
            <w:tcMar>
              <w:top w:w="70" w:type="dxa"/>
              <w:start w:w="70" w:type="dxa"/>
              <w:bottom w:w="70" w:type="dxa"/>
              <w:end w:w="70" w:type="dxa"/>
            </w:tcMar>
          </w:tcPr>
          <w:p>
            <w:pPr>
              <w:jc w:val="center"/>
            </w:pPr>
            <w:r>
              <w:rPr>
                <w:b/>
                <w:color w:val="FFFFFF"/>
                <w:sz w:val="13"/>
              </w:rPr>
              <w:t>Risk</w:t>
            </w:r>
          </w:p>
        </w:tc>
        <w:tc>
          <w:tcPr>
            <w:tcW w:type="dxa" w:w="648"/>
            <w:shd w:fill="1F4E79"/>
            <w:vAlign w:val="center"/>
            <w:tcMar>
              <w:top w:w="70" w:type="dxa"/>
              <w:start w:w="70" w:type="dxa"/>
              <w:bottom w:w="70" w:type="dxa"/>
              <w:end w:w="70" w:type="dxa"/>
            </w:tcMar>
          </w:tcPr>
          <w:p>
            <w:pPr>
              <w:jc w:val="center"/>
            </w:pPr>
            <w:r>
              <w:rPr>
                <w:b/>
                <w:color w:val="FFFFFF"/>
                <w:sz w:val="13"/>
              </w:rPr>
              <w:t>Impact</w:t>
            </w:r>
          </w:p>
        </w:tc>
        <w:tc>
          <w:tcPr>
            <w:tcW w:type="dxa" w:w="792"/>
            <w:shd w:fill="1F4E79"/>
            <w:vAlign w:val="center"/>
            <w:tcMar>
              <w:top w:w="70" w:type="dxa"/>
              <w:start w:w="70" w:type="dxa"/>
              <w:bottom w:w="70" w:type="dxa"/>
              <w:end w:w="70" w:type="dxa"/>
            </w:tcMar>
          </w:tcPr>
          <w:p>
            <w:pPr>
              <w:jc w:val="center"/>
            </w:pPr>
            <w:r>
              <w:rPr>
                <w:b/>
                <w:color w:val="FFFFFF"/>
                <w:sz w:val="13"/>
              </w:rPr>
              <w:t>Likelihood</w:t>
            </w:r>
          </w:p>
        </w:tc>
        <w:tc>
          <w:tcPr>
            <w:tcW w:type="dxa" w:w="792"/>
            <w:shd w:fill="1F4E79"/>
            <w:vAlign w:val="center"/>
            <w:tcMar>
              <w:top w:w="70" w:type="dxa"/>
              <w:start w:w="70" w:type="dxa"/>
              <w:bottom w:w="70" w:type="dxa"/>
              <w:end w:w="70" w:type="dxa"/>
            </w:tcMar>
          </w:tcPr>
          <w:p>
            <w:pPr>
              <w:jc w:val="center"/>
            </w:pPr>
            <w:r>
              <w:rPr>
                <w:b/>
                <w:color w:val="FFFFFF"/>
                <w:sz w:val="13"/>
              </w:rPr>
              <w:t>Rating</w:t>
            </w:r>
          </w:p>
        </w:tc>
        <w:tc>
          <w:tcPr>
            <w:tcW w:type="dxa" w:w="3384"/>
            <w:shd w:fill="1F4E79"/>
            <w:vAlign w:val="center"/>
            <w:tcMar>
              <w:top w:w="70" w:type="dxa"/>
              <w:start w:w="70" w:type="dxa"/>
              <w:bottom w:w="70" w:type="dxa"/>
              <w:end w:w="70" w:type="dxa"/>
            </w:tcMar>
          </w:tcPr>
          <w:p>
            <w:pPr>
              <w:jc w:val="center"/>
            </w:pPr>
            <w:r>
              <w:rPr>
                <w:b/>
                <w:color w:val="FFFFFF"/>
                <w:sz w:val="13"/>
              </w:rPr>
              <w:t>Business effect</w:t>
            </w:r>
          </w:p>
        </w:tc>
        <w:tc>
          <w:tcPr>
            <w:tcW w:type="dxa" w:w="2952"/>
            <w:shd w:fill="1F4E79"/>
            <w:vAlign w:val="center"/>
            <w:tcMar>
              <w:top w:w="70" w:type="dxa"/>
              <w:start w:w="70" w:type="dxa"/>
              <w:bottom w:w="70" w:type="dxa"/>
              <w:end w:w="70" w:type="dxa"/>
            </w:tcMar>
          </w:tcPr>
          <w:p>
            <w:pPr>
              <w:jc w:val="center"/>
            </w:pPr>
            <w:r>
              <w:rPr>
                <w:b/>
                <w:color w:val="FFFFFF"/>
                <w:sz w:val="13"/>
              </w:rPr>
              <w:t>Priority treatment</w:t>
            </w:r>
          </w:p>
        </w:tc>
      </w:tr>
      <w:tr>
        <w:tc>
          <w:tcPr>
            <w:tcW w:type="dxa" w:w="1800"/>
            <w:tcMar>
              <w:top w:w="70" w:type="dxa"/>
              <w:start w:w="70" w:type="dxa"/>
              <w:bottom w:w="70" w:type="dxa"/>
              <w:end w:w="70" w:type="dxa"/>
            </w:tcMar>
            <w:vAlign w:val="top"/>
          </w:tcPr>
          <w:p>
            <w:pPr>
              <w:spacing w:after="0"/>
            </w:pPr>
            <w:r>
              <w:rPr>
                <w:sz w:val="13"/>
              </w:rPr>
              <w:t>Identity compromise and ransomware</w:t>
            </w:r>
          </w:p>
        </w:tc>
        <w:tc>
          <w:tcPr>
            <w:tcW w:type="dxa" w:w="648"/>
            <w:tcMar>
              <w:top w:w="70" w:type="dxa"/>
              <w:start w:w="70" w:type="dxa"/>
              <w:bottom w:w="70" w:type="dxa"/>
              <w:end w:w="70" w:type="dxa"/>
            </w:tcMar>
            <w:vAlign w:val="top"/>
          </w:tcPr>
          <w:p>
            <w:pPr>
              <w:spacing w:after="0"/>
            </w:pPr>
            <w:r>
              <w:rPr>
                <w:sz w:val="13"/>
              </w:rPr>
              <w:t>5</w:t>
            </w:r>
          </w:p>
        </w:tc>
        <w:tc>
          <w:tcPr>
            <w:tcW w:type="dxa" w:w="792"/>
            <w:tcMar>
              <w:top w:w="70" w:type="dxa"/>
              <w:start w:w="70" w:type="dxa"/>
              <w:bottom w:w="70" w:type="dxa"/>
              <w:end w:w="70" w:type="dxa"/>
            </w:tcMar>
            <w:vAlign w:val="top"/>
          </w:tcPr>
          <w:p>
            <w:pPr>
              <w:spacing w:after="0"/>
            </w:pPr>
            <w:r>
              <w:rPr>
                <w:sz w:val="13"/>
              </w:rPr>
              <w:t>4</w:t>
            </w:r>
          </w:p>
        </w:tc>
        <w:tc>
          <w:tcPr>
            <w:tcW w:type="dxa" w:w="792"/>
            <w:tcMar>
              <w:top w:w="70" w:type="dxa"/>
              <w:start w:w="70" w:type="dxa"/>
              <w:bottom w:w="70" w:type="dxa"/>
              <w:end w:w="70" w:type="dxa"/>
            </w:tcMar>
            <w:vAlign w:val="top"/>
          </w:tcPr>
          <w:p>
            <w:pPr>
              <w:spacing w:after="0"/>
            </w:pPr>
            <w:r>
              <w:rPr>
                <w:sz w:val="13"/>
              </w:rPr>
              <w:t>Critical</w:t>
            </w:r>
          </w:p>
        </w:tc>
        <w:tc>
          <w:tcPr>
            <w:tcW w:type="dxa" w:w="3384"/>
            <w:tcMar>
              <w:top w:w="70" w:type="dxa"/>
              <w:start w:w="70" w:type="dxa"/>
              <w:bottom w:w="70" w:type="dxa"/>
              <w:end w:w="70" w:type="dxa"/>
            </w:tcMar>
            <w:vAlign w:val="top"/>
          </w:tcPr>
          <w:p>
            <w:pPr>
              <w:spacing w:after="0"/>
            </w:pPr>
            <w:r>
              <w:rPr>
                <w:sz w:val="13"/>
              </w:rPr>
              <w:t>Stolen credentials or legacy accounts allow initial access, privilege escalation and encryption or theft. Funding, operations and regulatory trust may be affected.</w:t>
            </w:r>
          </w:p>
        </w:tc>
        <w:tc>
          <w:tcPr>
            <w:tcW w:type="dxa" w:w="2952"/>
            <w:tcMar>
              <w:top w:w="70" w:type="dxa"/>
              <w:start w:w="70" w:type="dxa"/>
              <w:bottom w:w="70" w:type="dxa"/>
              <w:end w:w="70" w:type="dxa"/>
            </w:tcMar>
            <w:vAlign w:val="top"/>
          </w:tcPr>
          <w:p>
            <w:pPr>
              <w:spacing w:after="0"/>
            </w:pPr>
            <w:r>
              <w:rPr>
                <w:sz w:val="13"/>
              </w:rPr>
              <w:t>Phishing-resistant MFA; IGA/PAM; disable dormant identities; EDR/XDR; segmentation; immutable backups.</w:t>
            </w:r>
          </w:p>
        </w:tc>
      </w:tr>
      <w:tr>
        <w:tc>
          <w:tcPr>
            <w:tcW w:type="dxa" w:w="1800"/>
            <w:tcMar>
              <w:top w:w="70" w:type="dxa"/>
              <w:start w:w="70" w:type="dxa"/>
              <w:bottom w:w="70" w:type="dxa"/>
              <w:end w:w="70" w:type="dxa"/>
            </w:tcMar>
            <w:vAlign w:val="top"/>
          </w:tcPr>
          <w:p>
            <w:pPr>
              <w:spacing w:after="0"/>
            </w:pPr>
            <w:r>
              <w:rPr>
                <w:sz w:val="13"/>
              </w:rPr>
              <w:t>Cloud misconfiguration / excessive privilege</w:t>
            </w:r>
          </w:p>
        </w:tc>
        <w:tc>
          <w:tcPr>
            <w:tcW w:type="dxa" w:w="648"/>
            <w:tcMar>
              <w:top w:w="70" w:type="dxa"/>
              <w:start w:w="70" w:type="dxa"/>
              <w:bottom w:w="70" w:type="dxa"/>
              <w:end w:w="70" w:type="dxa"/>
            </w:tcMar>
            <w:vAlign w:val="top"/>
          </w:tcPr>
          <w:p>
            <w:pPr>
              <w:spacing w:after="0"/>
            </w:pPr>
            <w:r>
              <w:rPr>
                <w:sz w:val="13"/>
              </w:rPr>
              <w:t>5</w:t>
            </w:r>
          </w:p>
        </w:tc>
        <w:tc>
          <w:tcPr>
            <w:tcW w:type="dxa" w:w="792"/>
            <w:tcMar>
              <w:top w:w="70" w:type="dxa"/>
              <w:start w:w="70" w:type="dxa"/>
              <w:bottom w:w="70" w:type="dxa"/>
              <w:end w:w="70" w:type="dxa"/>
            </w:tcMar>
            <w:vAlign w:val="top"/>
          </w:tcPr>
          <w:p>
            <w:pPr>
              <w:spacing w:after="0"/>
            </w:pPr>
            <w:r>
              <w:rPr>
                <w:sz w:val="13"/>
              </w:rPr>
              <w:t>4</w:t>
            </w:r>
          </w:p>
        </w:tc>
        <w:tc>
          <w:tcPr>
            <w:tcW w:type="dxa" w:w="792"/>
            <w:tcMar>
              <w:top w:w="70" w:type="dxa"/>
              <w:start w:w="70" w:type="dxa"/>
              <w:bottom w:w="70" w:type="dxa"/>
              <w:end w:w="70" w:type="dxa"/>
            </w:tcMar>
            <w:vAlign w:val="top"/>
          </w:tcPr>
          <w:p>
            <w:pPr>
              <w:spacing w:after="0"/>
            </w:pPr>
            <w:r>
              <w:rPr>
                <w:sz w:val="13"/>
              </w:rPr>
              <w:t>Critical</w:t>
            </w:r>
          </w:p>
        </w:tc>
        <w:tc>
          <w:tcPr>
            <w:tcW w:type="dxa" w:w="3384"/>
            <w:tcMar>
              <w:top w:w="70" w:type="dxa"/>
              <w:start w:w="70" w:type="dxa"/>
              <w:bottom w:w="70" w:type="dxa"/>
              <w:end w:w="70" w:type="dxa"/>
            </w:tcMar>
            <w:vAlign w:val="top"/>
          </w:tcPr>
          <w:p>
            <w:pPr>
              <w:spacing w:after="0"/>
            </w:pPr>
            <w:r>
              <w:rPr>
                <w:sz w:val="13"/>
              </w:rPr>
              <w:t>Public storage, exposed secrets or broad IAM roles could disclose customer and model data or enable destructive changes.</w:t>
            </w:r>
          </w:p>
        </w:tc>
        <w:tc>
          <w:tcPr>
            <w:tcW w:type="dxa" w:w="2952"/>
            <w:tcMar>
              <w:top w:w="70" w:type="dxa"/>
              <w:start w:w="70" w:type="dxa"/>
              <w:bottom w:w="70" w:type="dxa"/>
              <w:end w:w="70" w:type="dxa"/>
            </w:tcMar>
            <w:vAlign w:val="top"/>
          </w:tcPr>
          <w:p>
            <w:pPr>
              <w:spacing w:after="0"/>
            </w:pPr>
            <w:r>
              <w:rPr>
                <w:sz w:val="13"/>
              </w:rPr>
              <w:t>Secure landing zones; infrastructure as code; CSPM/CIEM; secrets vault; peer review; continuous policy checks.</w:t>
            </w:r>
          </w:p>
        </w:tc>
      </w:tr>
      <w:tr>
        <w:tc>
          <w:tcPr>
            <w:tcW w:type="dxa" w:w="1800"/>
            <w:tcMar>
              <w:top w:w="70" w:type="dxa"/>
              <w:start w:w="70" w:type="dxa"/>
              <w:bottom w:w="70" w:type="dxa"/>
              <w:end w:w="70" w:type="dxa"/>
            </w:tcMar>
            <w:vAlign w:val="top"/>
          </w:tcPr>
          <w:p>
            <w:pPr>
              <w:spacing w:after="0"/>
            </w:pPr>
            <w:r>
              <w:rPr>
                <w:sz w:val="13"/>
              </w:rPr>
              <w:t>Third-party or software supply-chain compromise</w:t>
            </w:r>
          </w:p>
        </w:tc>
        <w:tc>
          <w:tcPr>
            <w:tcW w:type="dxa" w:w="648"/>
            <w:tcMar>
              <w:top w:w="70" w:type="dxa"/>
              <w:start w:w="70" w:type="dxa"/>
              <w:bottom w:w="70" w:type="dxa"/>
              <w:end w:w="70" w:type="dxa"/>
            </w:tcMar>
            <w:vAlign w:val="top"/>
          </w:tcPr>
          <w:p>
            <w:pPr>
              <w:spacing w:after="0"/>
            </w:pPr>
            <w:r>
              <w:rPr>
                <w:sz w:val="13"/>
              </w:rPr>
              <w:t>5</w:t>
            </w:r>
          </w:p>
        </w:tc>
        <w:tc>
          <w:tcPr>
            <w:tcW w:type="dxa" w:w="792"/>
            <w:tcMar>
              <w:top w:w="70" w:type="dxa"/>
              <w:start w:w="70" w:type="dxa"/>
              <w:bottom w:w="70" w:type="dxa"/>
              <w:end w:w="70" w:type="dxa"/>
            </w:tcMar>
            <w:vAlign w:val="top"/>
          </w:tcPr>
          <w:p>
            <w:pPr>
              <w:spacing w:after="0"/>
            </w:pPr>
            <w:r>
              <w:rPr>
                <w:sz w:val="13"/>
              </w:rPr>
              <w:t>3</w:t>
            </w:r>
          </w:p>
        </w:tc>
        <w:tc>
          <w:tcPr>
            <w:tcW w:type="dxa" w:w="792"/>
            <w:tcMar>
              <w:top w:w="70" w:type="dxa"/>
              <w:start w:w="70" w:type="dxa"/>
              <w:bottom w:w="70" w:type="dxa"/>
              <w:end w:w="70" w:type="dxa"/>
            </w:tcMar>
            <w:vAlign w:val="top"/>
          </w:tcPr>
          <w:p>
            <w:pPr>
              <w:spacing w:after="0"/>
            </w:pPr>
            <w:r>
              <w:rPr>
                <w:sz w:val="13"/>
              </w:rPr>
              <w:t>High</w:t>
            </w:r>
          </w:p>
        </w:tc>
        <w:tc>
          <w:tcPr>
            <w:tcW w:type="dxa" w:w="3384"/>
            <w:tcMar>
              <w:top w:w="70" w:type="dxa"/>
              <w:start w:w="70" w:type="dxa"/>
              <w:bottom w:w="70" w:type="dxa"/>
              <w:end w:w="70" w:type="dxa"/>
            </w:tcMar>
            <w:vAlign w:val="top"/>
          </w:tcPr>
          <w:p>
            <w:pPr>
              <w:spacing w:after="0"/>
            </w:pPr>
            <w:r>
              <w:rPr>
                <w:sz w:val="13"/>
              </w:rPr>
              <w:t>A critical SaaS, library or managed provider may provide an indirect route into Aegis or interrupt an important function.</w:t>
            </w:r>
          </w:p>
        </w:tc>
        <w:tc>
          <w:tcPr>
            <w:tcW w:type="dxa" w:w="2952"/>
            <w:tcMar>
              <w:top w:w="70" w:type="dxa"/>
              <w:start w:w="70" w:type="dxa"/>
              <w:bottom w:w="70" w:type="dxa"/>
              <w:end w:w="70" w:type="dxa"/>
            </w:tcMar>
            <w:vAlign w:val="top"/>
          </w:tcPr>
          <w:p>
            <w:pPr>
              <w:spacing w:after="0"/>
            </w:pPr>
            <w:r>
              <w:rPr>
                <w:sz w:val="13"/>
              </w:rPr>
              <w:t>Tiering and due diligence; SBOM/SCA; contract controls; provider monitoring; segmentation; exit and substitution plans.</w:t>
            </w:r>
          </w:p>
        </w:tc>
      </w:tr>
    </w:tbl>
    <w:p>
      <w:pPr>
        <w:pStyle w:val="CaptionX"/>
        <w:jc w:val="center"/>
      </w:pPr>
      <w:r>
        <w:t>Table II. Strategic risk register (1 = low, 5 = severe).</w:t>
      </w:r>
    </w:p>
    <w:p>
      <w:r>
        <w:t>The first risk is prioritised because Task 1 showed that attackers frequently operate through apparently legitimate identities and that one unprotected legacy account can create disproportionate impact [7]-[9]. Risk owners must report residual risk quarterly, with exceptions given a named owner and expiry date.</w:t>
      </w:r>
    </w:p>
    <w:p>
      <w:pPr>
        <w:pStyle w:val="Heading1"/>
        <w:keepNext/>
      </w:pPr>
      <w:r>
        <w:t>7. Work-Stream 6: Ransomware Response and Business Continuity</w:t>
      </w:r>
    </w:p>
    <w:p>
      <w:r>
        <w:t>The playbook must assume a double-extortion event in which systems are disrupted and data may also be stolen. It will be exercised at least twice per year and after major platform changes.</w:t>
      </w:r>
    </w:p>
    <w:p>
      <w:r>
        <w:rPr>
          <w:b/>
        </w:rPr>
        <w:t xml:space="preserve">1. Detect and declare. </w:t>
      </w:r>
      <w:r>
        <w:t>Correlate identity, endpoint, cloud and application alerts. The Security Operations Lead opens an incident record, preserves timestamps and appoints an incident commander.</w:t>
      </w:r>
    </w:p>
    <w:p>
      <w:r>
        <w:rPr>
          <w:b/>
        </w:rPr>
        <w:t xml:space="preserve">2. Contain. </w:t>
      </w:r>
      <w:r>
        <w:t>Isolate affected endpoints and cloud workloads, revoke tokens, disable compromised identities, block malicious infrastructure and suspend risky integrations. Business-critical containment actions require incident-command approval.</w:t>
      </w:r>
    </w:p>
    <w:p>
      <w:r>
        <w:rPr>
          <w:b/>
        </w:rPr>
        <w:t xml:space="preserve">3. Preserve evidence and assess exposure. </w:t>
      </w:r>
      <w:r>
        <w:t>Capture volatile evidence, logs, ransom notes and affected account activity. The DPO and Legal assess whether personal data was accessed and whether GDPR or DORA reporting thresholds are met.</w:t>
      </w:r>
    </w:p>
    <w:p>
      <w:r>
        <w:rPr>
          <w:b/>
        </w:rPr>
        <w:t xml:space="preserve">4. Communicate. </w:t>
      </w:r>
      <w:r>
        <w:t>Use an out-of-band channel. The CEO leads board, investor and customer messaging; Legal/DPO manage regulators; HR handles staff instructions; only nominated spokespeople communicate externally. No payment decision is made by the technical team.</w:t>
      </w:r>
    </w:p>
    <w:p>
      <w:r>
        <w:rPr>
          <w:b/>
        </w:rPr>
        <w:t xml:space="preserve">5. Eradicate and restore. </w:t>
      </w:r>
      <w:r>
        <w:t>Remove persistence, rebuild from trusted images, rotate credentials and keys, then restore clean data from offline or immutable backups. Recovery follows business-impact priorities and defined recovery time and recovery point objectives.</w:t>
      </w:r>
    </w:p>
    <w:p>
      <w:r>
        <w:rPr>
          <w:b/>
        </w:rPr>
        <w:t xml:space="preserve">6. Validate and learn. </w:t>
      </w:r>
      <w:r>
        <w:t>Security validates identity, segmentation and monitoring before services return. A post-incident review records root cause, control failure, regulatory actions, cost and lessons, and updates the risk register and playbooks.</w:t>
      </w:r>
    </w:p>
    <w:p>
      <w:r>
        <w:t>Backups must use separate administrative identities, write-once or object-lock controls, encryption and routine restoration tests. This counters lateral movement into recovery systems and supports the resilience concerns identified in Task 1. The organisation should measure recovery success by tested restoration time and data integrity, not by the existence of backup jobs alone.</w:t>
      </w:r>
    </w:p>
    <w:p>
      <w:pPr>
        <w:pStyle w:val="Heading1"/>
        <w:keepNext/>
      </w:pPr>
      <w:r>
        <w:t>8. Work-Stream 7: Governance and Strategic Roadmap</w:t>
      </w:r>
    </w:p>
    <w:p>
      <w:pPr>
        <w:pStyle w:val="Heading2"/>
      </w:pPr>
      <w:r>
        <w:t>8.1 Cyber Security Steering Committee</w:t>
      </w:r>
    </w:p>
    <w:p>
      <w:r>
        <w:t>The committee should meet monthly for the first year and quarterly thereafter. Permanent members are the CEO (chair and risk acceptance), CISO (secretary and programme owner), CTO (architecture and engineering), CFO (budget and financial impact), Head of Legal/DPO (regulatory and privacy advice), COO (business continuity), Head of Product/AI (model and customer risk), and Procurement lead (supplier risk). The committee approves policy, risk appetite, major exceptions, critical suppliers and response priorities. The CISO provides a concise dashboard covering critical risks, incidents, control coverage, overdue actions and regulatory readiness.</w:t>
      </w:r>
    </w:p>
    <w:p>
      <w:pPr>
        <w:pStyle w:val="Heading2"/>
      </w:pPr>
      <w:r>
        <w:t>8.2 Twelve-Month Roadmap</w:t>
      </w:r>
    </w:p>
    <w:tbl>
      <w:tblPr>
        <w:tblStyle w:val="TableGrid"/>
        <w:tblW w:type="auto" w:w="0"/>
        <w:jc w:val="center"/>
        <w:tblLook w:firstColumn="1" w:firstRow="1" w:lastColumn="0" w:lastRow="0" w:noHBand="0" w:noVBand="1" w:val="04A0"/>
      </w:tblPr>
      <w:tblGrid>
        <w:gridCol w:w="3389"/>
        <w:gridCol w:w="3389"/>
        <w:gridCol w:w="3389"/>
      </w:tblGrid>
      <w:tr>
        <w:trPr>
          <w:tblHeader w:val="true"/>
        </w:trPr>
        <w:tc>
          <w:tcPr>
            <w:tcW w:type="dxa" w:w="1944"/>
            <w:shd w:fill="1F4E79"/>
            <w:vAlign w:val="center"/>
            <w:tcMar>
              <w:top w:w="70" w:type="dxa"/>
              <w:start w:w="70" w:type="dxa"/>
              <w:bottom w:w="70" w:type="dxa"/>
              <w:end w:w="70" w:type="dxa"/>
            </w:tcMar>
          </w:tcPr>
          <w:p>
            <w:pPr>
              <w:jc w:val="center"/>
            </w:pPr>
            <w:r>
              <w:rPr>
                <w:b/>
                <w:color w:val="FFFFFF"/>
                <w:sz w:val="14"/>
              </w:rPr>
              <w:t>Period and priority</w:t>
            </w:r>
          </w:p>
        </w:tc>
        <w:tc>
          <w:tcPr>
            <w:tcW w:type="dxa" w:w="5400"/>
            <w:shd w:fill="1F4E79"/>
            <w:vAlign w:val="center"/>
            <w:tcMar>
              <w:top w:w="70" w:type="dxa"/>
              <w:start w:w="70" w:type="dxa"/>
              <w:bottom w:w="70" w:type="dxa"/>
              <w:end w:w="70" w:type="dxa"/>
            </w:tcMar>
          </w:tcPr>
          <w:p>
            <w:pPr>
              <w:jc w:val="center"/>
            </w:pPr>
            <w:r>
              <w:rPr>
                <w:b/>
                <w:color w:val="FFFFFF"/>
                <w:sz w:val="14"/>
              </w:rPr>
              <w:t>Key deliverables</w:t>
            </w:r>
          </w:p>
        </w:tc>
        <w:tc>
          <w:tcPr>
            <w:tcW w:type="dxa" w:w="3456"/>
            <w:shd w:fill="1F4E79"/>
            <w:vAlign w:val="center"/>
            <w:tcMar>
              <w:top w:w="70" w:type="dxa"/>
              <w:start w:w="70" w:type="dxa"/>
              <w:bottom w:w="70" w:type="dxa"/>
              <w:end w:w="70" w:type="dxa"/>
            </w:tcMar>
          </w:tcPr>
          <w:p>
            <w:pPr>
              <w:jc w:val="center"/>
            </w:pPr>
            <w:r>
              <w:rPr>
                <w:b/>
                <w:color w:val="FFFFFF"/>
                <w:sz w:val="14"/>
              </w:rPr>
              <w:t>Success measures</w:t>
            </w:r>
          </w:p>
        </w:tc>
      </w:tr>
      <w:tr>
        <w:tc>
          <w:tcPr>
            <w:tcW w:type="dxa" w:w="1944"/>
            <w:tcMar>
              <w:top w:w="70" w:type="dxa"/>
              <w:start w:w="70" w:type="dxa"/>
              <w:bottom w:w="70" w:type="dxa"/>
              <w:end w:w="70" w:type="dxa"/>
            </w:tcMar>
            <w:vAlign w:val="top"/>
          </w:tcPr>
          <w:p>
            <w:pPr>
              <w:spacing w:after="0"/>
            </w:pPr>
            <w:r>
              <w:rPr>
                <w:sz w:val="14"/>
              </w:rPr>
              <w:t>Q1: Establish and reduce immediate exposure</w:t>
            </w:r>
          </w:p>
        </w:tc>
        <w:tc>
          <w:tcPr>
            <w:tcW w:type="dxa" w:w="5400"/>
            <w:tcMar>
              <w:top w:w="70" w:type="dxa"/>
              <w:start w:w="70" w:type="dxa"/>
              <w:bottom w:w="70" w:type="dxa"/>
              <w:end w:w="70" w:type="dxa"/>
            </w:tcMar>
            <w:vAlign w:val="top"/>
          </w:tcPr>
          <w:p>
            <w:pPr>
              <w:spacing w:after="0"/>
            </w:pPr>
            <w:r>
              <w:rPr>
                <w:sz w:val="14"/>
              </w:rPr>
              <w:t>Recruit CISO leads; appoint MSSP; inventory assets/data/identities/vendors; enforce MFA for privileged and workforce accounts; secure backup administration; approve core policies.</w:t>
            </w:r>
          </w:p>
        </w:tc>
        <w:tc>
          <w:tcPr>
            <w:tcW w:type="dxa" w:w="3456"/>
            <w:tcMar>
              <w:top w:w="70" w:type="dxa"/>
              <w:start w:w="70" w:type="dxa"/>
              <w:bottom w:w="70" w:type="dxa"/>
              <w:end w:w="70" w:type="dxa"/>
            </w:tcMar>
            <w:vAlign w:val="top"/>
          </w:tcPr>
          <w:p>
            <w:pPr>
              <w:spacing w:after="0"/>
            </w:pPr>
            <w:r>
              <w:rPr>
                <w:sz w:val="14"/>
              </w:rPr>
              <w:t>100% privileged accounts on phishing-resistant MFA; 95% known assets assigned an owner; critical backups restore-tested.</w:t>
            </w:r>
          </w:p>
        </w:tc>
      </w:tr>
      <w:tr>
        <w:tc>
          <w:tcPr>
            <w:tcW w:type="dxa" w:w="1944"/>
            <w:tcMar>
              <w:top w:w="70" w:type="dxa"/>
              <w:start w:w="70" w:type="dxa"/>
              <w:bottom w:w="70" w:type="dxa"/>
              <w:end w:w="70" w:type="dxa"/>
            </w:tcMar>
            <w:vAlign w:val="top"/>
          </w:tcPr>
          <w:p>
            <w:pPr>
              <w:spacing w:after="0"/>
            </w:pPr>
            <w:r>
              <w:rPr>
                <w:sz w:val="14"/>
              </w:rPr>
              <w:t>Q2: Build Zero Trust foundations</w:t>
            </w:r>
          </w:p>
        </w:tc>
        <w:tc>
          <w:tcPr>
            <w:tcW w:type="dxa" w:w="5400"/>
            <w:tcMar>
              <w:top w:w="70" w:type="dxa"/>
              <w:start w:w="70" w:type="dxa"/>
              <w:bottom w:w="70" w:type="dxa"/>
              <w:end w:w="70" w:type="dxa"/>
            </w:tcMar>
            <w:vAlign w:val="top"/>
          </w:tcPr>
          <w:p>
            <w:pPr>
              <w:spacing w:after="0"/>
            </w:pPr>
            <w:r>
              <w:rPr>
                <w:sz w:val="14"/>
              </w:rPr>
              <w:t>Deploy IGA joiner/mover/leaver controls, PAM pilot, ZTNA for remote access, CSPM, secure cloud baseline and DevSecOps scanning; complete GDPR/DORA gap and DPIAs.</w:t>
            </w:r>
          </w:p>
        </w:tc>
        <w:tc>
          <w:tcPr>
            <w:tcW w:type="dxa" w:w="3456"/>
            <w:tcMar>
              <w:top w:w="70" w:type="dxa"/>
              <w:start w:w="70" w:type="dxa"/>
              <w:bottom w:w="70" w:type="dxa"/>
              <w:end w:w="70" w:type="dxa"/>
            </w:tcMar>
            <w:vAlign w:val="top"/>
          </w:tcPr>
          <w:p>
            <w:pPr>
              <w:spacing w:after="0"/>
            </w:pPr>
            <w:r>
              <w:rPr>
                <w:sz w:val="14"/>
              </w:rPr>
              <w:t>90% workforce apps behind SSO; critical cloud misconfigurations remediated within 48 hours; 100% critical processing assessed.</w:t>
            </w:r>
          </w:p>
        </w:tc>
      </w:tr>
      <w:tr>
        <w:tc>
          <w:tcPr>
            <w:tcW w:type="dxa" w:w="1944"/>
            <w:tcMar>
              <w:top w:w="70" w:type="dxa"/>
              <w:start w:w="70" w:type="dxa"/>
              <w:bottom w:w="70" w:type="dxa"/>
              <w:end w:w="70" w:type="dxa"/>
            </w:tcMar>
            <w:vAlign w:val="top"/>
          </w:tcPr>
          <w:p>
            <w:pPr>
              <w:spacing w:after="0"/>
            </w:pPr>
            <w:r>
              <w:rPr>
                <w:sz w:val="14"/>
              </w:rPr>
              <w:t>Q3: Detect, segment and assure suppliers</w:t>
            </w:r>
          </w:p>
        </w:tc>
        <w:tc>
          <w:tcPr>
            <w:tcW w:type="dxa" w:w="5400"/>
            <w:tcMar>
              <w:top w:w="70" w:type="dxa"/>
              <w:start w:w="70" w:type="dxa"/>
              <w:bottom w:w="70" w:type="dxa"/>
              <w:end w:w="70" w:type="dxa"/>
            </w:tcMar>
            <w:vAlign w:val="top"/>
          </w:tcPr>
          <w:p>
            <w:pPr>
              <w:spacing w:after="0"/>
            </w:pPr>
            <w:r>
              <w:rPr>
                <w:sz w:val="14"/>
              </w:rPr>
              <w:t>Centralise priority logs; deploy XDR/SIEM use cases; microsegment production and backups; assess critical suppliers; run ransomware tabletop and provider-failure exercise.</w:t>
            </w:r>
          </w:p>
        </w:tc>
        <w:tc>
          <w:tcPr>
            <w:tcW w:type="dxa" w:w="3456"/>
            <w:tcMar>
              <w:top w:w="70" w:type="dxa"/>
              <w:start w:w="70" w:type="dxa"/>
              <w:bottom w:w="70" w:type="dxa"/>
              <w:end w:w="70" w:type="dxa"/>
            </w:tcMar>
            <w:vAlign w:val="top"/>
          </w:tcPr>
          <w:p>
            <w:pPr>
              <w:spacing w:after="0"/>
            </w:pPr>
            <w:r>
              <w:rPr>
                <w:sz w:val="14"/>
              </w:rPr>
              <w:t>Critical log coverage above 90%; mean time to contain under four hours in exercise; all critical vendors assessed.</w:t>
            </w:r>
          </w:p>
        </w:tc>
      </w:tr>
      <w:tr>
        <w:tc>
          <w:tcPr>
            <w:tcW w:type="dxa" w:w="1944"/>
            <w:tcMar>
              <w:top w:w="70" w:type="dxa"/>
              <w:start w:w="70" w:type="dxa"/>
              <w:bottom w:w="70" w:type="dxa"/>
              <w:end w:w="70" w:type="dxa"/>
            </w:tcMar>
            <w:vAlign w:val="top"/>
          </w:tcPr>
          <w:p>
            <w:pPr>
              <w:spacing w:after="0"/>
            </w:pPr>
            <w:r>
              <w:rPr>
                <w:sz w:val="14"/>
              </w:rPr>
              <w:t>Q4: Prove resilience and launch readiness</w:t>
            </w:r>
          </w:p>
        </w:tc>
        <w:tc>
          <w:tcPr>
            <w:tcW w:type="dxa" w:w="5400"/>
            <w:tcMar>
              <w:top w:w="70" w:type="dxa"/>
              <w:start w:w="70" w:type="dxa"/>
              <w:bottom w:w="70" w:type="dxa"/>
              <w:end w:w="70" w:type="dxa"/>
            </w:tcMar>
            <w:vAlign w:val="top"/>
          </w:tcPr>
          <w:p>
            <w:pPr>
              <w:spacing w:after="0"/>
            </w:pPr>
            <w:r>
              <w:rPr>
                <w:sz w:val="14"/>
              </w:rPr>
              <w:t>Tune SOAR playbooks; conduct independent penetration test and internal compliance audit; close high findings; perform full restoration exercise; board EU go-live review.</w:t>
            </w:r>
          </w:p>
        </w:tc>
        <w:tc>
          <w:tcPr>
            <w:tcW w:type="dxa" w:w="3456"/>
            <w:tcMar>
              <w:top w:w="70" w:type="dxa"/>
              <w:start w:w="70" w:type="dxa"/>
              <w:bottom w:w="70" w:type="dxa"/>
              <w:end w:w="70" w:type="dxa"/>
            </w:tcMar>
            <w:vAlign w:val="top"/>
          </w:tcPr>
          <w:p>
            <w:pPr>
              <w:spacing w:after="0"/>
            </w:pPr>
            <w:r>
              <w:rPr>
                <w:sz w:val="14"/>
              </w:rPr>
              <w:t>No overdue critical findings; recovery objectives achieved; board accepts residual risk; GDPR/DORA evidence pack complete.</w:t>
            </w:r>
          </w:p>
        </w:tc>
      </w:tr>
    </w:tbl>
    <w:p>
      <w:pPr>
        <w:pStyle w:val="CaptionX"/>
        <w:jc w:val="center"/>
      </w:pPr>
      <w:r>
        <w:t>Table III. Twelve-month implementation roadmap and KPIs.</w:t>
      </w:r>
    </w:p>
    <w:p>
      <w:r>
        <w:t>Additional board KPIs should include percentage of excessive privileges removed, leaver accounts disabled within four hours, critical vulnerabilities fixed within agreed service levels, phishing-resistant MFA coverage, tested backup restoration success, high-risk suppliers with current assessments, and mean time to detect and contain incidents. These outcome measures follow Task 1’s recommendation to judge Zero Trust by reduced access risk and incident impact rather than by the number of products purchased.</w:t>
      </w:r>
    </w:p>
    <w:p>
      <w:pPr>
        <w:pStyle w:val="Heading1"/>
        <w:keepNext/>
      </w:pPr>
      <w:r>
        <w:t>9. Conclusion and Recommendations</w:t>
      </w:r>
    </w:p>
    <w:p>
      <w:r>
        <w:t>Aegis FinTech should approve the proposed security unit and 12-month roadmap as a business-enablement programme for EU expansion and Series B assurance. The immediate priorities are identity hardening, a reliable asset and data baseline, secure cloud configuration, protected recovery systems and formal supplier governance. NIST CSF 2.0 provides an executive risk structure, while NIST SP 800-207 and the CISA maturity model guide the Zero Trust implementation [1], [3], [17].</w:t>
      </w:r>
    </w:p>
    <w:p>
      <w:r>
        <w:t>The board should avoid declaring Zero Trust complete after deploying ZTNA or MFA. Task 1 demonstrated that inconsistent legacy controls, poor permission governance and weak telemetry can undermine the whole design [4]-[7]. Progress should therefore be phased, evidenced and tested. By month 12, Aegis should be able to show regulators, investors and customers that access is explicitly controlled, incidents are detectable, critical services can be restored, third-party dependencies are understood and senior management actively owns ICT risk.</w:t>
      </w:r>
    </w:p>
    <w:p>
      <w:pPr>
        <w:pStyle w:val="Heading1"/>
        <w:keepNext/>
      </w:pPr>
      <w:r>
        <w:t>References</w:t>
      </w:r>
    </w:p>
    <w:p>
      <w:pPr>
        <w:pStyle w:val="Small"/>
        <w:ind w:left="288" w:hanging="288"/>
      </w:pPr>
      <w:r>
        <w:t>[1] S. Rose, O. Borchert, S. Mitchell and S. Connelly, “Zero Trust Architecture,” NIST SP 800-207, Aug. 2020.</w:t>
      </w:r>
    </w:p>
    <w:p>
      <w:pPr>
        <w:pStyle w:val="Small"/>
        <w:ind w:left="288" w:hanging="288"/>
      </w:pPr>
      <w:r>
        <w:t>[2] N. F. Syed et al., “Zero Trust Architecture (ZTA): A Comprehensive Survey,” IEEE Access, vol. 10, pp. 57143-57179, 2022.</w:t>
      </w:r>
    </w:p>
    <w:p>
      <w:pPr>
        <w:pStyle w:val="Small"/>
        <w:ind w:left="288" w:hanging="288"/>
      </w:pPr>
      <w:r>
        <w:t>[3] Cybersecurity and Infrastructure Security Agency, “Zero Trust Maturity Model, Version 2.0,” Apr. 2023.</w:t>
      </w:r>
    </w:p>
    <w:p>
      <w:pPr>
        <w:pStyle w:val="Small"/>
        <w:ind w:left="288" w:hanging="288"/>
      </w:pPr>
      <w:r>
        <w:t>[4] W. Yeoh, M. Liu, M. Shore and F. Jiang, “Zero trust cybersecurity: Critical success factors and a maturity assessment framework,” Computers &amp; Security, vol. 133, 2023.</w:t>
      </w:r>
    </w:p>
    <w:p>
      <w:pPr>
        <w:pStyle w:val="Small"/>
        <w:ind w:left="288" w:hanging="288"/>
      </w:pPr>
      <w:r>
        <w:t>[5] L. Ferretti et al., “Survivable zero trust for cloud computing environments,” Computers &amp; Security, vol. 110, 2021.</w:t>
      </w:r>
    </w:p>
    <w:p>
      <w:pPr>
        <w:pStyle w:val="Small"/>
        <w:ind w:left="288" w:hanging="288"/>
      </w:pPr>
      <w:r>
        <w:t>[6] P. Phiayura and S. Teerakanok, “A comprehensive framework for migrating to zero trust architecture,” IEEE Access, vol. 11, pp. 19487-19511, 2023.</w:t>
      </w:r>
    </w:p>
    <w:p>
      <w:pPr>
        <w:pStyle w:val="Small"/>
        <w:ind w:left="288" w:hanging="288"/>
      </w:pPr>
      <w:r>
        <w:t>[7] Microsoft Security, “Midnight Blizzard: Guidance for responders on nation-state attack,” Jan. 25, 2024.</w:t>
      </w:r>
    </w:p>
    <w:p>
      <w:pPr>
        <w:pStyle w:val="Small"/>
        <w:ind w:left="288" w:hanging="288"/>
      </w:pPr>
      <w:r>
        <w:t>[8] Verizon Business, “2025 Data Breach Investigations Report,” 2025.</w:t>
      </w:r>
    </w:p>
    <w:p>
      <w:pPr>
        <w:pStyle w:val="Small"/>
        <w:ind w:left="288" w:hanging="288"/>
      </w:pPr>
      <w:r>
        <w:t>[9] IBM X-Force, “X-Force Threat Intelligence Index 2025,” 2025.</w:t>
      </w:r>
    </w:p>
    <w:p>
      <w:pPr>
        <w:pStyle w:val="Small"/>
        <w:ind w:left="288" w:hanging="288"/>
      </w:pPr>
      <w:r>
        <w:t>[10] Google Cloud, “BeyondCorp: Zero Trust Enterprise Security.”</w:t>
      </w:r>
    </w:p>
    <w:p>
      <w:pPr>
        <w:pStyle w:val="Small"/>
        <w:ind w:left="288" w:hanging="288"/>
      </w:pPr>
      <w:r>
        <w:t>[11] Z. Adahman, A. W. Malik and Z. Anwar, “An analysis of zero-trust architecture and its cost-effectiveness for organizational security,” Computers &amp; Security, vol. 122, 2022.</w:t>
      </w:r>
    </w:p>
    <w:p>
      <w:pPr>
        <w:pStyle w:val="Small"/>
        <w:ind w:left="288" w:hanging="288"/>
      </w:pPr>
      <w:r>
        <w:t>[12] R. Chandramouli and Z. Butcher, “A Zero Trust Architecture Model for Access Control in Cloud-Native Applications in Multi-Cloud Environments,” NIST SP 800-207A, Sept. 2023.</w:t>
      </w:r>
    </w:p>
    <w:p>
      <w:pPr>
        <w:pStyle w:val="Small"/>
        <w:ind w:left="288" w:hanging="288"/>
      </w:pPr>
      <w:r>
        <w:t>[13] National Cybersecurity Center of Excellence, “General ZTA reference architecture,” NIST SP 1800-35B, 2025.</w:t>
      </w:r>
    </w:p>
    <w:p>
      <w:pPr>
        <w:pStyle w:val="Small"/>
        <w:ind w:left="288" w:hanging="288"/>
      </w:pPr>
      <w:r>
        <w:t>[14] Cybersecurity and Infrastructure Security Agency, “Implementing phishing-resistant MFA,” Oct. 2022.</w:t>
      </w:r>
    </w:p>
    <w:p>
      <w:pPr>
        <w:pStyle w:val="Small"/>
        <w:ind w:left="288" w:hanging="288"/>
      </w:pPr>
      <w:r>
        <w:t>[15] European Parliament and Council, Regulation (EU) 2016/679 (General Data Protection Regulation), Arts. 32, 33 and 35, 2016.</w:t>
      </w:r>
    </w:p>
    <w:p>
      <w:pPr>
        <w:pStyle w:val="Small"/>
        <w:ind w:left="288" w:hanging="288"/>
      </w:pPr>
      <w:r>
        <w:t>[16] European Parliament and Council, Regulation (EU) 2022/2554 (Digital Operational Resilience Act), Arts. 5, 11 and 28, 2022.</w:t>
      </w:r>
    </w:p>
    <w:p>
      <w:pPr>
        <w:pStyle w:val="Small"/>
        <w:ind w:left="288" w:hanging="288"/>
      </w:pPr>
      <w:r>
        <w:t>[17] National Institute of Standards and Technology, “The NIST Cybersecurity Framework (CSF) 2.0,” NIST CSWP 29, Feb. 2024.</w:t>
      </w:r>
    </w:p>
    <w:sectPr w:rsidR="00FC693F" w:rsidRPr="0006063C" w:rsidSect="00034616">
      <w:headerReference w:type="default" r:id="rId9"/>
      <w:footerReference w:type="default" r:id="rId10"/>
      <w:pgSz w:w="12240" w:h="15840"/>
      <w:pgMar w:top="936" w:right="1037" w:bottom="936" w:left="10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sz w:val="16"/>
      </w:rPr>
      <w:t xml:space="preserve">Sarah Ismail | Task 2 - CISO Proposal |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color w:val="646464"/>
        <w:sz w:val="16"/>
      </w:rPr>
      <w:t>GA36b Level 5 | Data Security and Compliance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60" w:line="252" w:lineRule="auto"/>
    </w:pPr>
    <w:rPr>
      <w:rFonts w:ascii="Arial" w:hAnsi="Arial"/>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2F5496"/>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b/>
      <w:bCs/>
      <w:color w:val="4F81BD" w:themeColor="accent1"/>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mall">
    <w:name w:val="Small"/>
    <w:rPr>
      <w:rFonts w:ascii="Arial" w:hAnsi="Arial"/>
      <w:b w:val="0"/>
      <w:sz w:val="16"/>
    </w:rPr>
  </w:style>
  <w:style w:type="paragraph" w:customStyle="1" w:styleId="CaptionX">
    <w:name w:val="CaptionX"/>
    <w:rPr>
      <w:rFonts w:ascii="Arial" w:hAnsi="Arial"/>
      <w:b w:val="0"/>
      <w:color w:val="595959"/>
      <w:sz w:val="16"/>
    </w:rPr>
  </w:style>
  <w:style w:type="paragraph" w:customStyle="1" w:styleId="BoxHeading">
    <w:name w:val="BoxHeading"/>
    <w:rPr>
      <w:rFonts w:ascii="Arial" w:hAnsi="Arial"/>
      <w:b/>
      <w:color w:val="FFFFFF"/>
      <w:sz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Aegis FinTech Information Security Unit Proposal and Implementation Plan</dc:title>
  <dc:subject>GA36b Task 2</dc:subject>
  <dc:creator>Sarah Ismail</dc:creator>
  <cp:keywords>CISO, Zero Trust, GDPR, DORA, NIST CSF 2.0</cp:keywords>
  <dc:description>generated by python-docx</dc:description>
  <cp:lastModifiedBy/>
  <cp:revision>1</cp:revision>
  <dcterms:created xsi:type="dcterms:W3CDTF">2013-12-23T23:15:00Z</dcterms:created>
  <dcterms:modified xsi:type="dcterms:W3CDTF">2013-12-23T23:15:00Z</dcterms:modified>
  <cp:category/>
</cp:coreProperties>
</file>