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F6032E" w14:textId="39B11536" w:rsidR="00623194" w:rsidRPr="009242BE" w:rsidRDefault="007A72C0" w:rsidP="009242BE">
      <w:pPr>
        <w:jc w:val="center"/>
        <w:rPr>
          <w:u w:val="single"/>
        </w:rPr>
      </w:pPr>
      <w:bookmarkStart w:id="0" w:name="_GoBack"/>
      <w:bookmarkEnd w:id="0"/>
      <w:r>
        <w:rPr>
          <w:u w:val="single"/>
        </w:rPr>
        <w:t xml:space="preserve">Discussion of </w:t>
      </w:r>
      <w:r w:rsidR="003017FB" w:rsidRPr="009242BE">
        <w:rPr>
          <w:u w:val="single"/>
        </w:rPr>
        <w:t>Egypt as a complex society</w:t>
      </w:r>
      <w:r w:rsidR="00C57CAB">
        <w:rPr>
          <w:u w:val="single"/>
        </w:rPr>
        <w:t xml:space="preserve"> </w:t>
      </w:r>
      <w:r w:rsidR="003017FB" w:rsidRPr="009242BE">
        <w:rPr>
          <w:u w:val="single"/>
        </w:rPr>
        <w:t>according to Child</w:t>
      </w:r>
      <w:r w:rsidR="009242BE">
        <w:rPr>
          <w:u w:val="single"/>
        </w:rPr>
        <w:t>e’s criteria</w:t>
      </w:r>
    </w:p>
    <w:p w14:paraId="48E4C750" w14:textId="77777777" w:rsidR="00623194" w:rsidRDefault="00623194"/>
    <w:p w14:paraId="0BBF2C78" w14:textId="77777777" w:rsidR="00C57CAB" w:rsidRDefault="00C57CAB"/>
    <w:p w14:paraId="4019BA5B" w14:textId="56FF5AE2" w:rsidR="00623194" w:rsidRDefault="00623194">
      <w:r w:rsidRPr="00623194">
        <w:t>Childe devised a list of ten criteria he thought were essential in characterising a complex society. This essay will discuss several of these criteria and how they prove, according to Childe, that Ancient Egypt was a complex society.</w:t>
      </w:r>
      <w:r w:rsidR="00F276B3">
        <w:t xml:space="preserve"> </w:t>
      </w:r>
      <w:r w:rsidR="0072339F">
        <w:t xml:space="preserve">This essay </w:t>
      </w:r>
      <w:r w:rsidR="00B716A3">
        <w:t xml:space="preserve">proves undoubtedly, through the assessment of Childe’s criteria, that Egypt </w:t>
      </w:r>
      <w:r w:rsidR="00CA2556">
        <w:t xml:space="preserve">qualified </w:t>
      </w:r>
      <w:r w:rsidR="00404CFA">
        <w:t xml:space="preserve">as a complex society, according to </w:t>
      </w:r>
      <w:r w:rsidR="004B31D7">
        <w:t>Gordon Childe’s definition.</w:t>
      </w:r>
    </w:p>
    <w:p w14:paraId="360F08D4" w14:textId="77777777" w:rsidR="00C57CAB" w:rsidRDefault="00C57CAB"/>
    <w:p w14:paraId="79D289B3" w14:textId="5F5A6953" w:rsidR="00DF6F87" w:rsidRDefault="00DF6F87" w:rsidP="00DF6F87">
      <w:r>
        <w:t xml:space="preserve">Childe’s fourth criteria stated that </w:t>
      </w:r>
      <w:r w:rsidR="00E059D3">
        <w:t>‘monumental architecture’ was one characteristic of a complex society.</w:t>
      </w:r>
      <w:r w:rsidR="007F7D35">
        <w:t xml:space="preserve"> The Great Pyramid of Giza, among other Egyptian pyramids, are an example of monumental architecture</w:t>
      </w:r>
      <w:r w:rsidR="005D6577">
        <w:rPr>
          <w:rStyle w:val="FootnoteReference"/>
        </w:rPr>
        <w:footnoteReference w:id="1"/>
      </w:r>
      <w:r w:rsidR="007F7D35">
        <w:t>.</w:t>
      </w:r>
      <w:r w:rsidR="00C30608">
        <w:t xml:space="preserve"> Other burial tombs of the early Old Kingdom are described by Wen</w:t>
      </w:r>
      <w:r w:rsidR="00E70524">
        <w:t>ke (2007)</w:t>
      </w:r>
      <w:r w:rsidR="00C30608">
        <w:t xml:space="preserve"> as being monumental architecture</w:t>
      </w:r>
      <w:r w:rsidR="00B450B2">
        <w:t xml:space="preserve">, offering </w:t>
      </w:r>
      <w:r w:rsidR="00F936FD">
        <w:t xml:space="preserve">the example of </w:t>
      </w:r>
      <w:r w:rsidR="00F533C7">
        <w:t>the</w:t>
      </w:r>
      <w:r w:rsidR="00F936FD">
        <w:t xml:space="preserve"> step </w:t>
      </w:r>
      <w:r w:rsidR="00F533C7">
        <w:t xml:space="preserve">pyramids Pharaoh </w:t>
      </w:r>
      <w:proofErr w:type="spellStart"/>
      <w:r w:rsidR="00F533C7">
        <w:t>Djoser</w:t>
      </w:r>
      <w:proofErr w:type="spellEnd"/>
      <w:r w:rsidR="00F936FD">
        <w:t xml:space="preserve"> at </w:t>
      </w:r>
      <w:proofErr w:type="spellStart"/>
      <w:r w:rsidR="00F936FD">
        <w:t>Sa</w:t>
      </w:r>
      <w:r w:rsidR="007D0DEE">
        <w:t>qqara</w:t>
      </w:r>
      <w:proofErr w:type="spellEnd"/>
      <w:r w:rsidR="00C30608">
        <w:rPr>
          <w:rStyle w:val="FootnoteReference"/>
        </w:rPr>
        <w:footnoteReference w:id="2"/>
      </w:r>
      <w:r w:rsidR="00563AB7">
        <w:t>.</w:t>
      </w:r>
    </w:p>
    <w:p w14:paraId="1CF98C52" w14:textId="77777777" w:rsidR="00DF6F87" w:rsidRDefault="00DF6F87" w:rsidP="00DF6F87"/>
    <w:p w14:paraId="1879DD96" w14:textId="18BB178B" w:rsidR="00DF6F87" w:rsidRDefault="00001DE5" w:rsidP="00DF6F87">
      <w:r>
        <w:t xml:space="preserve">Childe stated that ‘a </w:t>
      </w:r>
      <w:r w:rsidR="00DF6F87">
        <w:t>ruling class exempt from manual labour</w:t>
      </w:r>
      <w:r>
        <w:t xml:space="preserve">’ </w:t>
      </w:r>
      <w:r w:rsidR="0022064B">
        <w:t>was the fifth criteria of a complex society.</w:t>
      </w:r>
      <w:r w:rsidR="00C740E2">
        <w:t xml:space="preserve"> </w:t>
      </w:r>
      <w:r w:rsidR="00810E78">
        <w:t xml:space="preserve">According to Wilkinson (2010) </w:t>
      </w:r>
      <w:r w:rsidR="00A134E1">
        <w:t xml:space="preserve">the elite were the landlords while </w:t>
      </w:r>
      <w:r w:rsidR="00CF57C7">
        <w:t>the labourers farmed the land</w:t>
      </w:r>
      <w:r w:rsidR="00C562BF">
        <w:t xml:space="preserve">, </w:t>
      </w:r>
      <w:r w:rsidR="009F38F4">
        <w:t>“</w:t>
      </w:r>
      <w:r w:rsidR="00C562BF">
        <w:t>widening the gap between rich and poor</w:t>
      </w:r>
      <w:r w:rsidR="009F38F4">
        <w:t>”</w:t>
      </w:r>
      <w:r w:rsidR="00C562BF">
        <w:rPr>
          <w:rStyle w:val="FootnoteReference"/>
        </w:rPr>
        <w:footnoteReference w:id="3"/>
      </w:r>
      <w:r w:rsidR="0053129A">
        <w:t xml:space="preserve">, as outlined by Childe’s criteria. </w:t>
      </w:r>
      <w:r w:rsidR="00202E94">
        <w:t>The pharaoh was seen as a god and would therefore not be expected to perform activities such as manual labour. The ruling class, such as the viziers, would also not participate, in accordance with the criteria</w:t>
      </w:r>
      <w:r w:rsidR="009765B9">
        <w:t xml:space="preserve"> outlined above</w:t>
      </w:r>
      <w:r w:rsidR="00202E94">
        <w:t>.</w:t>
      </w:r>
    </w:p>
    <w:p w14:paraId="16367C84" w14:textId="77777777" w:rsidR="0022064B" w:rsidRDefault="0022064B" w:rsidP="00DF6F87"/>
    <w:p w14:paraId="0DE16023" w14:textId="1EB0E9F1" w:rsidR="00AD51BE" w:rsidRDefault="00DF6F87" w:rsidP="00DF6F87">
      <w:r>
        <w:t>Monumental art</w:t>
      </w:r>
      <w:r w:rsidR="0022064B">
        <w:t xml:space="preserve"> was </w:t>
      </w:r>
      <w:r w:rsidR="001C16B2">
        <w:t xml:space="preserve">the </w:t>
      </w:r>
      <w:r w:rsidR="00802827">
        <w:t>eighth point on Childe’s list of criteria.</w:t>
      </w:r>
      <w:r w:rsidR="00822D50">
        <w:t xml:space="preserve"> </w:t>
      </w:r>
      <w:r w:rsidR="0039758C">
        <w:t xml:space="preserve">The Temple of </w:t>
      </w:r>
      <w:proofErr w:type="spellStart"/>
      <w:r w:rsidR="0039758C">
        <w:t>Ramesses</w:t>
      </w:r>
      <w:proofErr w:type="spellEnd"/>
      <w:r w:rsidR="0039758C">
        <w:t xml:space="preserve"> II </w:t>
      </w:r>
      <w:r w:rsidR="00942FD1">
        <w:t xml:space="preserve">is one example of </w:t>
      </w:r>
      <w:r w:rsidR="00F201B1">
        <w:t>monumental Egyptian art, depicting four colossal statues of the pharaoh seated at the entrance of the temple, carved in the</w:t>
      </w:r>
      <w:r w:rsidR="003D535B">
        <w:t xml:space="preserve"> 19</w:t>
      </w:r>
      <w:r w:rsidR="003D535B" w:rsidRPr="003D535B">
        <w:rPr>
          <w:vertAlign w:val="superscript"/>
        </w:rPr>
        <w:t>th</w:t>
      </w:r>
      <w:r w:rsidR="003D535B">
        <w:t xml:space="preserve"> Dynasty </w:t>
      </w:r>
      <w:r w:rsidR="00AD68BC">
        <w:rPr>
          <w:rStyle w:val="FootnoteReference"/>
        </w:rPr>
        <w:footnoteReference w:id="4"/>
      </w:r>
      <w:r w:rsidR="00D03CF4">
        <w:t xml:space="preserve">. </w:t>
      </w:r>
      <w:r w:rsidR="00BD6191">
        <w:t xml:space="preserve">These </w:t>
      </w:r>
      <w:r w:rsidR="00726641">
        <w:t xml:space="preserve">statues were among a multitude produced during the sixty-seven </w:t>
      </w:r>
      <w:r w:rsidR="003F0DE4">
        <w:t xml:space="preserve">year reign of </w:t>
      </w:r>
      <w:proofErr w:type="spellStart"/>
      <w:r w:rsidR="003F0DE4">
        <w:t>Ramesses</w:t>
      </w:r>
      <w:proofErr w:type="spellEnd"/>
      <w:r w:rsidR="003F0DE4">
        <w:t xml:space="preserve"> II (</w:t>
      </w:r>
      <w:proofErr w:type="spellStart"/>
      <w:r w:rsidR="003F0DE4">
        <w:t>Ramesses</w:t>
      </w:r>
      <w:proofErr w:type="spellEnd"/>
      <w:r w:rsidR="003F0DE4">
        <w:t xml:space="preserve"> the Great). </w:t>
      </w:r>
      <w:r w:rsidR="00D03CF4">
        <w:t xml:space="preserve">Another example of </w:t>
      </w:r>
      <w:r w:rsidR="001721B2">
        <w:t>monumental art in Egypt is the</w:t>
      </w:r>
      <w:r w:rsidR="00B96622">
        <w:t xml:space="preserve"> limestone statue of the</w:t>
      </w:r>
      <w:r w:rsidR="001721B2">
        <w:t xml:space="preserve"> Great Sphinx of Giza from the </w:t>
      </w:r>
      <w:r w:rsidR="00AD51BE">
        <w:t>4</w:t>
      </w:r>
      <w:r w:rsidR="00AD51BE" w:rsidRPr="00AD51BE">
        <w:rPr>
          <w:vertAlign w:val="superscript"/>
        </w:rPr>
        <w:t>th</w:t>
      </w:r>
      <w:r w:rsidR="00AD51BE">
        <w:t xml:space="preserve"> Dynasty</w:t>
      </w:r>
      <w:r w:rsidR="00B96622">
        <w:rPr>
          <w:rStyle w:val="FootnoteReference"/>
        </w:rPr>
        <w:footnoteReference w:id="5"/>
      </w:r>
      <w:r w:rsidR="00B96622">
        <w:t>.</w:t>
      </w:r>
      <w:r w:rsidR="0081358E">
        <w:t xml:space="preserve"> </w:t>
      </w:r>
    </w:p>
    <w:p w14:paraId="322778A0" w14:textId="77777777" w:rsidR="00DF6F87" w:rsidRDefault="00DF6F87" w:rsidP="00DF6F87"/>
    <w:p w14:paraId="2F4B4F7E" w14:textId="0CCFA0BF" w:rsidR="00DF6F87" w:rsidRDefault="0002626D" w:rsidP="00DF6F87">
      <w:r>
        <w:t xml:space="preserve">The ninth criteria outlined by Childe </w:t>
      </w:r>
      <w:r w:rsidR="00EA53C7">
        <w:t xml:space="preserve"> was ‘t</w:t>
      </w:r>
      <w:r w:rsidR="00DF6F87">
        <w:t>he regular importation of raw materials both as luxuries and as industrial materials</w:t>
      </w:r>
      <w:r w:rsidR="00EA53C7">
        <w:t>’.</w:t>
      </w:r>
      <w:r w:rsidR="004C1C30">
        <w:t xml:space="preserve"> According to </w:t>
      </w:r>
      <w:proofErr w:type="spellStart"/>
      <w:r w:rsidR="004C1C30">
        <w:t>Wengrow</w:t>
      </w:r>
      <w:proofErr w:type="spellEnd"/>
      <w:r w:rsidR="004C1C30">
        <w:t xml:space="preserve">, </w:t>
      </w:r>
      <w:r w:rsidR="00DF6F87">
        <w:t>lapis lazuli</w:t>
      </w:r>
      <w:r w:rsidR="004C1C30">
        <w:t xml:space="preserve"> was imported to Egypt from what </w:t>
      </w:r>
      <w:r w:rsidR="00351CA9">
        <w:t xml:space="preserve">are </w:t>
      </w:r>
      <w:r w:rsidR="004C1C30">
        <w:t>now Afghanistan</w:t>
      </w:r>
      <w:r w:rsidR="00351CA9">
        <w:t xml:space="preserve"> and Pakistan</w:t>
      </w:r>
      <w:r w:rsidR="00351CA9">
        <w:rPr>
          <w:rStyle w:val="FootnoteReference"/>
        </w:rPr>
        <w:footnoteReference w:id="6"/>
      </w:r>
      <w:r w:rsidR="004C1C30">
        <w:t>.</w:t>
      </w:r>
      <w:r w:rsidR="002F1875">
        <w:t xml:space="preserve"> Ross and </w:t>
      </w:r>
      <w:proofErr w:type="spellStart"/>
      <w:r w:rsidR="002F1875">
        <w:t>Steadman</w:t>
      </w:r>
      <w:proofErr w:type="spellEnd"/>
      <w:r w:rsidR="002F1875">
        <w:t xml:space="preserve"> (2017) also mention the prevalence of importation in Egypt</w:t>
      </w:r>
      <w:r w:rsidR="005F7ACE">
        <w:t xml:space="preserve"> through trade relationships</w:t>
      </w:r>
      <w:r w:rsidR="002F1875">
        <w:rPr>
          <w:rStyle w:val="FootnoteReference"/>
        </w:rPr>
        <w:footnoteReference w:id="7"/>
      </w:r>
      <w:r w:rsidR="005F7ACE">
        <w:t xml:space="preserve">. </w:t>
      </w:r>
      <w:r w:rsidR="00CA03FC">
        <w:t xml:space="preserve">Other </w:t>
      </w:r>
      <w:r w:rsidR="00420255">
        <w:t xml:space="preserve">luxuries were also imported, such as oils found in burial tombs. </w:t>
      </w:r>
    </w:p>
    <w:p w14:paraId="7735658B" w14:textId="3CA07317" w:rsidR="00DF6F87" w:rsidRDefault="00DF6F87" w:rsidP="00DF6F87"/>
    <w:p w14:paraId="726C12AB" w14:textId="330E8EBB" w:rsidR="009C4CD8" w:rsidRDefault="00E768ED" w:rsidP="00DF6F87">
      <w:r>
        <w:t xml:space="preserve">According to Childe’s criteria for a complex society, Egypt does indeed qualify as such. The four criteria analysed above clearly highlight Egypt’s qualities of a complex society. While the remaining six criteria were not addressed in this essay, they too show the complexity of Egyptian society. </w:t>
      </w:r>
      <w:r w:rsidR="00274D8E">
        <w:t xml:space="preserve">One such example is the </w:t>
      </w:r>
      <w:r w:rsidR="00E9647D">
        <w:t xml:space="preserve">writing system developed in </w:t>
      </w:r>
      <w:r w:rsidR="001E0248">
        <w:t>Egypt c.4000 BC</w:t>
      </w:r>
      <w:r w:rsidR="00347EA3">
        <w:rPr>
          <w:rStyle w:val="FootnoteReference"/>
        </w:rPr>
        <w:footnoteReference w:id="8"/>
      </w:r>
      <w:r w:rsidR="001E0248">
        <w:t xml:space="preserve">, </w:t>
      </w:r>
      <w:r w:rsidR="005E49E9">
        <w:t xml:space="preserve">fulfilling </w:t>
      </w:r>
      <w:r w:rsidR="002E11CA">
        <w:t>Childe’s sixth criteria.</w:t>
      </w:r>
    </w:p>
    <w:p w14:paraId="56857E5B" w14:textId="3E2EAEF2" w:rsidR="00B31B93" w:rsidRDefault="00B31B93"/>
    <w:p w14:paraId="1FFA466B" w14:textId="77777777" w:rsidR="00B31B93" w:rsidRDefault="00B31B93">
      <w:r>
        <w:br w:type="page"/>
      </w:r>
    </w:p>
    <w:p w14:paraId="67C6516D" w14:textId="07B3F4E8" w:rsidR="00C57CAB" w:rsidRDefault="00B31B93">
      <w:r>
        <w:lastRenderedPageBreak/>
        <w:t>Bibliography</w:t>
      </w:r>
    </w:p>
    <w:p w14:paraId="1DC726C6" w14:textId="7C274022" w:rsidR="00B31B93" w:rsidRDefault="00B31B93"/>
    <w:p w14:paraId="08D46020" w14:textId="56786432" w:rsidR="00B31B93" w:rsidRDefault="00B31B93"/>
    <w:p w14:paraId="475078F6" w14:textId="77777777" w:rsidR="00590590" w:rsidRDefault="00590590" w:rsidP="00016A79">
      <w:pPr>
        <w:rPr>
          <w:color w:val="000000" w:themeColor="text1"/>
        </w:rPr>
      </w:pPr>
    </w:p>
    <w:p w14:paraId="753D46BD" w14:textId="77777777" w:rsidR="00590590" w:rsidRPr="00C719A6" w:rsidRDefault="00590590" w:rsidP="00016A79">
      <w:pPr>
        <w:rPr>
          <w:color w:val="000000" w:themeColor="text1"/>
        </w:rPr>
      </w:pPr>
      <w:r w:rsidRPr="00685C67">
        <w:rPr>
          <w:color w:val="000000" w:themeColor="text1"/>
        </w:rPr>
        <w:t xml:space="preserve">Ross, J. C.;  </w:t>
      </w:r>
      <w:proofErr w:type="spellStart"/>
      <w:r w:rsidRPr="00685C67">
        <w:rPr>
          <w:color w:val="000000" w:themeColor="text1"/>
        </w:rPr>
        <w:t>Steadman</w:t>
      </w:r>
      <w:proofErr w:type="spellEnd"/>
      <w:r w:rsidRPr="00685C67">
        <w:rPr>
          <w:color w:val="000000" w:themeColor="text1"/>
        </w:rPr>
        <w:t>, S. R. (2017)</w:t>
      </w:r>
      <w:r w:rsidRPr="00685C67">
        <w:rPr>
          <w:i/>
          <w:color w:val="000000" w:themeColor="text1"/>
        </w:rPr>
        <w:t xml:space="preserve"> ‘Ancient and  Complex Societies’. </w:t>
      </w:r>
      <w:r w:rsidRPr="00685C67">
        <w:rPr>
          <w:color w:val="000000" w:themeColor="text1"/>
        </w:rPr>
        <w:t>London: Taylor &amp; Francis Group.</w:t>
      </w:r>
      <w:r w:rsidRPr="00C719A6">
        <w:rPr>
          <w:color w:val="000000" w:themeColor="text1"/>
        </w:rPr>
        <w:t xml:space="preserve"> </w:t>
      </w:r>
    </w:p>
    <w:p w14:paraId="4ACFA48A" w14:textId="77777777" w:rsidR="00590590" w:rsidRDefault="00590590" w:rsidP="00016A79">
      <w:pPr>
        <w:rPr>
          <w:color w:val="000000" w:themeColor="text1"/>
          <w:kern w:val="24"/>
        </w:rPr>
      </w:pPr>
    </w:p>
    <w:p w14:paraId="1AE820EB" w14:textId="5C047777" w:rsidR="00590590" w:rsidRDefault="00590590" w:rsidP="00016A79">
      <w:pPr>
        <w:rPr>
          <w:color w:val="000000" w:themeColor="text1"/>
          <w:kern w:val="24"/>
        </w:rPr>
      </w:pPr>
      <w:r w:rsidRPr="00F80735">
        <w:rPr>
          <w:color w:val="000000" w:themeColor="text1"/>
          <w:kern w:val="24"/>
        </w:rPr>
        <w:t>Shaw, I.</w:t>
      </w:r>
      <w:r>
        <w:rPr>
          <w:color w:val="000000" w:themeColor="text1"/>
          <w:kern w:val="24"/>
        </w:rPr>
        <w:t xml:space="preserve"> </w:t>
      </w:r>
      <w:r w:rsidRPr="00F80735">
        <w:rPr>
          <w:color w:val="000000" w:themeColor="text1"/>
          <w:kern w:val="24"/>
        </w:rPr>
        <w:t xml:space="preserve">(2004) </w:t>
      </w:r>
      <w:r w:rsidRPr="00F80735">
        <w:rPr>
          <w:iCs/>
          <w:color w:val="000000" w:themeColor="text1"/>
          <w:kern w:val="24"/>
        </w:rPr>
        <w:t>‘</w:t>
      </w:r>
      <w:r w:rsidRPr="00242A96">
        <w:rPr>
          <w:iCs/>
          <w:color w:val="000000" w:themeColor="text1"/>
          <w:kern w:val="24"/>
        </w:rPr>
        <w:t>The Oxford History of Ancient Egypt</w:t>
      </w:r>
      <w:r w:rsidRPr="00F80735">
        <w:rPr>
          <w:iCs/>
          <w:color w:val="000000" w:themeColor="text1"/>
          <w:kern w:val="24"/>
        </w:rPr>
        <w:t xml:space="preserve">’. </w:t>
      </w:r>
      <w:r>
        <w:rPr>
          <w:iCs/>
          <w:color w:val="000000" w:themeColor="text1"/>
          <w:kern w:val="24"/>
        </w:rPr>
        <w:t xml:space="preserve">Oxford: </w:t>
      </w:r>
      <w:r w:rsidRPr="00F80735">
        <w:rPr>
          <w:color w:val="000000" w:themeColor="text1"/>
          <w:kern w:val="24"/>
        </w:rPr>
        <w:t xml:space="preserve">Oxford University Press. </w:t>
      </w:r>
    </w:p>
    <w:p w14:paraId="3267E55A" w14:textId="56D66E5B" w:rsidR="00052B35" w:rsidRDefault="00052B35" w:rsidP="00016A79">
      <w:pPr>
        <w:rPr>
          <w:color w:val="000000" w:themeColor="text1"/>
          <w:kern w:val="24"/>
        </w:rPr>
      </w:pPr>
    </w:p>
    <w:p w14:paraId="7B548FE4" w14:textId="7F77AEBB" w:rsidR="00052B35" w:rsidRPr="005A6A8A" w:rsidRDefault="00052B35" w:rsidP="00016A79">
      <w:pPr>
        <w:rPr>
          <w:color w:val="000000" w:themeColor="text1"/>
          <w:kern w:val="24"/>
        </w:rPr>
      </w:pPr>
      <w:r>
        <w:rPr>
          <w:color w:val="000000" w:themeColor="text1"/>
          <w:kern w:val="24"/>
        </w:rPr>
        <w:t>Trigger, B. G. (</w:t>
      </w:r>
      <w:r w:rsidR="00EB24DF">
        <w:rPr>
          <w:color w:val="000000" w:themeColor="text1"/>
          <w:kern w:val="24"/>
        </w:rPr>
        <w:t xml:space="preserve">2003) </w:t>
      </w:r>
      <w:r w:rsidR="00B93570">
        <w:rPr>
          <w:i/>
          <w:color w:val="000000" w:themeColor="text1"/>
          <w:kern w:val="24"/>
        </w:rPr>
        <w:t xml:space="preserve">‘Understanding Early </w:t>
      </w:r>
      <w:proofErr w:type="spellStart"/>
      <w:r w:rsidR="00B93570">
        <w:rPr>
          <w:i/>
          <w:color w:val="000000" w:themeColor="text1"/>
          <w:kern w:val="24"/>
        </w:rPr>
        <w:t>Civili</w:t>
      </w:r>
      <w:r w:rsidR="005A6A8A">
        <w:rPr>
          <w:i/>
          <w:color w:val="000000" w:themeColor="text1"/>
          <w:kern w:val="24"/>
        </w:rPr>
        <w:t>zations</w:t>
      </w:r>
      <w:proofErr w:type="spellEnd"/>
      <w:r w:rsidR="005A6A8A">
        <w:rPr>
          <w:i/>
          <w:color w:val="000000" w:themeColor="text1"/>
          <w:kern w:val="24"/>
        </w:rPr>
        <w:t xml:space="preserve">.’ </w:t>
      </w:r>
      <w:r w:rsidR="005A6A8A">
        <w:rPr>
          <w:color w:val="000000" w:themeColor="text1"/>
          <w:kern w:val="24"/>
        </w:rPr>
        <w:t xml:space="preserve">Cambridge: Cambridge University Press. </w:t>
      </w:r>
    </w:p>
    <w:p w14:paraId="5643A898" w14:textId="77777777" w:rsidR="00590590" w:rsidRDefault="00590590" w:rsidP="00016A79">
      <w:pPr>
        <w:rPr>
          <w:color w:val="000000" w:themeColor="text1"/>
          <w:kern w:val="24"/>
        </w:rPr>
      </w:pPr>
    </w:p>
    <w:p w14:paraId="7CA7A528" w14:textId="77777777" w:rsidR="00590590" w:rsidRPr="00682E50" w:rsidRDefault="00590590" w:rsidP="00016A79">
      <w:pPr>
        <w:rPr>
          <w:color w:val="000000" w:themeColor="text1"/>
          <w:kern w:val="24"/>
        </w:rPr>
      </w:pPr>
      <w:proofErr w:type="spellStart"/>
      <w:r>
        <w:rPr>
          <w:color w:val="000000" w:themeColor="text1"/>
          <w:kern w:val="24"/>
        </w:rPr>
        <w:t>Wengrow</w:t>
      </w:r>
      <w:proofErr w:type="spellEnd"/>
      <w:r>
        <w:rPr>
          <w:color w:val="000000" w:themeColor="text1"/>
          <w:kern w:val="24"/>
        </w:rPr>
        <w:t xml:space="preserve">, D. (2010) </w:t>
      </w:r>
      <w:r>
        <w:rPr>
          <w:i/>
          <w:color w:val="000000" w:themeColor="text1"/>
          <w:kern w:val="24"/>
        </w:rPr>
        <w:t xml:space="preserve">‘What Makes </w:t>
      </w:r>
      <w:proofErr w:type="spellStart"/>
      <w:r>
        <w:rPr>
          <w:i/>
          <w:color w:val="000000" w:themeColor="text1"/>
          <w:kern w:val="24"/>
        </w:rPr>
        <w:t>Civilization</w:t>
      </w:r>
      <w:proofErr w:type="spellEnd"/>
      <w:r>
        <w:rPr>
          <w:i/>
          <w:color w:val="000000" w:themeColor="text1"/>
          <w:kern w:val="24"/>
        </w:rPr>
        <w:t xml:space="preserve">?’ </w:t>
      </w:r>
      <w:r>
        <w:rPr>
          <w:color w:val="000000" w:themeColor="text1"/>
          <w:kern w:val="24"/>
        </w:rPr>
        <w:t xml:space="preserve">Great Britain: Clays Ltd. </w:t>
      </w:r>
    </w:p>
    <w:p w14:paraId="4677FCD9" w14:textId="77777777" w:rsidR="00590590" w:rsidRDefault="00590590" w:rsidP="00016A79">
      <w:pPr>
        <w:rPr>
          <w:color w:val="000000" w:themeColor="text1"/>
          <w:kern w:val="24"/>
        </w:rPr>
      </w:pPr>
    </w:p>
    <w:p w14:paraId="042BDA7E" w14:textId="77777777" w:rsidR="00590590" w:rsidRPr="00002E25" w:rsidRDefault="00590590" w:rsidP="00016A79">
      <w:pPr>
        <w:rPr>
          <w:color w:val="000000" w:themeColor="text1"/>
          <w:kern w:val="24"/>
        </w:rPr>
      </w:pPr>
      <w:r w:rsidRPr="00C30608">
        <w:rPr>
          <w:color w:val="000000" w:themeColor="text1"/>
          <w:kern w:val="24"/>
        </w:rPr>
        <w:t xml:space="preserve">Wenke, R. F.; </w:t>
      </w:r>
      <w:proofErr w:type="spellStart"/>
      <w:r w:rsidRPr="00C30608">
        <w:rPr>
          <w:color w:val="000000" w:themeColor="text1"/>
          <w:kern w:val="24"/>
        </w:rPr>
        <w:t>Olszewski</w:t>
      </w:r>
      <w:proofErr w:type="spellEnd"/>
      <w:r w:rsidRPr="00C30608">
        <w:rPr>
          <w:color w:val="000000" w:themeColor="text1"/>
          <w:kern w:val="24"/>
        </w:rPr>
        <w:t xml:space="preserve">, D. J. (2007) </w:t>
      </w:r>
      <w:r w:rsidRPr="00C30608">
        <w:rPr>
          <w:i/>
          <w:color w:val="000000" w:themeColor="text1"/>
          <w:kern w:val="24"/>
        </w:rPr>
        <w:t>‘Patterns in Prehistory: Humankind’s First Three Million Years’</w:t>
      </w:r>
      <w:r w:rsidRPr="00C30608">
        <w:rPr>
          <w:color w:val="000000" w:themeColor="text1"/>
          <w:kern w:val="24"/>
        </w:rPr>
        <w:t>. 5</w:t>
      </w:r>
      <w:r w:rsidRPr="00C30608">
        <w:rPr>
          <w:color w:val="000000" w:themeColor="text1"/>
          <w:kern w:val="24"/>
          <w:vertAlign w:val="superscript"/>
        </w:rPr>
        <w:t>th</w:t>
      </w:r>
      <w:r w:rsidRPr="00C30608">
        <w:rPr>
          <w:color w:val="000000" w:themeColor="text1"/>
          <w:kern w:val="24"/>
        </w:rPr>
        <w:t xml:space="preserve"> Ed. Oxford: Oxford a University Press.</w:t>
      </w:r>
      <w:r>
        <w:rPr>
          <w:color w:val="000000" w:themeColor="text1"/>
          <w:kern w:val="24"/>
        </w:rPr>
        <w:t xml:space="preserve"> </w:t>
      </w:r>
    </w:p>
    <w:p w14:paraId="2169B618" w14:textId="77777777" w:rsidR="00590590" w:rsidRDefault="00590590" w:rsidP="00016A79"/>
    <w:p w14:paraId="6F7B7189" w14:textId="77777777" w:rsidR="00590590" w:rsidRPr="005F2DCF" w:rsidRDefault="00590590" w:rsidP="00016A79">
      <w:r>
        <w:t xml:space="preserve">Wilkinson, T. (2010) </w:t>
      </w:r>
      <w:r>
        <w:rPr>
          <w:i/>
        </w:rPr>
        <w:t>‘The Rise and Fall of Ancient Egypt: The History of a Civilisation from 3000BC to Cleopatra’.</w:t>
      </w:r>
      <w:r>
        <w:t xml:space="preserve"> London: CPI Group. </w:t>
      </w:r>
    </w:p>
    <w:p w14:paraId="49D69E04" w14:textId="77777777" w:rsidR="00B31B93" w:rsidRDefault="00B31B93"/>
    <w:sectPr w:rsidR="00B31B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1D8ABD" w14:textId="77777777" w:rsidR="00D41BBB" w:rsidRDefault="00D41BBB" w:rsidP="003017FB">
      <w:r>
        <w:separator/>
      </w:r>
    </w:p>
  </w:endnote>
  <w:endnote w:type="continuationSeparator" w:id="0">
    <w:p w14:paraId="4196F9DE" w14:textId="77777777" w:rsidR="00D41BBB" w:rsidRDefault="00D41BBB" w:rsidP="003017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01533A" w14:textId="77777777" w:rsidR="00D41BBB" w:rsidRDefault="00D41BBB" w:rsidP="003017FB">
      <w:r>
        <w:separator/>
      </w:r>
    </w:p>
  </w:footnote>
  <w:footnote w:type="continuationSeparator" w:id="0">
    <w:p w14:paraId="0524C1A7" w14:textId="77777777" w:rsidR="00D41BBB" w:rsidRDefault="00D41BBB" w:rsidP="003017FB">
      <w:r>
        <w:continuationSeparator/>
      </w:r>
    </w:p>
  </w:footnote>
  <w:footnote w:id="1">
    <w:p w14:paraId="143A326E" w14:textId="0953A9D8" w:rsidR="00F05982" w:rsidRPr="00071B98" w:rsidRDefault="005D65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71B98">
        <w:t>Wilkinson, T. (</w:t>
      </w:r>
      <w:r w:rsidR="00F05982" w:rsidRPr="00071B98">
        <w:t xml:space="preserve">2010) </w:t>
      </w:r>
      <w:r w:rsidR="00F05982" w:rsidRPr="00071B98">
        <w:rPr>
          <w:i/>
        </w:rPr>
        <w:t>‘The Rise and Fall of Ancient Egypt: The History of a Civilisation from 3000BC to Cleopatra’</w:t>
      </w:r>
      <w:r w:rsidR="00F05982" w:rsidRPr="00071B98">
        <w:t xml:space="preserve"> London: </w:t>
      </w:r>
      <w:r w:rsidR="0003073B" w:rsidRPr="00071B98">
        <w:t xml:space="preserve">Bloomsbury, CPI Group Ltd. p.72. </w:t>
      </w:r>
    </w:p>
  </w:footnote>
  <w:footnote w:id="2">
    <w:p w14:paraId="55ED55EE" w14:textId="03A16F00" w:rsidR="00C30608" w:rsidRPr="00071B98" w:rsidRDefault="00C30608" w:rsidP="00C30608">
      <w:pPr>
        <w:rPr>
          <w:color w:val="000000" w:themeColor="text1"/>
          <w:kern w:val="24"/>
          <w:sz w:val="20"/>
          <w:szCs w:val="20"/>
        </w:rPr>
      </w:pPr>
      <w:r w:rsidRPr="00071B98">
        <w:rPr>
          <w:rStyle w:val="FootnoteReference"/>
          <w:sz w:val="20"/>
          <w:szCs w:val="20"/>
        </w:rPr>
        <w:footnoteRef/>
      </w:r>
      <w:r w:rsidRPr="00071B98">
        <w:rPr>
          <w:sz w:val="20"/>
          <w:szCs w:val="20"/>
        </w:rPr>
        <w:t xml:space="preserve"> </w:t>
      </w:r>
      <w:r w:rsidRPr="00071B98">
        <w:rPr>
          <w:color w:val="000000" w:themeColor="text1"/>
          <w:kern w:val="24"/>
          <w:sz w:val="20"/>
          <w:szCs w:val="20"/>
        </w:rPr>
        <w:t xml:space="preserve">Wenke, R. F.; </w:t>
      </w:r>
      <w:proofErr w:type="spellStart"/>
      <w:r w:rsidRPr="00071B98">
        <w:rPr>
          <w:color w:val="000000" w:themeColor="text1"/>
          <w:kern w:val="24"/>
          <w:sz w:val="20"/>
          <w:szCs w:val="20"/>
        </w:rPr>
        <w:t>Olszewski</w:t>
      </w:r>
      <w:proofErr w:type="spellEnd"/>
      <w:r w:rsidRPr="00071B98">
        <w:rPr>
          <w:color w:val="000000" w:themeColor="text1"/>
          <w:kern w:val="24"/>
          <w:sz w:val="20"/>
          <w:szCs w:val="20"/>
        </w:rPr>
        <w:t xml:space="preserve">, D. J. (2007) </w:t>
      </w:r>
      <w:r w:rsidRPr="00071B98">
        <w:rPr>
          <w:i/>
          <w:color w:val="000000" w:themeColor="text1"/>
          <w:kern w:val="24"/>
          <w:sz w:val="20"/>
          <w:szCs w:val="20"/>
        </w:rPr>
        <w:t>‘Patterns in Prehistory: Humankind’s First Three Million Years’</w:t>
      </w:r>
      <w:r w:rsidRPr="00071B98">
        <w:rPr>
          <w:color w:val="000000" w:themeColor="text1"/>
          <w:kern w:val="24"/>
          <w:sz w:val="20"/>
          <w:szCs w:val="20"/>
        </w:rPr>
        <w:t>. 5</w:t>
      </w:r>
      <w:r w:rsidRPr="00071B98">
        <w:rPr>
          <w:color w:val="000000" w:themeColor="text1"/>
          <w:kern w:val="24"/>
          <w:sz w:val="20"/>
          <w:szCs w:val="20"/>
          <w:vertAlign w:val="superscript"/>
        </w:rPr>
        <w:t>th</w:t>
      </w:r>
      <w:r w:rsidRPr="00071B98">
        <w:rPr>
          <w:color w:val="000000" w:themeColor="text1"/>
          <w:kern w:val="24"/>
          <w:sz w:val="20"/>
          <w:szCs w:val="20"/>
        </w:rPr>
        <w:t xml:space="preserve"> Ed. Oxford: Oxford a University Press. </w:t>
      </w:r>
      <w:r w:rsidR="00E70524" w:rsidRPr="00071B98">
        <w:rPr>
          <w:color w:val="000000" w:themeColor="text1"/>
          <w:kern w:val="24"/>
          <w:sz w:val="20"/>
          <w:szCs w:val="20"/>
        </w:rPr>
        <w:t>p</w:t>
      </w:r>
      <w:r w:rsidR="00786000" w:rsidRPr="00071B98">
        <w:rPr>
          <w:color w:val="000000" w:themeColor="text1"/>
          <w:kern w:val="24"/>
          <w:sz w:val="20"/>
          <w:szCs w:val="20"/>
        </w:rPr>
        <w:t>p</w:t>
      </w:r>
      <w:r w:rsidR="00E70524" w:rsidRPr="00071B98">
        <w:rPr>
          <w:color w:val="000000" w:themeColor="text1"/>
          <w:kern w:val="24"/>
          <w:sz w:val="20"/>
          <w:szCs w:val="20"/>
        </w:rPr>
        <w:t>.</w:t>
      </w:r>
      <w:r w:rsidRPr="00071B98">
        <w:rPr>
          <w:color w:val="000000" w:themeColor="text1"/>
          <w:kern w:val="24"/>
          <w:sz w:val="20"/>
          <w:szCs w:val="20"/>
        </w:rPr>
        <w:t>3</w:t>
      </w:r>
      <w:r w:rsidR="00E70524" w:rsidRPr="00071B98">
        <w:rPr>
          <w:color w:val="000000" w:themeColor="text1"/>
          <w:kern w:val="24"/>
          <w:sz w:val="20"/>
          <w:szCs w:val="20"/>
        </w:rPr>
        <w:t>78</w:t>
      </w:r>
      <w:r w:rsidR="00786000" w:rsidRPr="00071B98">
        <w:rPr>
          <w:color w:val="000000" w:themeColor="text1"/>
          <w:kern w:val="24"/>
          <w:sz w:val="20"/>
          <w:szCs w:val="20"/>
        </w:rPr>
        <w:t>-37</w:t>
      </w:r>
      <w:r w:rsidR="00FB0C7E" w:rsidRPr="00071B98">
        <w:rPr>
          <w:color w:val="000000" w:themeColor="text1"/>
          <w:kern w:val="24"/>
          <w:sz w:val="20"/>
          <w:szCs w:val="20"/>
        </w:rPr>
        <w:t>9</w:t>
      </w:r>
      <w:r w:rsidR="00786000" w:rsidRPr="00071B98">
        <w:rPr>
          <w:color w:val="000000" w:themeColor="text1"/>
          <w:kern w:val="24"/>
          <w:sz w:val="20"/>
          <w:szCs w:val="20"/>
        </w:rPr>
        <w:t>.</w:t>
      </w:r>
    </w:p>
  </w:footnote>
  <w:footnote w:id="3">
    <w:p w14:paraId="0C34538B" w14:textId="0CEE5606" w:rsidR="00C562BF" w:rsidRPr="00071B98" w:rsidRDefault="00C562BF">
      <w:pPr>
        <w:pStyle w:val="FootnoteText"/>
      </w:pPr>
      <w:r w:rsidRPr="00071B98">
        <w:rPr>
          <w:rStyle w:val="FootnoteReference"/>
        </w:rPr>
        <w:footnoteRef/>
      </w:r>
      <w:r w:rsidRPr="00071B98">
        <w:t xml:space="preserve"> Wilkinson, T. (2010) </w:t>
      </w:r>
      <w:r w:rsidRPr="00071B98">
        <w:rPr>
          <w:i/>
        </w:rPr>
        <w:t>‘The Rise and Fall of Ancient Egypt: The History of a Civilisation from 3000BC to Cleopatra’</w:t>
      </w:r>
      <w:r w:rsidRPr="00071B98">
        <w:t xml:space="preserve"> London: Bloomsbury, CPI Group Ltd. p</w:t>
      </w:r>
      <w:r w:rsidR="00C40CFF" w:rsidRPr="00071B98">
        <w:t>p</w:t>
      </w:r>
      <w:r w:rsidRPr="00071B98">
        <w:t>.5</w:t>
      </w:r>
      <w:r w:rsidR="009F38F4" w:rsidRPr="00071B98">
        <w:t>7</w:t>
      </w:r>
      <w:r w:rsidR="00C40CFF" w:rsidRPr="00071B98">
        <w:t>-58.</w:t>
      </w:r>
    </w:p>
  </w:footnote>
  <w:footnote w:id="4">
    <w:p w14:paraId="040B7821" w14:textId="71AC0BD2" w:rsidR="00AD68BC" w:rsidRDefault="00AD68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71B98">
        <w:rPr>
          <w:color w:val="000000" w:themeColor="text1"/>
          <w:kern w:val="24"/>
        </w:rPr>
        <w:t xml:space="preserve">Shaw, I. (2004) </w:t>
      </w:r>
      <w:r w:rsidRPr="00071B98">
        <w:rPr>
          <w:iCs/>
          <w:color w:val="000000" w:themeColor="text1"/>
          <w:kern w:val="24"/>
        </w:rPr>
        <w:t xml:space="preserve">‘The Oxford History of Ancient Egypt’. Oxford: </w:t>
      </w:r>
      <w:r w:rsidRPr="00071B98">
        <w:rPr>
          <w:color w:val="000000" w:themeColor="text1"/>
          <w:kern w:val="24"/>
        </w:rPr>
        <w:t>Oxford University Press. p</w:t>
      </w:r>
      <w:r>
        <w:rPr>
          <w:color w:val="000000" w:themeColor="text1"/>
          <w:kern w:val="24"/>
        </w:rPr>
        <w:t>.</w:t>
      </w:r>
      <w:r w:rsidR="00D06B7F">
        <w:rPr>
          <w:color w:val="000000" w:themeColor="text1"/>
          <w:kern w:val="24"/>
        </w:rPr>
        <w:t xml:space="preserve">293. </w:t>
      </w:r>
    </w:p>
  </w:footnote>
  <w:footnote w:id="5">
    <w:p w14:paraId="29E3B47B" w14:textId="7E8F1DB7" w:rsidR="00B96622" w:rsidRPr="00071B98" w:rsidRDefault="00B96622">
      <w:pPr>
        <w:pStyle w:val="FootnoteText"/>
      </w:pPr>
      <w:r w:rsidRPr="00071B98">
        <w:rPr>
          <w:rStyle w:val="FootnoteReference"/>
        </w:rPr>
        <w:footnoteRef/>
      </w:r>
      <w:r w:rsidRPr="00071B98">
        <w:t xml:space="preserve"> </w:t>
      </w:r>
      <w:r w:rsidR="0063715D" w:rsidRPr="00071B98">
        <w:rPr>
          <w:color w:val="000000" w:themeColor="text1"/>
          <w:kern w:val="24"/>
        </w:rPr>
        <w:t xml:space="preserve">Shaw, I. (2004) </w:t>
      </w:r>
      <w:r w:rsidR="0063715D" w:rsidRPr="00071B98">
        <w:rPr>
          <w:iCs/>
          <w:color w:val="000000" w:themeColor="text1"/>
          <w:kern w:val="24"/>
        </w:rPr>
        <w:t xml:space="preserve">‘The Oxford History of Ancient Egypt’. Oxford: </w:t>
      </w:r>
      <w:r w:rsidR="0063715D" w:rsidRPr="00071B98">
        <w:rPr>
          <w:color w:val="000000" w:themeColor="text1"/>
          <w:kern w:val="24"/>
        </w:rPr>
        <w:t>Oxford University Press. pp.90-91.</w:t>
      </w:r>
    </w:p>
  </w:footnote>
  <w:footnote w:id="6">
    <w:p w14:paraId="166B521F" w14:textId="3A1E0650" w:rsidR="00351CA9" w:rsidRPr="00071B98" w:rsidRDefault="00351CA9" w:rsidP="00351CA9">
      <w:pPr>
        <w:rPr>
          <w:color w:val="000000" w:themeColor="text1"/>
          <w:kern w:val="24"/>
          <w:sz w:val="20"/>
          <w:szCs w:val="20"/>
        </w:rPr>
      </w:pPr>
      <w:r w:rsidRPr="00071B98">
        <w:rPr>
          <w:rStyle w:val="FootnoteReference"/>
          <w:sz w:val="20"/>
          <w:szCs w:val="20"/>
        </w:rPr>
        <w:footnoteRef/>
      </w:r>
      <w:r w:rsidRPr="00071B98">
        <w:rPr>
          <w:sz w:val="20"/>
          <w:szCs w:val="20"/>
        </w:rPr>
        <w:t xml:space="preserve"> </w:t>
      </w:r>
      <w:proofErr w:type="spellStart"/>
      <w:r w:rsidRPr="00071B98">
        <w:rPr>
          <w:color w:val="000000" w:themeColor="text1"/>
          <w:kern w:val="24"/>
          <w:sz w:val="20"/>
          <w:szCs w:val="20"/>
        </w:rPr>
        <w:t>Wengrow</w:t>
      </w:r>
      <w:proofErr w:type="spellEnd"/>
      <w:r w:rsidRPr="00071B98">
        <w:rPr>
          <w:color w:val="000000" w:themeColor="text1"/>
          <w:kern w:val="24"/>
          <w:sz w:val="20"/>
          <w:szCs w:val="20"/>
        </w:rPr>
        <w:t xml:space="preserve">, D. (2010) </w:t>
      </w:r>
      <w:r w:rsidRPr="00071B98">
        <w:rPr>
          <w:i/>
          <w:color w:val="000000" w:themeColor="text1"/>
          <w:kern w:val="24"/>
          <w:sz w:val="20"/>
          <w:szCs w:val="20"/>
        </w:rPr>
        <w:t xml:space="preserve">‘What Makes </w:t>
      </w:r>
      <w:proofErr w:type="spellStart"/>
      <w:r w:rsidRPr="00071B98">
        <w:rPr>
          <w:i/>
          <w:color w:val="000000" w:themeColor="text1"/>
          <w:kern w:val="24"/>
          <w:sz w:val="20"/>
          <w:szCs w:val="20"/>
        </w:rPr>
        <w:t>Civilization</w:t>
      </w:r>
      <w:proofErr w:type="spellEnd"/>
      <w:r w:rsidRPr="00071B98">
        <w:rPr>
          <w:i/>
          <w:color w:val="000000" w:themeColor="text1"/>
          <w:kern w:val="24"/>
          <w:sz w:val="20"/>
          <w:szCs w:val="20"/>
        </w:rPr>
        <w:t xml:space="preserve">?’ </w:t>
      </w:r>
      <w:r w:rsidRPr="00071B98">
        <w:rPr>
          <w:color w:val="000000" w:themeColor="text1"/>
          <w:kern w:val="24"/>
          <w:sz w:val="20"/>
          <w:szCs w:val="20"/>
        </w:rPr>
        <w:t>Great Britain: Clays Ltd. p.</w:t>
      </w:r>
      <w:r w:rsidR="00B31B93" w:rsidRPr="00071B98">
        <w:rPr>
          <w:color w:val="000000" w:themeColor="text1"/>
          <w:kern w:val="24"/>
          <w:sz w:val="20"/>
          <w:szCs w:val="20"/>
        </w:rPr>
        <w:t>37.</w:t>
      </w:r>
    </w:p>
  </w:footnote>
  <w:footnote w:id="7">
    <w:p w14:paraId="12D115FA" w14:textId="271958D4" w:rsidR="002F1875" w:rsidRPr="00071B98" w:rsidRDefault="002F1875" w:rsidP="00685C67">
      <w:pPr>
        <w:rPr>
          <w:color w:val="000000" w:themeColor="text1"/>
          <w:sz w:val="20"/>
          <w:szCs w:val="20"/>
        </w:rPr>
      </w:pPr>
      <w:r w:rsidRPr="00071B98">
        <w:rPr>
          <w:rStyle w:val="FootnoteReference"/>
          <w:sz w:val="20"/>
          <w:szCs w:val="20"/>
        </w:rPr>
        <w:footnoteRef/>
      </w:r>
      <w:r w:rsidRPr="00071B98">
        <w:rPr>
          <w:sz w:val="20"/>
          <w:szCs w:val="20"/>
        </w:rPr>
        <w:t xml:space="preserve"> </w:t>
      </w:r>
      <w:r w:rsidR="00685C67" w:rsidRPr="00071B98">
        <w:rPr>
          <w:color w:val="000000" w:themeColor="text1"/>
          <w:sz w:val="20"/>
          <w:szCs w:val="20"/>
        </w:rPr>
        <w:t xml:space="preserve">Ross, J. C.;  </w:t>
      </w:r>
      <w:proofErr w:type="spellStart"/>
      <w:r w:rsidR="00685C67" w:rsidRPr="00071B98">
        <w:rPr>
          <w:color w:val="000000" w:themeColor="text1"/>
          <w:sz w:val="20"/>
          <w:szCs w:val="20"/>
        </w:rPr>
        <w:t>Steadman</w:t>
      </w:r>
      <w:proofErr w:type="spellEnd"/>
      <w:r w:rsidR="00685C67" w:rsidRPr="00071B98">
        <w:rPr>
          <w:color w:val="000000" w:themeColor="text1"/>
          <w:sz w:val="20"/>
          <w:szCs w:val="20"/>
        </w:rPr>
        <w:t>, S. R. (2017)</w:t>
      </w:r>
      <w:r w:rsidR="00685C67" w:rsidRPr="00071B98">
        <w:rPr>
          <w:i/>
          <w:color w:val="000000" w:themeColor="text1"/>
          <w:sz w:val="20"/>
          <w:szCs w:val="20"/>
        </w:rPr>
        <w:t xml:space="preserve"> ‘Ancient and  Complex Societies’. </w:t>
      </w:r>
      <w:r w:rsidR="00685C67" w:rsidRPr="00071B98">
        <w:rPr>
          <w:color w:val="000000" w:themeColor="text1"/>
          <w:sz w:val="20"/>
          <w:szCs w:val="20"/>
        </w:rPr>
        <w:t xml:space="preserve">London: Taylor &amp; Francis Group. p.91. </w:t>
      </w:r>
    </w:p>
  </w:footnote>
  <w:footnote w:id="8">
    <w:p w14:paraId="63ABF495" w14:textId="2C187D45" w:rsidR="00347EA3" w:rsidRPr="00071B98" w:rsidRDefault="00347EA3" w:rsidP="00347EA3">
      <w:pPr>
        <w:rPr>
          <w:color w:val="000000" w:themeColor="text1"/>
          <w:kern w:val="24"/>
          <w:sz w:val="20"/>
          <w:szCs w:val="20"/>
        </w:rPr>
      </w:pPr>
      <w:r w:rsidRPr="00071B98">
        <w:rPr>
          <w:rStyle w:val="FootnoteReference"/>
          <w:sz w:val="20"/>
          <w:szCs w:val="20"/>
        </w:rPr>
        <w:footnoteRef/>
      </w:r>
      <w:r w:rsidRPr="00071B98">
        <w:rPr>
          <w:sz w:val="20"/>
          <w:szCs w:val="20"/>
        </w:rPr>
        <w:t xml:space="preserve"> </w:t>
      </w:r>
      <w:r w:rsidR="00ED1D56" w:rsidRPr="00071B98">
        <w:rPr>
          <w:color w:val="000000" w:themeColor="text1"/>
          <w:kern w:val="24"/>
          <w:sz w:val="20"/>
          <w:szCs w:val="20"/>
        </w:rPr>
        <w:t xml:space="preserve">Shaw, I. (2004) </w:t>
      </w:r>
      <w:r w:rsidR="00ED1D56" w:rsidRPr="00071B98">
        <w:rPr>
          <w:iCs/>
          <w:color w:val="000000" w:themeColor="text1"/>
          <w:kern w:val="24"/>
          <w:sz w:val="20"/>
          <w:szCs w:val="20"/>
        </w:rPr>
        <w:t xml:space="preserve">‘The Oxford History of Ancient Egypt’. Oxford: </w:t>
      </w:r>
      <w:r w:rsidR="00ED1D56" w:rsidRPr="00071B98">
        <w:rPr>
          <w:color w:val="000000" w:themeColor="text1"/>
          <w:kern w:val="24"/>
          <w:sz w:val="20"/>
          <w:szCs w:val="20"/>
        </w:rPr>
        <w:t>Oxford University Press. pp.7</w:t>
      </w:r>
      <w:r w:rsidRPr="00071B98">
        <w:rPr>
          <w:color w:val="000000" w:themeColor="text1"/>
          <w:kern w:val="24"/>
          <w:sz w:val="20"/>
          <w:szCs w:val="20"/>
        </w:rPr>
        <w:t>4-76.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3194"/>
    <w:rsid w:val="00001DE5"/>
    <w:rsid w:val="00020589"/>
    <w:rsid w:val="0002626D"/>
    <w:rsid w:val="0003073B"/>
    <w:rsid w:val="00052B35"/>
    <w:rsid w:val="00071B98"/>
    <w:rsid w:val="000B4D0A"/>
    <w:rsid w:val="001721B2"/>
    <w:rsid w:val="001C16B2"/>
    <w:rsid w:val="001E0248"/>
    <w:rsid w:val="00202E94"/>
    <w:rsid w:val="0022064B"/>
    <w:rsid w:val="00274D8E"/>
    <w:rsid w:val="00297FB1"/>
    <w:rsid w:val="002E11CA"/>
    <w:rsid w:val="002F1875"/>
    <w:rsid w:val="003017FB"/>
    <w:rsid w:val="00347EA3"/>
    <w:rsid w:val="00351CA9"/>
    <w:rsid w:val="0039758C"/>
    <w:rsid w:val="003A33E0"/>
    <w:rsid w:val="003A50AC"/>
    <w:rsid w:val="003D1942"/>
    <w:rsid w:val="003D535B"/>
    <w:rsid w:val="003D6874"/>
    <w:rsid w:val="003F0DE4"/>
    <w:rsid w:val="00404CFA"/>
    <w:rsid w:val="00420255"/>
    <w:rsid w:val="004B31D7"/>
    <w:rsid w:val="004C1C30"/>
    <w:rsid w:val="00513622"/>
    <w:rsid w:val="0053129A"/>
    <w:rsid w:val="00563AB7"/>
    <w:rsid w:val="00590590"/>
    <w:rsid w:val="005A6A8A"/>
    <w:rsid w:val="005D6577"/>
    <w:rsid w:val="005E49E9"/>
    <w:rsid w:val="005F7ACE"/>
    <w:rsid w:val="00623194"/>
    <w:rsid w:val="0063715D"/>
    <w:rsid w:val="00685C67"/>
    <w:rsid w:val="0072339F"/>
    <w:rsid w:val="00726641"/>
    <w:rsid w:val="00786000"/>
    <w:rsid w:val="007A72C0"/>
    <w:rsid w:val="007D0DEE"/>
    <w:rsid w:val="007F7D35"/>
    <w:rsid w:val="00802827"/>
    <w:rsid w:val="00810E78"/>
    <w:rsid w:val="0081358E"/>
    <w:rsid w:val="00822D50"/>
    <w:rsid w:val="009242BE"/>
    <w:rsid w:val="00942FD1"/>
    <w:rsid w:val="009765B9"/>
    <w:rsid w:val="009C4CD8"/>
    <w:rsid w:val="009F38F4"/>
    <w:rsid w:val="00A134E1"/>
    <w:rsid w:val="00A97F99"/>
    <w:rsid w:val="00AD51BE"/>
    <w:rsid w:val="00AD68BC"/>
    <w:rsid w:val="00B31B93"/>
    <w:rsid w:val="00B450B2"/>
    <w:rsid w:val="00B716A3"/>
    <w:rsid w:val="00B93570"/>
    <w:rsid w:val="00B96622"/>
    <w:rsid w:val="00BD6191"/>
    <w:rsid w:val="00C30608"/>
    <w:rsid w:val="00C40CFF"/>
    <w:rsid w:val="00C50B62"/>
    <w:rsid w:val="00C562BF"/>
    <w:rsid w:val="00C57CAB"/>
    <w:rsid w:val="00C740E2"/>
    <w:rsid w:val="00CA03FC"/>
    <w:rsid w:val="00CA2556"/>
    <w:rsid w:val="00CF37A2"/>
    <w:rsid w:val="00CF57C7"/>
    <w:rsid w:val="00D03CF4"/>
    <w:rsid w:val="00D06B7F"/>
    <w:rsid w:val="00D41BBB"/>
    <w:rsid w:val="00DA0704"/>
    <w:rsid w:val="00DF0046"/>
    <w:rsid w:val="00DF6F87"/>
    <w:rsid w:val="00E059D3"/>
    <w:rsid w:val="00E70524"/>
    <w:rsid w:val="00E768ED"/>
    <w:rsid w:val="00E9647D"/>
    <w:rsid w:val="00EA53C7"/>
    <w:rsid w:val="00EB24DF"/>
    <w:rsid w:val="00ED1D56"/>
    <w:rsid w:val="00ED20B5"/>
    <w:rsid w:val="00EF0B60"/>
    <w:rsid w:val="00F05982"/>
    <w:rsid w:val="00F201B1"/>
    <w:rsid w:val="00F276B3"/>
    <w:rsid w:val="00F533C7"/>
    <w:rsid w:val="00F56D65"/>
    <w:rsid w:val="00F936FD"/>
    <w:rsid w:val="00FB0C7E"/>
    <w:rsid w:val="00FB69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4C356C"/>
  <w15:chartTrackingRefBased/>
  <w15:docId w15:val="{95418B13-252D-584B-B401-41B7E421FF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17F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017FB"/>
  </w:style>
  <w:style w:type="paragraph" w:styleId="Footer">
    <w:name w:val="footer"/>
    <w:basedOn w:val="Normal"/>
    <w:link w:val="FooterChar"/>
    <w:uiPriority w:val="99"/>
    <w:unhideWhenUsed/>
    <w:rsid w:val="003017F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017FB"/>
  </w:style>
  <w:style w:type="paragraph" w:styleId="FootnoteText">
    <w:name w:val="footnote text"/>
    <w:basedOn w:val="Normal"/>
    <w:link w:val="FootnoteTextChar"/>
    <w:uiPriority w:val="99"/>
    <w:semiHidden/>
    <w:unhideWhenUsed/>
    <w:rsid w:val="00A97F99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97F9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97F99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498</Words>
  <Characters>2843</Characters>
  <Application>Microsoft Office Word</Application>
  <DocSecurity>0</DocSecurity>
  <Lines>23</Lines>
  <Paragraphs>6</Paragraphs>
  <ScaleCrop>false</ScaleCrop>
  <Company/>
  <LinksUpToDate>false</LinksUpToDate>
  <CharactersWithSpaces>3335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Smith (1801719)</dc:creator>
  <cp:keywords/>
  <dc:description/>
  <cp:lastModifiedBy>Rebecca Smith (1801719)</cp:lastModifiedBy>
  <cp:revision>2</cp:revision>
  <dcterms:created xsi:type="dcterms:W3CDTF">2019-01-31T19:07:00Z</dcterms:created>
  <dcterms:modified xsi:type="dcterms:W3CDTF">2019-01-31T19:07:00Z</dcterms:modified>
</cp:coreProperties>
</file>