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rPr>
      </w:pPr>
    </w:p>
    <w:p>
      <w:pPr>
        <w:rPr>
          <w:rFonts w:ascii="Times New Roman" w:hAnsi="Times New Roman" w:cs="Times New Roman"/>
        </w:rPr>
      </w:pPr>
    </w:p>
    <w:p>
      <w:pPr>
        <w:jc w:val="center"/>
        <w:rPr>
          <w:rFonts w:ascii="Times New Roman" w:hAnsi="Times New Roman" w:cs="Times New Roman"/>
          <w:b/>
        </w:rPr>
      </w:pPr>
      <w:r>
        <w:rPr>
          <w:rFonts w:ascii="Times New Roman" w:hAnsi="Times New Roman" w:cs="Times New Roman"/>
          <w:b/>
        </w:rPr>
        <w:t>Lidl – German discounter gaining market share</w:t>
      </w:r>
    </w:p>
    <w:p>
      <w:pPr>
        <w:rPr>
          <w:rFonts w:ascii="Times New Roman" w:hAnsi="Times New Roman" w:cs="Times New Roman"/>
        </w:rPr>
      </w:pPr>
    </w:p>
    <w:p>
      <w:pPr>
        <w:rPr>
          <w:rFonts w:ascii="Times New Roman" w:hAnsi="Times New Roman" w:cs="Times New Roman"/>
        </w:rPr>
      </w:pPr>
      <w:bookmarkStart w:id="12" w:name="_GoBack"/>
      <w:bookmarkEnd w:id="12"/>
    </w:p>
    <w:p>
      <w:pPr>
        <w:widowControl/>
        <w:rPr>
          <w:rFonts w:ascii="Times New Roman" w:hAnsi="Times New Roman" w:cs="Times New Roman"/>
        </w:rPr>
      </w:pPr>
      <w:r>
        <w:rPr>
          <w:rFonts w:ascii="Times New Roman" w:hAnsi="Times New Roman" w:cs="Times New Roman"/>
        </w:rPr>
        <w:br w:type="page"/>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b/>
        </w:rPr>
      </w:pPr>
      <w:r>
        <w:rPr>
          <w:rFonts w:ascii="Times New Roman" w:hAnsi="Times New Roman" w:cs="Times New Roman"/>
          <w:b/>
        </w:rPr>
        <w:t xml:space="preserve">Content </w:t>
      </w:r>
    </w:p>
    <w:p>
      <w:pPr>
        <w:rPr>
          <w:rFonts w:ascii="Times New Roman" w:hAnsi="Times New Roman" w:cs="Times New Roman"/>
        </w:rPr>
      </w:pPr>
    </w:p>
    <w:p>
      <w:pPr>
        <w:pStyle w:val="12"/>
        <w:tabs>
          <w:tab w:val="right" w:leader="dot" w:pos="8290"/>
        </w:tabs>
        <w:rPr>
          <w:rFonts w:ascii="Times New Roman" w:hAnsi="Times New Roman" w:cs="Times New Roman"/>
          <w:lang w:val="en-US"/>
        </w:rPr>
      </w:pPr>
      <w:r>
        <w:rPr>
          <w:rFonts w:ascii="Times New Roman" w:hAnsi="Times New Roman" w:cs="Times New Roman"/>
        </w:rPr>
        <w:fldChar w:fldCharType="begin"/>
      </w:r>
      <w:r>
        <w:rPr>
          <w:rFonts w:ascii="Times New Roman" w:hAnsi="Times New Roman" w:cs="Times New Roman"/>
        </w:rPr>
        <w:instrText xml:space="preserve"> TOC \o "1-3" </w:instrText>
      </w:r>
      <w:r>
        <w:rPr>
          <w:rFonts w:ascii="Times New Roman" w:hAnsi="Times New Roman" w:cs="Times New Roman"/>
        </w:rPr>
        <w:fldChar w:fldCharType="separate"/>
      </w:r>
      <w:r>
        <w:rPr>
          <w:rFonts w:ascii="Times New Roman" w:hAnsi="Times New Roman" w:cs="Times New Roman"/>
        </w:rPr>
        <w:t>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_Toc25521565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Background of Lidl</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_Toc25521566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Objectives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_Toc25521567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The literature review of the Competitive advantage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_Toc25521568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The literature review of Porter’s genetic strategy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_Toc25521569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Differentiation strategy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_Toc25521570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Differentiation strategy of Lidl</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_Toc25521571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The no-frill strategy of Lidl</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_Toc25521572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The strategy of reducing kinds of products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_Toc25521573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Customer satisfaction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_Toc25521574 \h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_Toc25521575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p>
      <w:pPr>
        <w:pStyle w:val="12"/>
        <w:tabs>
          <w:tab w:val="right" w:leader="dot" w:pos="8290"/>
        </w:tabs>
        <w:rPr>
          <w:rFonts w:ascii="Times New Roman" w:hAnsi="Times New Roman" w:cs="Times New Roman"/>
          <w:lang w:val="en-US"/>
        </w:rPr>
      </w:pPr>
      <w:r>
        <w:rPr>
          <w:rFonts w:ascii="Times New Roman" w:hAnsi="Times New Roman" w:cs="Times New Roman"/>
        </w:rPr>
        <w:t>Reference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_Toc25521576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p>
    <w:p>
      <w:pPr>
        <w:rPr>
          <w:rFonts w:ascii="Times New Roman" w:hAnsi="Times New Roman" w:cs="Times New Roman"/>
        </w:rPr>
      </w:pPr>
      <w:r>
        <w:rPr>
          <w:rFonts w:ascii="Times New Roman" w:hAnsi="Times New Roman" w:cs="Times New Roman"/>
        </w:rPr>
        <w:fldChar w:fldCharType="end"/>
      </w:r>
    </w:p>
    <w:p>
      <w:pPr>
        <w:widowControl/>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szCs w:val="24"/>
        </w:rPr>
      </w:pPr>
      <w:bookmarkStart w:id="0" w:name="_Toc25521565"/>
      <w:r>
        <w:rPr>
          <w:rFonts w:ascii="Times New Roman" w:hAnsi="Times New Roman" w:cs="Times New Roman"/>
          <w:szCs w:val="24"/>
        </w:rPr>
        <w:t>Introduction</w:t>
      </w:r>
      <w:bookmarkEnd w:id="0"/>
    </w:p>
    <w:p>
      <w:pPr>
        <w:rPr>
          <w:rFonts w:ascii="Times New Roman" w:hAnsi="Times New Roman" w:cs="Times New Roman"/>
        </w:rPr>
      </w:pPr>
      <w:r>
        <w:rPr>
          <w:rFonts w:ascii="Times New Roman" w:hAnsi="Times New Roman" w:cs="Times New Roman"/>
        </w:rPr>
        <w:t>Gaining the competitive advantages is the core mission of strategy managing the modern organisation, especially the discounter, because the competitive advantages are beneficial to get profits and achieve increasing continuous for the company (Punt etc al, 2016). The report is to analyse the sustainable and management strategy in Lidl. Firstly, the background information of Lidl will be described. And then, the analysis of the researching methods will be illustrated. After that, strategy will be evaluated in critical methods. Finally, the conclusion will be given.</w:t>
      </w:r>
    </w:p>
    <w:p>
      <w:pPr>
        <w:rPr>
          <w:rFonts w:ascii="Times New Roman" w:hAnsi="Times New Roman" w:cs="Times New Roman"/>
        </w:rPr>
      </w:pPr>
    </w:p>
    <w:p>
      <w:pPr>
        <w:pStyle w:val="2"/>
        <w:rPr>
          <w:rFonts w:ascii="Times New Roman" w:hAnsi="Times New Roman" w:cs="Times New Roman"/>
          <w:szCs w:val="24"/>
        </w:rPr>
      </w:pPr>
      <w:bookmarkStart w:id="1" w:name="_Toc25521566"/>
      <w:r>
        <w:rPr>
          <w:rFonts w:ascii="Times New Roman" w:hAnsi="Times New Roman" w:cs="Times New Roman"/>
          <w:szCs w:val="24"/>
        </w:rPr>
        <w:t>Background of Lidl</w:t>
      </w:r>
      <w:bookmarkEnd w:id="1"/>
    </w:p>
    <w:p>
      <w:pPr>
        <w:rPr>
          <w:rFonts w:ascii="Times New Roman" w:hAnsi="Times New Roman" w:cs="Times New Roman"/>
        </w:rPr>
      </w:pPr>
      <w:r>
        <w:rPr>
          <w:rFonts w:ascii="Times New Roman" w:hAnsi="Times New Roman" w:cs="Times New Roman"/>
        </w:rPr>
        <w:t>LIDL is a fast-growing retailer in Germany. Comparing with ALDI, it has driven the world's retail giant Wal-Mart out of Germany to make it famous. With the weakness of Wal-Mart in Europe, its development momentum has even surpassed ALDI throughout the EU (Geppert etc, 2015).</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At present, the number of LIDL chain stores in Europe exceeds ALDI for the first time, reaching 7,271 stores, while ALDI has only 6,997 stores. But LIDI supermarket food prices are still higher than ALDI (ibid). LIDL, also known as the poor supermarket. The sales of food, daily necessities and small household appliances are relatively large, and the storefront is relatively small. However, LIDL is focused on large-volume purchases in procurement. As long as a product is identified, it generally requires only one model. Usually, the order quantity is no less than 50,000 pieces, which makes the cost of purchasing, negotiation, warehousing and logistics far lower than other retailers pursuing variety (Shaikh &amp; Hakkinen, 2018). This is also the weapon that has achieved explosive growth in recent years.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In cooperation with LIDL, order confirmation is prior to sample confirmation. This is a headache for foreign traders. In accordance with normal practice, the customer will first request a sample confirmation and then place an order (Geppert etc al, 2015). LIDL is to first check whether the supplier has this ability. If the pre-production sample passes the relevant quality test, it can arrange large-scale production, but this does not mean that the foreign trade manufacturer must have no risk. It will also require three tests: pre-production, in-line, and final inspection, and no one can pass the inspection.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LIDL belongs to BSCI members. The factory that receives the LIDL order will receive the BSCI inspection factory derived from the STR/ITS notary bank in accordance with the SA8000 standard (ibid). The problems concerning child labor and juvenile workers are matters that many domestic manufacturers need to pay attention to. This is also a very important factor. LIDL does not work directly with the factory and will pass through the middlemen. The middleman first came to the factory and, if qualified, went directly to the contract stage (Shaikh &amp; Hakkinen, 2018).</w:t>
      </w:r>
    </w:p>
    <w:p>
      <w:pPr>
        <w:rPr>
          <w:rFonts w:ascii="Times New Roman" w:hAnsi="Times New Roman" w:cs="Times New Roman"/>
        </w:rPr>
      </w:pPr>
    </w:p>
    <w:p>
      <w:pPr>
        <w:pStyle w:val="2"/>
        <w:rPr>
          <w:rFonts w:ascii="Times New Roman" w:hAnsi="Times New Roman" w:cs="Times New Roman"/>
          <w:szCs w:val="24"/>
        </w:rPr>
      </w:pPr>
      <w:bookmarkStart w:id="2" w:name="_Toc25521567"/>
      <w:r>
        <w:rPr>
          <w:rFonts w:ascii="Times New Roman" w:hAnsi="Times New Roman" w:cs="Times New Roman"/>
          <w:szCs w:val="24"/>
        </w:rPr>
        <w:t>Objectives</w:t>
      </w:r>
      <w:bookmarkEnd w:id="2"/>
    </w:p>
    <w:p>
      <w:pPr>
        <w:rPr>
          <w:rFonts w:ascii="Times New Roman" w:hAnsi="Times New Roman" w:cs="Times New Roman"/>
        </w:rPr>
      </w:pPr>
      <w:r>
        <w:rPr>
          <w:rFonts w:ascii="Times New Roman" w:hAnsi="Times New Roman" w:cs="Times New Roman"/>
        </w:rPr>
        <w:t xml:space="preserve">The aim of the report is to evaluate the strategy use in Lidl to develop in the market. And there are objectives to achieve in the report. In order to have knowledge about the strategies use of Lidl, the background and details of Lidl will be identified in 3 days. And then, the analysis of the researching methods will be illustrated in 3 days. After that, the strategy will be evaluated in critical methods in 4 days. Finally, the recommendation and conclusion of the organisation will be given. </w:t>
      </w:r>
    </w:p>
    <w:p>
      <w:pPr>
        <w:rPr>
          <w:rFonts w:ascii="Times New Roman" w:hAnsi="Times New Roman" w:cs="Times New Roman"/>
        </w:rPr>
      </w:pPr>
    </w:p>
    <w:p>
      <w:pPr>
        <w:pStyle w:val="2"/>
        <w:rPr>
          <w:rFonts w:ascii="Times New Roman" w:hAnsi="Times New Roman" w:cs="Times New Roman"/>
          <w:szCs w:val="24"/>
        </w:rPr>
      </w:pPr>
      <w:bookmarkStart w:id="3" w:name="_Toc25521568"/>
      <w:r>
        <w:rPr>
          <w:rFonts w:ascii="Times New Roman" w:hAnsi="Times New Roman" w:cs="Times New Roman"/>
          <w:szCs w:val="24"/>
        </w:rPr>
        <w:t>The literature review of the Competitive advantage</w:t>
      </w:r>
      <w:bookmarkEnd w:id="3"/>
    </w:p>
    <w:p>
      <w:pPr>
        <w:rPr>
          <w:rFonts w:ascii="Times New Roman" w:hAnsi="Times New Roman" w:cs="Times New Roman"/>
        </w:rPr>
      </w:pPr>
      <w:r>
        <w:rPr>
          <w:rFonts w:ascii="Times New Roman" w:hAnsi="Times New Roman" w:cs="Times New Roman"/>
        </w:rPr>
        <w:t>The competitive advantage is to use a variety of business tools to achieve lower costs and higher profits (Yom &amp; Wee, 2014). For large companies, maintaining a competitive advantage is a very important business goal. For other competitors, trying to gain a competitive advantage is a goal.</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Sustainability advantages compared to competitors: superior resources, advanced operating models, and products and services that are more suitable for market needs. Through a certain field or multiple fields interact to form a core competitiveness superior to the opponent (ibid).</w:t>
      </w:r>
    </w:p>
    <w:p>
      <w:pPr>
        <w:rPr>
          <w:rFonts w:ascii="Times New Roman" w:hAnsi="Times New Roman" w:cs="Times New Roman"/>
        </w:rPr>
      </w:pPr>
    </w:p>
    <w:p>
      <w:pPr>
        <w:pStyle w:val="2"/>
        <w:rPr>
          <w:rFonts w:ascii="Times New Roman" w:hAnsi="Times New Roman" w:cs="Times New Roman"/>
          <w:szCs w:val="24"/>
        </w:rPr>
      </w:pPr>
      <w:bookmarkStart w:id="4" w:name="_Toc25521569"/>
      <w:r>
        <w:rPr>
          <w:rFonts w:ascii="Times New Roman" w:hAnsi="Times New Roman" w:cs="Times New Roman"/>
          <w:szCs w:val="24"/>
        </w:rPr>
        <w:t>The literature review of Porter’s genetic strategy</w:t>
      </w:r>
      <w:bookmarkEnd w:id="4"/>
    </w:p>
    <w:p>
      <w:pPr>
        <w:rPr>
          <w:rFonts w:ascii="Times New Roman" w:hAnsi="Times New Roman" w:cs="Times New Roman"/>
        </w:rPr>
      </w:pPr>
      <w:r>
        <w:rPr>
          <w:rFonts w:ascii="Times New Roman" w:hAnsi="Times New Roman" w:cs="Times New Roman"/>
        </w:rPr>
        <w:t>Porter describes the field as multiple market segments that the company can target. The target range is the scope of competition for the company (Chopra, 2019). Porter defines two competitive advantages: lower costs or differences from competitors. The reason for gaining a competitive advantage is that the company is better able to cope with five forces than its competitors. Waves (2014) said: "To gain a competitive advantage, companies must choose...the type of competitive advantage they seek and the range of competitive advantages." He also wrote: "The two basic types of competitive advantage (differentiation and low cost) and The combination of a series of activities undertaken by the company to achieve competitive advantage has led to three general strategies that have enabled the industry to reach above-average levels: cost leadership, differentiation and key strategies with two variants, with emphasis It is cost and difference."</w:t>
      </w:r>
    </w:p>
    <w:p>
      <w:pPr>
        <w:rPr>
          <w:rFonts w:ascii="Times New Roman" w:hAnsi="Times New Roman" w:cs="Times New Roman"/>
        </w:rPr>
      </w:pPr>
    </w:p>
    <w:p>
      <w:pPr>
        <w:pStyle w:val="2"/>
        <w:rPr>
          <w:rFonts w:ascii="Times New Roman" w:hAnsi="Times New Roman" w:cs="Times New Roman"/>
          <w:szCs w:val="24"/>
        </w:rPr>
      </w:pPr>
      <w:bookmarkStart w:id="5" w:name="_Toc25521570"/>
      <w:r>
        <w:rPr>
          <w:rFonts w:ascii="Times New Roman" w:hAnsi="Times New Roman" w:cs="Times New Roman"/>
          <w:szCs w:val="24"/>
        </w:rPr>
        <w:t>Differentiation strategy</w:t>
      </w:r>
      <w:bookmarkEnd w:id="5"/>
    </w:p>
    <w:p>
      <w:pPr>
        <w:rPr>
          <w:rFonts w:ascii="Times New Roman" w:hAnsi="Times New Roman" w:cs="Times New Roman"/>
        </w:rPr>
      </w:pPr>
      <w:r>
        <w:rPr>
          <w:rFonts w:ascii="Times New Roman" w:hAnsi="Times New Roman" w:cs="Times New Roman"/>
        </w:rPr>
        <w:t>Differentiation strategies, also known as unique strategies and differentiated strategies, are strategies that gain a competitive advantage in order to differentiate the company's products, services, and corporate image from competitors (Punt etc al, 2016). The focus of this strategy is to create products and services that the industry and customers consider unique. There are many different approaches to differentiation strategies, such as product differentiation, service differentiation, and image differentiation. Achieving differentiation strategies can increase user loyalty to the brand (Chopra, 2019). Therefore, the differentiation strategy is an effective competitive strategy that allows the company to achieve above-average industry profits.</w:t>
      </w:r>
    </w:p>
    <w:p>
      <w:pPr>
        <w:pStyle w:val="2"/>
        <w:rPr>
          <w:rFonts w:ascii="Times New Roman" w:hAnsi="Times New Roman" w:cs="Times New Roman"/>
          <w:szCs w:val="24"/>
        </w:rPr>
      </w:pPr>
      <w:bookmarkStart w:id="6" w:name="_Toc25521571"/>
      <w:r>
        <w:rPr>
          <w:rFonts w:ascii="Times New Roman" w:hAnsi="Times New Roman" w:cs="Times New Roman"/>
          <w:szCs w:val="24"/>
        </w:rPr>
        <w:t>Differentiation strategy of Lidl</w:t>
      </w:r>
      <w:bookmarkEnd w:id="6"/>
    </w:p>
    <w:p>
      <w:pPr>
        <w:rPr>
          <w:rFonts w:ascii="Times New Roman" w:hAnsi="Times New Roman" w:cs="Times New Roman"/>
        </w:rPr>
      </w:pPr>
      <w:r>
        <w:rPr>
          <w:rFonts w:ascii="Times New Roman" w:hAnsi="Times New Roman" w:cs="Times New Roman"/>
        </w:rPr>
        <w:t>As a representative of discount supermarkets, Lidl has become a major source of German residents' food purchases (Lebensmittel) with its inexpensive and well-positioned outlets. According to statistics, in 2016, several major discount supermarkets accounted for about 33.4% of German food retail market share (Lidl, Aldi, Kaufland, Netto and penny), and some German discount supermarkets have gradually expanded to Europe and the UK and US markets.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It should be noted that although it is called a discount supermarket, such supermarkets are not often discounted, but the normal sales price of goods is relatively low. There is no strict definition of the concept of discount supermarkets. According to (2018), German discount supermarkets can be called a full-line discount supermarket, or a mass merchandiser. The main feature of this type of supermarket is that there are relatively many types of goods, and there are many options in a single product category. Some traditional German foods, such as meat products, dairy products and beer, can be described in a variety of styles, even in discount supermarkets.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In order to achieve high quality and low price, one of the main goals of discount supermarkets is to reduce costs. The main measures are: to improve the utilization of unit area, such as warehouse-style merchandise placement, to increase the number of commodities in the unit operating area. In addition, there are fewer types of discount supermarkets, and most of them will focus on the best sellers.</w:t>
      </w:r>
    </w:p>
    <w:p>
      <w:pPr>
        <w:rPr>
          <w:rFonts w:ascii="Times New Roman" w:hAnsi="Times New Roman" w:cs="Times New Roman"/>
        </w:rPr>
      </w:pPr>
      <w:r>
        <w:rPr>
          <w:rFonts w:ascii="Times New Roman" w:hAnsi="Times New Roman" w:cs="Times New Roman"/>
        </w:rPr>
        <w:t>The other measure aims to reduce labor costs. For example, the number of employees will be reduced, and employees will have multiple roles at the same time, such as peak cash register, other time cleaning and tally. Moreover, discount supermarkets will also reduce the variety of services, such as the absence of meat windows and cooked food stalls common in large supermarkets.</w:t>
      </w:r>
    </w:p>
    <w:p>
      <w:pPr>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szCs w:val="24"/>
        </w:rPr>
      </w:pPr>
      <w:bookmarkStart w:id="7" w:name="_Toc25521572"/>
      <w:r>
        <w:rPr>
          <w:rFonts w:ascii="Times New Roman" w:hAnsi="Times New Roman" w:cs="Times New Roman"/>
          <w:szCs w:val="24"/>
        </w:rPr>
        <w:t>The no-frill strategy of Lidl</w:t>
      </w:r>
      <w:bookmarkEnd w:id="7"/>
    </w:p>
    <w:p>
      <w:pPr>
        <w:rPr>
          <w:rFonts w:ascii="Times New Roman" w:hAnsi="Times New Roman" w:cs="Times New Roman"/>
        </w:rPr>
      </w:pPr>
      <w:r>
        <w:rPr>
          <w:rFonts w:ascii="Times New Roman" w:hAnsi="Times New Roman" w:cs="Times New Roman"/>
        </w:rPr>
        <w:t>Many discount supermarkets are decorated in a simple, simple floor with simple shelves. The merchandise placement also looks very "casual", often a seemingly simple and rude layer code (Gilligan &amp; Hird, 2013). Commonly found in discount supermarkets is a full warehouse.</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way this kind of goods are placed is not really "casual", but to reduce cost considerations. Warehouse-style placement can increase the number of items per unit area while also reducing labor costs (Rachman, 1970). For example, the base part is for the purpose of electric forklifts. When the clerk puts the goods, he only needs to transport the whole goods in place and unpack the external protection plastic when transporting (Adebayo etc al, 2014). Other services require self-service by the customer. For example, if you do not want to buy beverages in bundles, customers can unpack the packaging themselves.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Vegetable and fruit packaging is more representative, and it is usually placed directly in layers (Hutchinson, 1971). If the top layer of goods is sold out, or there is no satisfactory product, customers can go to other layers. The clerk will only clean these boxes on a regular or irregular basis. In addition, some supermarket vegetables and fruits are packed in cardboard (Darienzo, 2016). Moreover, the Germans like to use these cardboards as shopping baskets. This saves the expense of selling shopping bags and reduces the workload of recycling packaging in supermarkets. It is a very good nudge strategy (ibid).</w:t>
      </w:r>
    </w:p>
    <w:p>
      <w:pPr>
        <w:rPr>
          <w:rFonts w:ascii="Times New Roman" w:hAnsi="Times New Roman" w:cs="Times New Roman"/>
        </w:rPr>
      </w:pPr>
    </w:p>
    <w:p>
      <w:pPr>
        <w:rPr>
          <w:rFonts w:ascii="Times New Roman" w:hAnsi="Times New Roman" w:cs="Times New Roman"/>
        </w:rPr>
      </w:pPr>
    </w:p>
    <w:p>
      <w:pPr>
        <w:pStyle w:val="2"/>
        <w:rPr>
          <w:rFonts w:ascii="Times New Roman" w:hAnsi="Times New Roman" w:cs="Times New Roman"/>
          <w:szCs w:val="24"/>
        </w:rPr>
      </w:pPr>
      <w:bookmarkStart w:id="8" w:name="_Toc25521573"/>
      <w:r>
        <w:rPr>
          <w:rFonts w:ascii="Times New Roman" w:hAnsi="Times New Roman" w:cs="Times New Roman"/>
          <w:szCs w:val="24"/>
        </w:rPr>
        <w:t>The strategy of reducing kinds of products</w:t>
      </w:r>
      <w:bookmarkEnd w:id="8"/>
      <w:r>
        <w:rPr>
          <w:rFonts w:ascii="Times New Roman" w:hAnsi="Times New Roman" w:cs="Times New Roman"/>
          <w:szCs w:val="24"/>
        </w:rPr>
        <w:t xml:space="preserve"> </w:t>
      </w:r>
    </w:p>
    <w:p>
      <w:pPr>
        <w:rPr>
          <w:rFonts w:ascii="Times New Roman" w:hAnsi="Times New Roman" w:cs="Times New Roman"/>
        </w:rPr>
      </w:pPr>
      <w:r>
        <w:rPr>
          <w:rFonts w:ascii="Times New Roman" w:hAnsi="Times New Roman" w:cs="Times New Roman"/>
        </w:rPr>
        <w:t>In the retail industry, there is also a so-called “two-eighth effect” – that is, 20% of goods, which bears 80% of sales (Gilligan &amp; Hird, 2013). Discount supermarkets generally choose the best-selling products, and the best-selling specifications in the products. According to one study data, the average discount supermarkets are maintained at 600-1000 stock-keeping units (SKUs), while the hypermarkets in Europe can have up to 50,000 SKUs (ibid). By reducing the variety of goods, in addition to increasing the sales of a single product, it can also improve logistics efficiency and reduce logistics costs.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The warehousing of goods, as well as the streamlining of the types, a direct result is reduced business area. European discount supermarkets are medium in size, with Lidl and Aldi single store areas generally 800 square (Rachman, 1970). Shopping does not feel cramped, but it is far from the size of supermarkets such as Wal-Mart (ibid).</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Another measure to reduce labor costs is to reduce the variety of services. Discount supermarkets generally do not have windows that require specialized service personnel. For example, the meat shops, bakeries and cooked food windows that are common in large supermarkets are hard to find in discount supermarkets (Gilligan &amp; Hird, 2013). These goods are sold in the form of specifications, such as bread in a (stück) unit, meat packed in specifications and refrigerated, and cooked foods in semi-finished form.</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Another way to reduce costs is to reduce labor costs. The main measure is to reduce the number of employees (Hutchinson, 1971). The number of employees in the discount supermarket is set by the average passenger flow, and is generally multi-tasking, such as cash register, tally, and cleaning. In addition, the discount supermarket checkout window is generally small, three to four are common situations, and the number of open windows is dynamically adjusted according to the number of checkout customers, and employees switch between various work tasks according to the scene (Adebayo etc al, 2018).</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In addition, there is a common detail in the discount supermarket (Adebayo etc al, 2014). The supermarket shopping cart is also a self-service form, and is not equipped with special personnel. The coin is usually used as a deposit to return the coin after returning the cart (Hutchinson, 1971).</w:t>
      </w:r>
    </w:p>
    <w:p>
      <w:pPr>
        <w:rPr>
          <w:rFonts w:ascii="Times New Roman" w:hAnsi="Times New Roman" w:cs="Times New Roman"/>
        </w:rPr>
      </w:pPr>
    </w:p>
    <w:p>
      <w:pPr>
        <w:pStyle w:val="2"/>
        <w:rPr>
          <w:rFonts w:ascii="Times New Roman" w:hAnsi="Times New Roman" w:cs="Times New Roman"/>
          <w:szCs w:val="24"/>
        </w:rPr>
      </w:pPr>
      <w:bookmarkStart w:id="9" w:name="_Toc25521574"/>
      <w:r>
        <w:rPr>
          <w:rFonts w:ascii="Times New Roman" w:hAnsi="Times New Roman" w:cs="Times New Roman"/>
          <w:szCs w:val="24"/>
        </w:rPr>
        <w:t>Customer satisfaction</w:t>
      </w:r>
      <w:bookmarkEnd w:id="9"/>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From the aspect of the concept of customer satisfaction, it can be roughly divided into two kinds of satisfaction, cognitive and emotional (ibid). Cognitive satisfaction Approved customer satisfaction is a comparison of attitudes before and after a customer accepts a product or service. It is a cognitive state (Adebayo etc al, 2014). Emotional satisfaction is more subjective. It is considered that customer satisfaction is the process of the customer receiving the product or service. A temporary reaction that does not contain comparative ingredients (Shaikh etc al, 2018). Distinguishing from this aspect is the embodiment of the theory of expectation inconsistency. Usually, people's understanding of things goes through a process from cognition to emotion. If the customer's experience is greater than the customer's expectation, it is satisfactory (ibid).</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From the perspective of the length of time formed by the concept of customer satisfaction, it can be roughly divided into two aspects: specific transaction and cumulative transaction (Gilligan &amp; Hird, 2013). 'Specific transaction perspective refers to the satisfaction or dissatisfaction that the customer immediately expresses when he or she feels the product or service. It may be affected by time, place, environment, etc. It is a short-term judgment on a certain exchange (ibid). Cumulative trading opinion that customer satisfaction with products or services is a long-term cumulative view. Satisfied or dissatisfied attitudes can be strengthened or weakened or changed over time. A certain feeling does not play a decisive role. It is a period of time in overall evaluation.</w:t>
      </w:r>
    </w:p>
    <w:p>
      <w:pPr>
        <w:rPr>
          <w:rFonts w:ascii="Times New Roman" w:hAnsi="Times New Roman" w:cs="Times New Roman"/>
        </w:rPr>
      </w:pPr>
    </w:p>
    <w:p>
      <w:pPr>
        <w:pStyle w:val="2"/>
        <w:rPr>
          <w:rFonts w:ascii="Times New Roman" w:hAnsi="Times New Roman" w:cs="Times New Roman"/>
        </w:rPr>
      </w:pPr>
      <w:bookmarkStart w:id="10" w:name="_Toc25521575"/>
      <w:r>
        <w:rPr>
          <w:rFonts w:ascii="Times New Roman" w:hAnsi="Times New Roman" w:cs="Times New Roman"/>
        </w:rPr>
        <w:t>Conclusion</w:t>
      </w:r>
      <w:bookmarkEnd w:id="10"/>
    </w:p>
    <w:p>
      <w:pPr>
        <w:rPr>
          <w:rFonts w:ascii="Times New Roman" w:hAnsi="Times New Roman" w:cs="Times New Roman"/>
        </w:rPr>
      </w:pPr>
      <w:r>
        <w:rPr>
          <w:rFonts w:ascii="Times New Roman" w:hAnsi="Times New Roman" w:cs="Times New Roman"/>
        </w:rPr>
        <w:t xml:space="preserve">The reason that Lidl as the famous discounter in Europe countries is its competitive strategies and customer service. Therefore, increasing the strategies of Lidl in porter’s genetic strategy is a significant part in Lidl. Otherwise, the modern company needs the innovation in management more. </w:t>
      </w:r>
    </w:p>
    <w:p>
      <w:pPr>
        <w:rPr>
          <w:rFonts w:ascii="Times New Roman" w:hAnsi="Times New Roman" w:cs="Times New Roman"/>
        </w:rPr>
      </w:pPr>
    </w:p>
    <w:p>
      <w:pPr>
        <w:pStyle w:val="2"/>
        <w:rPr>
          <w:rFonts w:ascii="Times New Roman" w:hAnsi="Times New Roman" w:cs="Times New Roman"/>
        </w:rPr>
      </w:pPr>
      <w:bookmarkStart w:id="11" w:name="_Toc25521576"/>
      <w:r>
        <w:rPr>
          <w:rFonts w:ascii="Times New Roman" w:hAnsi="Times New Roman" w:cs="Times New Roman"/>
        </w:rPr>
        <w:t>Reference</w:t>
      </w:r>
      <w:bookmarkEnd w:id="11"/>
    </w:p>
    <w:p>
      <w:pPr>
        <w:rPr>
          <w:rFonts w:ascii="Times New Roman" w:hAnsi="Times New Roman" w:cs="Times New Roman"/>
        </w:rPr>
      </w:pPr>
      <w:r>
        <w:rPr>
          <w:rFonts w:ascii="Times New Roman" w:hAnsi="Times New Roman" w:cs="Times New Roman"/>
        </w:rPr>
        <w:t xml:space="preserve"> Yom, S.S. &amp; Wee, J. 2014, Nasopharyngeal carcinoma: management strategies, Future Medicine Ltd, London, England.</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Copaṛa</w:t>
      </w:r>
      <w:r>
        <w:rPr>
          <w:rFonts w:ascii="Times New Roman" w:hAnsi="Times New Roman" w:eastAsia="Calibri" w:cs="Times New Roman"/>
        </w:rPr>
        <w:t>̄</w:t>
      </w:r>
      <w:r>
        <w:rPr>
          <w:rFonts w:ascii="Times New Roman" w:hAnsi="Times New Roman" w:cs="Times New Roman"/>
        </w:rPr>
        <w:t>, S. &amp; Meindl, P. 2016;2015;, Supply chain management: strategy, planning, and operation, Sixth, Global edn, Pearson Education Limited, Boston.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Chopra, S. 2019, Supply chain management: strategy, planning and operation, Seventh edn, Pearson Education, New York, NY.</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Punt, A.E., Butterworth, D.S., Moor, C.L., De Oliveira, José A A &amp; Haddon, M. 2016, "Management strategy evaluation: best practices", Fish and Fisheries, vol. 17, no. 2, pp. 303-334.</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Gilligan, C. &amp; Hird, M. 2013;2012;, International marketing: strategy and management, Routledge, Oxon [England].</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D'Arienzo, W. 2016, Brand management strategies: luxury and mass markets, Fairchild Books, New York.</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Rachman, D.J. 1970, Retail management strategy: selected reading, Prentice-Hall, Hemel Hempstead;Englewood Cliffs;.</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Hutchinson, J.G. 1971, Management strategy and tactics, Holt,Rinehart and Winston, New York;London;.</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Adebayo, A.G., Benjamin, J.J. &amp; Lundy, B.D. 2014, Indigenous conflict management strategies: global perspectives, Lexington Books, Lanham, Maryland.</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Shaikh, A.A., Karjaluoto, H. &amp; Häkkinen, J. 2018, "Understanding moderating effects in increasing share-of-wallet and word-of-mouth: A case study of Lidl grocery retailer", Journal of Retailing and Consumer Services, vol. 44, pp. 45-53.</w:t>
      </w:r>
    </w:p>
    <w:p>
      <w:pPr>
        <w:rPr>
          <w:rFonts w:ascii="Times New Roman" w:hAnsi="Times New Roman" w:cs="Times New Roman"/>
        </w:rPr>
      </w:pPr>
    </w:p>
    <w:p>
      <w:pPr>
        <w:rPr>
          <w:rFonts w:ascii="Times New Roman" w:hAnsi="Times New Roman" w:cs="Times New Roman"/>
        </w:rPr>
      </w:pPr>
      <w:r>
        <w:rPr>
          <w:rFonts w:ascii="Times New Roman" w:hAnsi="Times New Roman" w:cs="Times New Roman"/>
        </w:rPr>
        <w:t>Geppert, M., Williams, K. &amp; Wortmann, M. 2015, "Micro-political game playing in Lidl: A comparison of store-level employment relations", European Journal of Industrial Relations, vol. 21, no. 3, pp. 241-257.</w:t>
      </w:r>
    </w:p>
    <w:sectPr>
      <w:headerReference r:id="rId3" w:type="default"/>
      <w:pgSz w:w="11900" w:h="16840"/>
      <w:pgMar w:top="873" w:right="896" w:bottom="816" w:left="896" w:header="851" w:footer="992" w:gutter="0"/>
      <w:cols w:space="425" w:num="1"/>
      <w:docGrid w:type="lines" w:linePitch="4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DengXian">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auto"/>
    <w:pitch w:val="default"/>
    <w:sig w:usb0="E0000AFF" w:usb1="00007843" w:usb2="00000001" w:usb3="00000000" w:csb0="400001BF" w:csb1="DFF70000"/>
  </w:font>
  <w:font w:name="DengXian Light">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86"/>
    <w:family w:val="auto"/>
    <w:pitch w:val="default"/>
    <w:sig w:usb0="00000000" w:usb1="00000000" w:usb2="00000000" w:usb3="00000000" w:csb0="00000000" w:csb1="00000000"/>
  </w:font>
  <w:font w:name="DengXian">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ymbol">
    <w:panose1 w:val="05050102010706020507"/>
    <w:charset w:val="00"/>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CG Times (WN)">
    <w:altName w:val="苹方-简"/>
    <w:panose1 w:val="00000000000000000000"/>
    <w:charset w:val="00"/>
    <w:family w:val="roman"/>
    <w:pitch w:val="default"/>
    <w:sig w:usb0="00000000" w:usb1="00000000" w:usb2="00000000" w:usb3="00000000" w:csb0="00000001" w:csb1="00000000"/>
  </w:font>
  <w:font w:name="Tahoma">
    <w:panose1 w:val="020B0804030504040204"/>
    <w:charset w:val="00"/>
    <w:family w:val="swiss"/>
    <w:pitch w:val="default"/>
    <w:sig w:usb0="E1002AFF" w:usb1="C000605B" w:usb2="00000029" w:usb3="00000000" w:csb0="200101FF" w:csb1="20280000"/>
  </w:font>
  <w:font w:name="儷宋 Pro">
    <w:panose1 w:val="02020300000000000000"/>
    <w:charset w:val="88"/>
    <w:family w:val="auto"/>
    <w:pitch w:val="default"/>
    <w:sig w:usb0="80000001" w:usb1="28091800" w:usb2="00000016" w:usb3="00000000" w:csb0="001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t>Ma Yeqin 1904658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311"/>
    <w:rsid w:val="000C255F"/>
    <w:rsid w:val="000E6E67"/>
    <w:rsid w:val="00152D89"/>
    <w:rsid w:val="00176341"/>
    <w:rsid w:val="0022043E"/>
    <w:rsid w:val="00237224"/>
    <w:rsid w:val="002670DF"/>
    <w:rsid w:val="00274855"/>
    <w:rsid w:val="00283469"/>
    <w:rsid w:val="002927AB"/>
    <w:rsid w:val="00317860"/>
    <w:rsid w:val="00364A94"/>
    <w:rsid w:val="0039278D"/>
    <w:rsid w:val="003A023B"/>
    <w:rsid w:val="003E3F21"/>
    <w:rsid w:val="004A382C"/>
    <w:rsid w:val="00617D36"/>
    <w:rsid w:val="00673D08"/>
    <w:rsid w:val="006B7F6A"/>
    <w:rsid w:val="00781372"/>
    <w:rsid w:val="007D7A38"/>
    <w:rsid w:val="008E601D"/>
    <w:rsid w:val="008F2311"/>
    <w:rsid w:val="008F51AF"/>
    <w:rsid w:val="009360C1"/>
    <w:rsid w:val="009A111F"/>
    <w:rsid w:val="00A32DE9"/>
    <w:rsid w:val="00AA2E87"/>
    <w:rsid w:val="00AF6954"/>
    <w:rsid w:val="00B13BF0"/>
    <w:rsid w:val="00B6426D"/>
    <w:rsid w:val="00B75FD5"/>
    <w:rsid w:val="00C00F67"/>
    <w:rsid w:val="00C22DA0"/>
    <w:rsid w:val="00C40954"/>
    <w:rsid w:val="00C61A7C"/>
    <w:rsid w:val="00CA1C3A"/>
    <w:rsid w:val="00CF2AF2"/>
    <w:rsid w:val="00D12F43"/>
    <w:rsid w:val="00D36311"/>
    <w:rsid w:val="00DA31A0"/>
    <w:rsid w:val="00DE5425"/>
    <w:rsid w:val="00E86340"/>
    <w:rsid w:val="00F36A46"/>
    <w:rsid w:val="7BDB8326"/>
    <w:rsid w:val="8CF7A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4"/>
      <w:szCs w:val="24"/>
      <w:lang w:val="en-GB" w:eastAsia="zh-CN" w:bidi="ar-SA"/>
    </w:rPr>
  </w:style>
  <w:style w:type="paragraph" w:styleId="2">
    <w:name w:val="heading 1"/>
    <w:basedOn w:val="1"/>
    <w:next w:val="1"/>
    <w:link w:val="20"/>
    <w:qFormat/>
    <w:uiPriority w:val="9"/>
    <w:pPr>
      <w:keepNext/>
      <w:keepLines/>
      <w:spacing w:before="340" w:after="330" w:line="578" w:lineRule="auto"/>
      <w:outlineLvl w:val="0"/>
    </w:pPr>
    <w:rPr>
      <w:rFonts w:eastAsia="Times New Roman"/>
      <w:b/>
      <w:bCs/>
      <w:kern w:val="44"/>
      <w:sz w:val="28"/>
      <w:szCs w:val="44"/>
    </w:rPr>
  </w:style>
  <w:style w:type="paragraph" w:styleId="3">
    <w:name w:val="heading 2"/>
    <w:basedOn w:val="1"/>
    <w:next w:val="1"/>
    <w:unhideWhenUsed/>
    <w:qFormat/>
    <w:uiPriority w:val="9"/>
    <w:pPr>
      <w:keepNext/>
      <w:jc w:val="both"/>
      <w:outlineLvl w:val="1"/>
    </w:pPr>
    <w:rPr>
      <w:b/>
      <w:sz w:val="24"/>
    </w:rPr>
  </w:style>
  <w:style w:type="paragraph" w:styleId="4">
    <w:name w:val="heading 4"/>
    <w:basedOn w:val="1"/>
    <w:next w:val="1"/>
    <w:unhideWhenUsed/>
    <w:qFormat/>
    <w:uiPriority w:val="9"/>
    <w:pPr>
      <w:keepNext/>
      <w:spacing w:before="120" w:after="120"/>
      <w:jc w:val="center"/>
      <w:outlineLvl w:val="3"/>
    </w:pPr>
    <w:rPr>
      <w:sz w:val="40"/>
    </w:rPr>
  </w:style>
  <w:style w:type="paragraph" w:styleId="5">
    <w:name w:val="heading 6"/>
    <w:basedOn w:val="1"/>
    <w:next w:val="1"/>
    <w:unhideWhenUsed/>
    <w:qFormat/>
    <w:uiPriority w:val="9"/>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default="1" w:styleId="18">
    <w:name w:val="Default Paragraph Font"/>
    <w:unhideWhenUsed/>
    <w:qFormat/>
    <w:uiPriority w:val="1"/>
  </w:style>
  <w:style w:type="table" w:default="1" w:styleId="19">
    <w:name w:val="Normal Table"/>
    <w:unhideWhenUsed/>
    <w:qFormat/>
    <w:uiPriority w:val="99"/>
    <w:tblPr>
      <w:tblLayout w:type="fixed"/>
      <w:tblCellMar>
        <w:top w:w="0" w:type="dxa"/>
        <w:left w:w="108" w:type="dxa"/>
        <w:bottom w:w="0" w:type="dxa"/>
        <w:right w:w="108" w:type="dxa"/>
      </w:tblCellMar>
    </w:tblPr>
  </w:style>
  <w:style w:type="paragraph" w:styleId="6">
    <w:name w:val="toc 7"/>
    <w:basedOn w:val="1"/>
    <w:next w:val="1"/>
    <w:unhideWhenUsed/>
    <w:qFormat/>
    <w:uiPriority w:val="39"/>
    <w:pPr>
      <w:ind w:left="1440"/>
    </w:pPr>
  </w:style>
  <w:style w:type="paragraph" w:styleId="7">
    <w:name w:val="toc 5"/>
    <w:basedOn w:val="1"/>
    <w:next w:val="1"/>
    <w:unhideWhenUsed/>
    <w:qFormat/>
    <w:uiPriority w:val="39"/>
    <w:pPr>
      <w:ind w:left="960"/>
    </w:pPr>
  </w:style>
  <w:style w:type="paragraph" w:styleId="8">
    <w:name w:val="toc 3"/>
    <w:basedOn w:val="1"/>
    <w:next w:val="1"/>
    <w:unhideWhenUsed/>
    <w:qFormat/>
    <w:uiPriority w:val="39"/>
    <w:pPr>
      <w:ind w:left="480"/>
    </w:pPr>
  </w:style>
  <w:style w:type="paragraph" w:styleId="9">
    <w:name w:val="toc 8"/>
    <w:basedOn w:val="1"/>
    <w:next w:val="1"/>
    <w:unhideWhenUsed/>
    <w:qFormat/>
    <w:uiPriority w:val="39"/>
    <w:pPr>
      <w:ind w:left="1680"/>
    </w:pPr>
  </w:style>
  <w:style w:type="paragraph" w:styleId="10">
    <w:name w:val="footer"/>
    <w:basedOn w:val="1"/>
    <w:unhideWhenUsed/>
    <w:uiPriority w:val="99"/>
    <w:pPr>
      <w:tabs>
        <w:tab w:val="center" w:pos="4153"/>
        <w:tab w:val="right" w:pos="8306"/>
      </w:tabs>
      <w:snapToGrid w:val="0"/>
      <w:jc w:val="left"/>
    </w:pPr>
    <w:rPr>
      <w:sz w:val="18"/>
    </w:rPr>
  </w:style>
  <w:style w:type="paragraph" w:styleId="11">
    <w:name w:val="header"/>
    <w:basedOn w:val="1"/>
    <w:unhideWhenUsed/>
    <w:uiPriority w:val="99"/>
    <w:pPr>
      <w:tabs>
        <w:tab w:val="center" w:pos="4153"/>
        <w:tab w:val="right" w:pos="8306"/>
      </w:tabs>
    </w:pPr>
  </w:style>
  <w:style w:type="paragraph" w:styleId="12">
    <w:name w:val="toc 1"/>
    <w:basedOn w:val="1"/>
    <w:next w:val="1"/>
    <w:unhideWhenUsed/>
    <w:qFormat/>
    <w:uiPriority w:val="39"/>
  </w:style>
  <w:style w:type="paragraph" w:styleId="13">
    <w:name w:val="toc 4"/>
    <w:basedOn w:val="1"/>
    <w:next w:val="1"/>
    <w:unhideWhenUsed/>
    <w:qFormat/>
    <w:uiPriority w:val="39"/>
    <w:pPr>
      <w:ind w:left="720"/>
    </w:pPr>
  </w:style>
  <w:style w:type="paragraph" w:styleId="14">
    <w:name w:val="toc 6"/>
    <w:basedOn w:val="1"/>
    <w:next w:val="1"/>
    <w:unhideWhenUsed/>
    <w:qFormat/>
    <w:uiPriority w:val="39"/>
    <w:pPr>
      <w:ind w:left="1200"/>
    </w:pPr>
  </w:style>
  <w:style w:type="paragraph" w:styleId="15">
    <w:name w:val="toc 2"/>
    <w:basedOn w:val="1"/>
    <w:next w:val="1"/>
    <w:unhideWhenUsed/>
    <w:qFormat/>
    <w:uiPriority w:val="39"/>
    <w:pPr>
      <w:ind w:left="240"/>
    </w:pPr>
  </w:style>
  <w:style w:type="paragraph" w:styleId="16">
    <w:name w:val="toc 9"/>
    <w:basedOn w:val="1"/>
    <w:next w:val="1"/>
    <w:unhideWhenUsed/>
    <w:qFormat/>
    <w:uiPriority w:val="39"/>
    <w:pPr>
      <w:ind w:left="1920"/>
    </w:pPr>
  </w:style>
  <w:style w:type="paragraph" w:styleId="17">
    <w:name w:val="Body Text 2"/>
    <w:basedOn w:val="1"/>
    <w:unhideWhenUsed/>
    <w:uiPriority w:val="99"/>
    <w:rPr>
      <w:sz w:val="16"/>
      <w:lang w:eastAsia="en-US"/>
    </w:rPr>
  </w:style>
  <w:style w:type="character" w:customStyle="1" w:styleId="20">
    <w:name w:val="标题 1字符"/>
    <w:basedOn w:val="18"/>
    <w:link w:val="2"/>
    <w:qFormat/>
    <w:uiPriority w:val="9"/>
    <w:rPr>
      <w:rFonts w:eastAsia="Times New Roman"/>
      <w:b/>
      <w:bCs/>
      <w:kern w:val="44"/>
      <w:sz w:val="28"/>
      <w:szCs w:val="44"/>
      <w:lang w:val="en-GB"/>
    </w:rPr>
  </w:style>
  <w:style w:type="paragraph" w:customStyle="1" w:styleId="21">
    <w:name w:val="标题1"/>
    <w:basedOn w:val="1"/>
    <w:next w:val="1"/>
    <w:qFormat/>
    <w:uiPriority w:val="0"/>
    <w:pPr>
      <w:spacing w:before="120" w:after="120"/>
    </w:pPr>
    <w:rPr>
      <w:rFonts w:eastAsia="Times New Roman"/>
      <w:b/>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2394</Words>
  <Characters>13651</Characters>
  <Lines>113</Lines>
  <Paragraphs>32</Paragraphs>
  <TotalTime>0</TotalTime>
  <ScaleCrop>false</ScaleCrop>
  <LinksUpToDate>false</LinksUpToDate>
  <CharactersWithSpaces>16013</CharactersWithSpaces>
  <Application>WPS Office_1.7.0.2619_F1E327BC-269C-435d-A152-05C5408002CA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2019-11-23T22:33:00Z</dcterms:created>
  <dc:creator>lamlam wong</dc:creator>
  <cp:lastModifiedBy>zqy</cp:lastModifiedBy>
  <dcterms:modified xsi:type="dcterms:W3CDTF">2019-11-26T12:59:13Z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2052-1.7.0.2619</vt:lpwstr>
  </property>
</Properties>
</file>