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E12CBE" w14:textId="77777777" w:rsidR="006955FF" w:rsidRPr="006955FF" w:rsidRDefault="006955FF" w:rsidP="006955FF">
      <w:pPr>
        <w:pStyle w:val="NoSpacing"/>
        <w:spacing w:line="480" w:lineRule="auto"/>
        <w:rPr>
          <w:rFonts w:cstheme="minorHAnsi"/>
          <w:b/>
          <w:bCs/>
          <w:color w:val="000000" w:themeColor="text1"/>
          <w:sz w:val="24"/>
          <w:szCs w:val="24"/>
        </w:rPr>
      </w:pPr>
      <w:r w:rsidRPr="006955FF">
        <w:rPr>
          <w:rFonts w:cstheme="minorHAnsi"/>
          <w:b/>
          <w:bCs/>
          <w:color w:val="000000" w:themeColor="text1"/>
          <w:sz w:val="24"/>
          <w:szCs w:val="24"/>
        </w:rPr>
        <w:t xml:space="preserve">Evaluate the extent to which the courts will uphold a contract entered into </w:t>
      </w:r>
      <w:proofErr w:type="gramStart"/>
      <w:r w:rsidRPr="006955FF">
        <w:rPr>
          <w:rFonts w:cstheme="minorHAnsi"/>
          <w:b/>
          <w:bCs/>
          <w:color w:val="000000" w:themeColor="text1"/>
          <w:sz w:val="24"/>
          <w:szCs w:val="24"/>
        </w:rPr>
        <w:t>as a result of</w:t>
      </w:r>
      <w:proofErr w:type="gramEnd"/>
      <w:r w:rsidRPr="006955FF">
        <w:rPr>
          <w:rFonts w:cstheme="minorHAnsi"/>
          <w:b/>
          <w:bCs/>
          <w:color w:val="000000" w:themeColor="text1"/>
          <w:sz w:val="24"/>
          <w:szCs w:val="24"/>
        </w:rPr>
        <w:t xml:space="preserve"> threats or pressure by one party to the contract upon the other.</w:t>
      </w:r>
    </w:p>
    <w:p w14:paraId="6B7E426C" w14:textId="77777777" w:rsidR="006955FF" w:rsidRPr="006955FF" w:rsidRDefault="006955FF" w:rsidP="006955FF">
      <w:pPr>
        <w:pStyle w:val="NoSpacing"/>
        <w:spacing w:line="480" w:lineRule="auto"/>
        <w:rPr>
          <w:rFonts w:cstheme="minorHAnsi"/>
          <w:b/>
          <w:bCs/>
          <w:color w:val="000000" w:themeColor="text1"/>
          <w:sz w:val="24"/>
          <w:szCs w:val="24"/>
        </w:rPr>
      </w:pPr>
    </w:p>
    <w:p w14:paraId="65C71B6C" w14:textId="7D9F5A19" w:rsidR="006955FF" w:rsidRPr="006955FF" w:rsidRDefault="006955FF" w:rsidP="006955FF">
      <w:pPr>
        <w:spacing w:line="480" w:lineRule="auto"/>
        <w:rPr>
          <w:rFonts w:cstheme="minorHAnsi"/>
          <w:color w:val="000000" w:themeColor="text1"/>
          <w:sz w:val="24"/>
          <w:szCs w:val="24"/>
        </w:rPr>
      </w:pPr>
      <w:r w:rsidRPr="006955FF">
        <w:rPr>
          <w:rFonts w:cstheme="minorHAnsi"/>
          <w:i/>
          <w:color w:val="000000" w:themeColor="text1"/>
          <w:sz w:val="24"/>
          <w:szCs w:val="24"/>
        </w:rPr>
        <w:t xml:space="preserve">“Duress is a common law area which was traditionally associated with intimidation that was real or at least sufficiently real and threatening to vitiate the consent of the other party, and mean that he was prevented in effect from acting with free will when reaching the agreement” </w:t>
      </w:r>
      <w:r w:rsidRPr="006955FF">
        <w:rPr>
          <w:rFonts w:cstheme="minorHAnsi"/>
          <w:color w:val="000000" w:themeColor="text1"/>
          <w:sz w:val="24"/>
          <w:szCs w:val="24"/>
        </w:rPr>
        <w:t>(Turner, 2014, p.229). Duress is generally associated with intimidation that is real or sufficiently real and such threatens the other party’s consent and free will (</w:t>
      </w:r>
      <w:r w:rsidRPr="006955FF">
        <w:rPr>
          <w:rFonts w:cstheme="minorHAnsi"/>
          <w:i/>
          <w:iCs/>
          <w:color w:val="000000" w:themeColor="text1"/>
          <w:sz w:val="24"/>
          <w:szCs w:val="24"/>
        </w:rPr>
        <w:t>Cumming v Ince</w:t>
      </w:r>
      <w:r w:rsidRPr="006955FF">
        <w:rPr>
          <w:rFonts w:cstheme="minorHAnsi"/>
          <w:color w:val="000000" w:themeColor="text1"/>
          <w:sz w:val="24"/>
          <w:szCs w:val="24"/>
        </w:rPr>
        <w:t xml:space="preserve">) and such takes in account ‘improper power’ The courts generally show reluctance in introducing elements of good faith in a contract. There is ample case law that shows judiciary’s disinclination </w:t>
      </w:r>
      <w:r w:rsidR="00A427A8" w:rsidRPr="006955FF">
        <w:rPr>
          <w:rFonts w:cstheme="minorHAnsi"/>
          <w:color w:val="000000" w:themeColor="text1"/>
          <w:sz w:val="24"/>
          <w:szCs w:val="24"/>
        </w:rPr>
        <w:t>in regard to</w:t>
      </w:r>
      <w:r w:rsidRPr="006955FF">
        <w:rPr>
          <w:rFonts w:cstheme="minorHAnsi"/>
          <w:color w:val="000000" w:themeColor="text1"/>
          <w:sz w:val="24"/>
          <w:szCs w:val="24"/>
        </w:rPr>
        <w:t xml:space="preserve"> setting aside a contract between parties that do not have equal bargaining powers, solely on the grounds of inequality. However, at the same time, the courts do not let the strong abuse their powers to extract agreement from the weaker – there is ample case law where such agreements have been set aside on the grounds that there was no ‘genuine agreement’ in the first place. This is the area of law where the law and equity developed differently and at different pace. While the courts of equity set aside a contract which was entered into on the basis of illegitimate pressure, the common law courts took some time to develop such an understanding. Nevertheless, the courts at common law render a contract voidable under the doctrine of duress, where one party to the contract has used illegitimate pressure in the formation or the process of the contract</w:t>
      </w:r>
    </w:p>
    <w:p w14:paraId="2273F78C" w14:textId="77777777" w:rsidR="006955FF" w:rsidRPr="006955FF" w:rsidRDefault="006955FF" w:rsidP="006955FF">
      <w:pPr>
        <w:spacing w:line="480" w:lineRule="auto"/>
        <w:rPr>
          <w:rFonts w:cstheme="minorHAnsi"/>
          <w:b/>
          <w:bCs/>
          <w:color w:val="000000" w:themeColor="text1"/>
          <w:sz w:val="24"/>
          <w:szCs w:val="24"/>
        </w:rPr>
      </w:pPr>
      <w:bookmarkStart w:id="0" w:name="_Toc69450648"/>
      <w:r w:rsidRPr="006955FF">
        <w:rPr>
          <w:rFonts w:cstheme="minorHAnsi"/>
          <w:b/>
          <w:bCs/>
          <w:color w:val="000000" w:themeColor="text1"/>
          <w:sz w:val="24"/>
          <w:szCs w:val="24"/>
        </w:rPr>
        <w:t>Duress</w:t>
      </w:r>
      <w:bookmarkEnd w:id="0"/>
    </w:p>
    <w:p w14:paraId="55EC6C42"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lastRenderedPageBreak/>
        <w:t xml:space="preserve">Initially, the common law took a very narrow approach towards the cases of duress. Only the cases that concerned a duress to person (that is, a person getting into a contract under a threat to personal security) were recognized as duress. However, the common law developed in the said area of contract law slowly and gradually; with time, the courts at common law expanded the range of duress cases from duress to person to cover duress of goods, and more recently, to cover economic duress as well. </w:t>
      </w:r>
    </w:p>
    <w:p w14:paraId="6A01F4DE" w14:textId="77777777" w:rsidR="006955FF" w:rsidRPr="006955FF" w:rsidRDefault="006955FF" w:rsidP="006955FF">
      <w:pPr>
        <w:spacing w:line="480" w:lineRule="auto"/>
        <w:rPr>
          <w:rFonts w:cstheme="minorHAnsi"/>
          <w:b/>
          <w:bCs/>
          <w:color w:val="000000" w:themeColor="text1"/>
          <w:sz w:val="24"/>
          <w:szCs w:val="24"/>
        </w:rPr>
      </w:pPr>
      <w:bookmarkStart w:id="1" w:name="_Toc69450649"/>
      <w:r w:rsidRPr="006955FF">
        <w:rPr>
          <w:rFonts w:cstheme="minorHAnsi"/>
          <w:b/>
          <w:bCs/>
          <w:color w:val="000000" w:themeColor="text1"/>
          <w:sz w:val="24"/>
          <w:szCs w:val="24"/>
        </w:rPr>
        <w:t>The effect of duress</w:t>
      </w:r>
      <w:bookmarkEnd w:id="1"/>
    </w:p>
    <w:p w14:paraId="681BE122"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Under common law, the general rule is that duress does not render a contract void, but voidable; the consent that was given by the victim party is regarded as an apparent consent and the same is treated as revocable. Therefore, the victim party is given the option to either affirm the contract or nullify it. If in case the victim party decides to not affirm the contract, then the contract is rendered void; this can be seen in the case </w:t>
      </w:r>
      <w:r w:rsidRPr="006955FF">
        <w:rPr>
          <w:rFonts w:cstheme="minorHAnsi"/>
          <w:i/>
          <w:iCs/>
          <w:color w:val="000000" w:themeColor="text1"/>
          <w:sz w:val="24"/>
          <w:szCs w:val="24"/>
        </w:rPr>
        <w:t>of Universe Tankships of Monrovia v International (The Universe Sentinel)</w:t>
      </w:r>
      <w:r w:rsidRPr="006955FF">
        <w:rPr>
          <w:rFonts w:cstheme="minorHAnsi"/>
          <w:color w:val="000000" w:themeColor="text1"/>
          <w:sz w:val="24"/>
          <w:szCs w:val="24"/>
        </w:rPr>
        <w:t xml:space="preserve">. Another important case in the said regard is the </w:t>
      </w:r>
      <w:r w:rsidRPr="006955FF">
        <w:rPr>
          <w:rFonts w:cstheme="minorHAnsi"/>
          <w:i/>
          <w:iCs/>
          <w:color w:val="000000" w:themeColor="text1"/>
          <w:sz w:val="24"/>
          <w:szCs w:val="24"/>
        </w:rPr>
        <w:t>Pao On v Lau Yiu Long</w:t>
      </w:r>
      <w:r w:rsidRPr="006955FF">
        <w:rPr>
          <w:rFonts w:cstheme="minorHAnsi"/>
          <w:color w:val="000000" w:themeColor="text1"/>
          <w:sz w:val="24"/>
          <w:szCs w:val="24"/>
        </w:rPr>
        <w:t xml:space="preserve"> case. </w:t>
      </w:r>
    </w:p>
    <w:p w14:paraId="1098B231"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There are several significant consequences that can be seen as a direct effect of a contract being rendered voidable due to duress, such as, the victim party should act as early as possible to set the contract aside, as held in the case of </w:t>
      </w:r>
      <w:r w:rsidRPr="006955FF">
        <w:rPr>
          <w:rFonts w:cstheme="minorHAnsi"/>
          <w:i/>
          <w:iCs/>
          <w:color w:val="000000" w:themeColor="text1"/>
          <w:sz w:val="24"/>
          <w:szCs w:val="24"/>
        </w:rPr>
        <w:t>North Ocean Shipping v Hyundai Construction</w:t>
      </w:r>
      <w:r w:rsidRPr="006955FF">
        <w:rPr>
          <w:rFonts w:cstheme="minorHAnsi"/>
          <w:color w:val="000000" w:themeColor="text1"/>
          <w:sz w:val="24"/>
          <w:szCs w:val="24"/>
        </w:rPr>
        <w:t>; as well as a 3</w:t>
      </w:r>
      <w:r w:rsidRPr="006955FF">
        <w:rPr>
          <w:rFonts w:cstheme="minorHAnsi"/>
          <w:color w:val="000000" w:themeColor="text1"/>
          <w:sz w:val="24"/>
          <w:szCs w:val="24"/>
          <w:vertAlign w:val="superscript"/>
        </w:rPr>
        <w:t>rd</w:t>
      </w:r>
      <w:r w:rsidRPr="006955FF">
        <w:rPr>
          <w:rFonts w:cstheme="minorHAnsi"/>
          <w:color w:val="000000" w:themeColor="text1"/>
          <w:sz w:val="24"/>
          <w:szCs w:val="24"/>
        </w:rPr>
        <w:t xml:space="preserve"> party acquiring good title to the goods that were supplied by a vendor who received those goods under a contract which was executed under duress. </w:t>
      </w:r>
    </w:p>
    <w:p w14:paraId="4CF8B74D" w14:textId="77777777" w:rsidR="006955FF" w:rsidRPr="006955FF" w:rsidRDefault="006955FF" w:rsidP="006955FF">
      <w:pPr>
        <w:spacing w:line="480" w:lineRule="auto"/>
        <w:rPr>
          <w:rFonts w:cstheme="minorHAnsi"/>
          <w:b/>
          <w:bCs/>
          <w:color w:val="000000" w:themeColor="text1"/>
          <w:sz w:val="24"/>
          <w:szCs w:val="24"/>
        </w:rPr>
      </w:pPr>
      <w:bookmarkStart w:id="2" w:name="_Toc69450650"/>
      <w:r w:rsidRPr="006955FF">
        <w:rPr>
          <w:rFonts w:cstheme="minorHAnsi"/>
          <w:b/>
          <w:bCs/>
          <w:color w:val="000000" w:themeColor="text1"/>
          <w:sz w:val="24"/>
          <w:szCs w:val="24"/>
        </w:rPr>
        <w:t>Forms of duress</w:t>
      </w:r>
      <w:bookmarkEnd w:id="2"/>
    </w:p>
    <w:p w14:paraId="7C9CD2F8"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There are three types of duress under contract law.</w:t>
      </w:r>
    </w:p>
    <w:p w14:paraId="275677AB" w14:textId="77777777" w:rsidR="006955FF" w:rsidRPr="006955FF" w:rsidRDefault="006955FF" w:rsidP="006955FF">
      <w:pPr>
        <w:spacing w:line="480" w:lineRule="auto"/>
        <w:rPr>
          <w:rFonts w:cstheme="minorHAnsi"/>
          <w:b/>
          <w:bCs/>
          <w:color w:val="000000" w:themeColor="text1"/>
          <w:sz w:val="24"/>
          <w:szCs w:val="24"/>
        </w:rPr>
      </w:pPr>
      <w:bookmarkStart w:id="3" w:name="_Toc69450651"/>
      <w:r w:rsidRPr="006955FF">
        <w:rPr>
          <w:rFonts w:cstheme="minorHAnsi"/>
          <w:b/>
          <w:bCs/>
          <w:color w:val="000000" w:themeColor="text1"/>
          <w:sz w:val="24"/>
          <w:szCs w:val="24"/>
        </w:rPr>
        <w:t>Duress to person</w:t>
      </w:r>
      <w:bookmarkEnd w:id="3"/>
    </w:p>
    <w:p w14:paraId="3B39B376"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lastRenderedPageBreak/>
        <w:t xml:space="preserve">The courts at common law recognized duress to person the earliest. When one of the parties to the contract force another to get into an agreement against the threat of violence, it is rendered as a duress to person. As far as duress to person is one of the reasons to contract, the courts will treat the contract as voidable; it is not necessary that duress to person should be the only reason for contract. In other words, even if the parties got into an agreement for several reasons, out of which one reason was duress to person, the contract will still be considered to be voidable – case of </w:t>
      </w:r>
      <w:r w:rsidRPr="006955FF">
        <w:rPr>
          <w:rFonts w:cstheme="minorHAnsi"/>
          <w:i/>
          <w:iCs/>
          <w:color w:val="000000" w:themeColor="text1"/>
          <w:sz w:val="24"/>
          <w:szCs w:val="24"/>
        </w:rPr>
        <w:t>Barton v Armstrong</w:t>
      </w:r>
      <w:r w:rsidRPr="006955FF">
        <w:rPr>
          <w:rFonts w:cstheme="minorHAnsi"/>
          <w:color w:val="000000" w:themeColor="text1"/>
          <w:sz w:val="24"/>
          <w:szCs w:val="24"/>
        </w:rPr>
        <w:t xml:space="preserve"> can be seen as a binding precedent. </w:t>
      </w:r>
    </w:p>
    <w:p w14:paraId="2FA695A0" w14:textId="77777777" w:rsidR="006955FF" w:rsidRPr="006955FF" w:rsidRDefault="006955FF" w:rsidP="006955FF">
      <w:pPr>
        <w:spacing w:line="480" w:lineRule="auto"/>
        <w:rPr>
          <w:rFonts w:cstheme="minorHAnsi"/>
          <w:b/>
          <w:bCs/>
          <w:color w:val="000000" w:themeColor="text1"/>
          <w:sz w:val="24"/>
          <w:szCs w:val="24"/>
        </w:rPr>
      </w:pPr>
      <w:bookmarkStart w:id="4" w:name="_Toc69450652"/>
      <w:r w:rsidRPr="006955FF">
        <w:rPr>
          <w:rFonts w:cstheme="minorHAnsi"/>
          <w:b/>
          <w:bCs/>
          <w:color w:val="000000" w:themeColor="text1"/>
          <w:sz w:val="24"/>
          <w:szCs w:val="24"/>
        </w:rPr>
        <w:t>Duress to good</w:t>
      </w:r>
      <w:bookmarkEnd w:id="4"/>
    </w:p>
    <w:p w14:paraId="24C6FA36" w14:textId="77777777" w:rsidR="006955FF" w:rsidRPr="006955FF" w:rsidRDefault="006955FF" w:rsidP="006955FF">
      <w:pPr>
        <w:spacing w:line="480" w:lineRule="auto"/>
        <w:rPr>
          <w:rFonts w:cstheme="minorHAnsi"/>
          <w:i/>
          <w:iCs/>
          <w:color w:val="000000" w:themeColor="text1"/>
          <w:sz w:val="24"/>
          <w:szCs w:val="24"/>
        </w:rPr>
      </w:pPr>
      <w:r w:rsidRPr="006955FF">
        <w:rPr>
          <w:rFonts w:cstheme="minorHAnsi"/>
          <w:color w:val="000000" w:themeColor="text1"/>
          <w:sz w:val="24"/>
          <w:szCs w:val="24"/>
        </w:rPr>
        <w:t xml:space="preserve">Put simply, duress to good is when one of the parties threatens to take (or actually takes), or threatens to destroy the goods of another unless the other </w:t>
      </w:r>
      <w:proofErr w:type="gramStart"/>
      <w:r w:rsidRPr="006955FF">
        <w:rPr>
          <w:rFonts w:cstheme="minorHAnsi"/>
          <w:color w:val="000000" w:themeColor="text1"/>
          <w:sz w:val="24"/>
          <w:szCs w:val="24"/>
        </w:rPr>
        <w:t>enters into</w:t>
      </w:r>
      <w:proofErr w:type="gramEnd"/>
      <w:r w:rsidRPr="006955FF">
        <w:rPr>
          <w:rFonts w:cstheme="minorHAnsi"/>
          <w:color w:val="000000" w:themeColor="text1"/>
          <w:sz w:val="24"/>
          <w:szCs w:val="24"/>
        </w:rPr>
        <w:t xml:space="preserve"> a contract. The same was recognized in the case of </w:t>
      </w:r>
      <w:r w:rsidRPr="006955FF">
        <w:rPr>
          <w:rFonts w:cstheme="minorHAnsi"/>
          <w:i/>
          <w:iCs/>
          <w:color w:val="000000" w:themeColor="text1"/>
          <w:sz w:val="24"/>
          <w:szCs w:val="24"/>
        </w:rPr>
        <w:t xml:space="preserve">Occidental Worldwide Investment Corp v Skibs A/S Avanti (The Siboen and The Sibotre). </w:t>
      </w:r>
    </w:p>
    <w:p w14:paraId="0079B05B" w14:textId="77777777" w:rsidR="006955FF" w:rsidRPr="006955FF" w:rsidRDefault="006955FF" w:rsidP="006955FF">
      <w:pPr>
        <w:spacing w:line="480" w:lineRule="auto"/>
        <w:rPr>
          <w:rFonts w:cstheme="minorHAnsi"/>
          <w:b/>
          <w:bCs/>
          <w:color w:val="000000" w:themeColor="text1"/>
          <w:sz w:val="24"/>
          <w:szCs w:val="24"/>
        </w:rPr>
      </w:pPr>
      <w:bookmarkStart w:id="5" w:name="_Toc69450653"/>
      <w:r w:rsidRPr="006955FF">
        <w:rPr>
          <w:rFonts w:cstheme="minorHAnsi"/>
          <w:b/>
          <w:bCs/>
          <w:color w:val="000000" w:themeColor="text1"/>
          <w:sz w:val="24"/>
          <w:szCs w:val="24"/>
        </w:rPr>
        <w:t>Economic Duress</w:t>
      </w:r>
      <w:bookmarkEnd w:id="5"/>
    </w:p>
    <w:p w14:paraId="576F3227"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For long, economic duress was not considered as a valid type of duress to render a contract voidable. The courts have recognized economic duress as a vitiating factor only recently as seen in the case of The Siboen and The Sibotre, The Atlantic Baron, and the Pao On case. The doctrine of economic duress came into existence on the basis of the reasoning of very few case laws; all these cases dealt with modification of contracts and not the formation of the contracts; the same can be seen in the cases of </w:t>
      </w:r>
      <w:r w:rsidRPr="006955FF">
        <w:rPr>
          <w:rFonts w:cstheme="minorHAnsi"/>
          <w:i/>
          <w:iCs/>
          <w:color w:val="000000" w:themeColor="text1"/>
          <w:sz w:val="24"/>
          <w:szCs w:val="24"/>
        </w:rPr>
        <w:t xml:space="preserve">Williams v Roffey Bros &amp; Nicholls </w:t>
      </w:r>
      <w:r w:rsidRPr="006955FF">
        <w:rPr>
          <w:rFonts w:cstheme="minorHAnsi"/>
          <w:color w:val="000000" w:themeColor="text1"/>
          <w:sz w:val="24"/>
          <w:szCs w:val="24"/>
        </w:rPr>
        <w:t xml:space="preserve">(contractors). </w:t>
      </w:r>
    </w:p>
    <w:p w14:paraId="5FE3EA9E"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lastRenderedPageBreak/>
        <w:t xml:space="preserve">The issue arises when the courts try to draw a line between the legitimate acceptable commercial pressure and the illegitimate unacceptable commercial pressure. As held in the case of DSDN Subsea Ltd v petroleum Geo-Services ASA by Dyson Justice, </w:t>
      </w:r>
      <w:r w:rsidRPr="006955FF">
        <w:rPr>
          <w:rFonts w:cstheme="minorHAnsi"/>
          <w:i/>
          <w:color w:val="000000" w:themeColor="text1"/>
          <w:sz w:val="24"/>
          <w:szCs w:val="24"/>
        </w:rPr>
        <w:t xml:space="preserve">“illegitimate pressure must be distinguished from the rough and tumlbe of the pressures of normal commercial bargaining.” </w:t>
      </w:r>
    </w:p>
    <w:p w14:paraId="45AC9CA5"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There is no requirement of there being an existence of an unlawful act for courts to find economic duress, even though the courts do consider it unusual to find economic duress in commercial context when there is no unlawful act that has been committed. The same principle was held in the case of </w:t>
      </w:r>
      <w:r w:rsidRPr="006955FF">
        <w:rPr>
          <w:rFonts w:cstheme="minorHAnsi"/>
          <w:i/>
          <w:iCs/>
          <w:color w:val="000000" w:themeColor="text1"/>
          <w:sz w:val="24"/>
          <w:szCs w:val="24"/>
        </w:rPr>
        <w:t xml:space="preserve">Progress Bulk Carriers Ltd v Tube Cuty IMS LLC </w:t>
      </w:r>
      <w:r w:rsidRPr="006955FF">
        <w:rPr>
          <w:rFonts w:cstheme="minorHAnsi"/>
          <w:color w:val="000000" w:themeColor="text1"/>
          <w:sz w:val="24"/>
          <w:szCs w:val="24"/>
        </w:rPr>
        <w:t xml:space="preserve">(The Cenk Kaptanoglu). </w:t>
      </w:r>
    </w:p>
    <w:p w14:paraId="0A023957"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All in all, courts find valid element of duress in a contract when there is an unlawful threat to person or good unless the victim party enters into a contract; or when there is an economic duress for the modification of an existing contract. The common element to all the cases of duress is that the victim’s consent must be vitiated such that is can be referred to as having been overborne in a manner that it is safe to say that the victim never really consented – as per Lord Scarma’s comments in the </w:t>
      </w:r>
      <w:r w:rsidRPr="006955FF">
        <w:rPr>
          <w:rFonts w:cstheme="minorHAnsi"/>
          <w:i/>
          <w:iCs/>
          <w:color w:val="000000" w:themeColor="text1"/>
          <w:sz w:val="24"/>
          <w:szCs w:val="24"/>
        </w:rPr>
        <w:t>Pao On</w:t>
      </w:r>
      <w:r w:rsidRPr="006955FF">
        <w:rPr>
          <w:rFonts w:cstheme="minorHAnsi"/>
          <w:color w:val="000000" w:themeColor="text1"/>
          <w:sz w:val="24"/>
          <w:szCs w:val="24"/>
        </w:rPr>
        <w:t xml:space="preserve"> case. However, recent case laws show that the courts do not consider the overborne will as a mandatory requirement anymore because it has now been recognized that a person acting under duress does make a choice; a choice that is indeed disapproved by law.  As put into words by Lord Hoffman in the case of </w:t>
      </w:r>
      <w:r w:rsidRPr="006955FF">
        <w:rPr>
          <w:rFonts w:cstheme="minorHAnsi"/>
          <w:i/>
          <w:iCs/>
          <w:color w:val="000000" w:themeColor="text1"/>
          <w:sz w:val="24"/>
          <w:szCs w:val="24"/>
        </w:rPr>
        <w:t>R v AG for England and Whales</w:t>
      </w:r>
      <w:r w:rsidRPr="006955FF">
        <w:rPr>
          <w:rFonts w:cstheme="minorHAnsi"/>
          <w:color w:val="000000" w:themeColor="text1"/>
          <w:sz w:val="24"/>
          <w:szCs w:val="24"/>
        </w:rPr>
        <w:t>; the wrong of duress has two elements; the pressure leading to compulsion of victim’s will, and the pressure being illegitimate.</w:t>
      </w:r>
    </w:p>
    <w:p w14:paraId="125E7874"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To distinguish acceptable commercial pressure from unacceptable commercial pressure, Lord Scarman’s speech from Pao On case can be used:</w:t>
      </w:r>
    </w:p>
    <w:p w14:paraId="4D3FB64F" w14:textId="77777777" w:rsidR="006955FF" w:rsidRPr="006955FF" w:rsidRDefault="006955FF" w:rsidP="006955FF">
      <w:pPr>
        <w:spacing w:line="480" w:lineRule="auto"/>
        <w:rPr>
          <w:rFonts w:cstheme="minorHAnsi"/>
          <w:i/>
          <w:color w:val="000000" w:themeColor="text1"/>
          <w:sz w:val="24"/>
          <w:szCs w:val="24"/>
        </w:rPr>
      </w:pPr>
      <w:r w:rsidRPr="006955FF">
        <w:rPr>
          <w:rFonts w:cstheme="minorHAnsi"/>
          <w:i/>
          <w:color w:val="000000" w:themeColor="text1"/>
          <w:sz w:val="24"/>
          <w:szCs w:val="24"/>
        </w:rPr>
        <w:lastRenderedPageBreak/>
        <w:t>“There must be present some factor which could in law be regarded as a coercion of victim’s will so as to vitiate his consent”.</w:t>
      </w:r>
    </w:p>
    <w:p w14:paraId="2041C912"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Following indicia has been put forward as something that courts may consider in identifying whether the coercion of the will was done in a manner that may be regarded as being treated as duress to vitiate victim’s consent; did the victim protest at the time, did the victim have another course of action (such as adequate legal remedy), was the victim advised independently, and did the victim make efforts to avoid the contract once it was executed?</w:t>
      </w:r>
    </w:p>
    <w:p w14:paraId="16CB7F40"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Therefore, the legality of contracts executed or modified under duress can be concluded as contracts that are voidable if the requirements mentioned above are satisfied. However, courts are not willing to extend the types of duress to cover ‘lawful act duress’, as seen in the case of </w:t>
      </w:r>
      <w:r w:rsidRPr="006955FF">
        <w:rPr>
          <w:rFonts w:cstheme="minorHAnsi"/>
          <w:i/>
          <w:iCs/>
          <w:color w:val="000000" w:themeColor="text1"/>
          <w:sz w:val="24"/>
          <w:szCs w:val="24"/>
        </w:rPr>
        <w:t>CTN Cash and Carry v Gallaher</w:t>
      </w:r>
      <w:r w:rsidRPr="006955FF">
        <w:rPr>
          <w:rFonts w:cstheme="minorHAnsi"/>
          <w:color w:val="000000" w:themeColor="text1"/>
          <w:sz w:val="24"/>
          <w:szCs w:val="24"/>
        </w:rPr>
        <w:t>; it was held that a threat of a lawful act could not constitute duress.</w:t>
      </w:r>
    </w:p>
    <w:p w14:paraId="17DD6736" w14:textId="77777777" w:rsidR="006955FF" w:rsidRPr="006955FF" w:rsidRDefault="006955FF" w:rsidP="006955FF">
      <w:pPr>
        <w:spacing w:line="480" w:lineRule="auto"/>
        <w:rPr>
          <w:rFonts w:cstheme="minorHAnsi"/>
          <w:b/>
          <w:bCs/>
          <w:color w:val="000000" w:themeColor="text1"/>
          <w:sz w:val="24"/>
          <w:szCs w:val="24"/>
        </w:rPr>
      </w:pPr>
      <w:bookmarkStart w:id="6" w:name="_Toc69450654"/>
      <w:r w:rsidRPr="006955FF">
        <w:rPr>
          <w:rFonts w:cstheme="minorHAnsi"/>
          <w:b/>
          <w:bCs/>
          <w:color w:val="000000" w:themeColor="text1"/>
          <w:sz w:val="24"/>
          <w:szCs w:val="24"/>
        </w:rPr>
        <w:t>Undue Influence</w:t>
      </w:r>
      <w:bookmarkEnd w:id="6"/>
    </w:p>
    <w:p w14:paraId="23CD357F" w14:textId="77777777" w:rsidR="006955FF" w:rsidRPr="006955FF" w:rsidRDefault="006955FF" w:rsidP="006955FF">
      <w:pPr>
        <w:pStyle w:val="NoSpacing"/>
        <w:spacing w:line="480" w:lineRule="auto"/>
        <w:rPr>
          <w:rFonts w:cstheme="minorHAnsi"/>
          <w:color w:val="000000" w:themeColor="text1"/>
          <w:sz w:val="24"/>
          <w:szCs w:val="24"/>
        </w:rPr>
      </w:pPr>
      <w:r w:rsidRPr="006955FF">
        <w:rPr>
          <w:rFonts w:cstheme="minorHAnsi"/>
          <w:color w:val="000000" w:themeColor="text1"/>
          <w:sz w:val="24"/>
          <w:szCs w:val="24"/>
        </w:rPr>
        <w:t xml:space="preserve">While the common law doctrine of duress is concerned with the procedure through which the contract was formed or modified, the equitable doctrine of undue influence is concerned with the relationships of the parties. Undue influence is defined by Mummery LJ in </w:t>
      </w:r>
      <w:r w:rsidRPr="006955FF">
        <w:rPr>
          <w:rFonts w:cstheme="minorHAnsi"/>
          <w:i/>
          <w:iCs/>
          <w:color w:val="000000" w:themeColor="text1"/>
          <w:sz w:val="24"/>
          <w:szCs w:val="24"/>
          <w:lang/>
        </w:rPr>
        <w:t xml:space="preserve">Macklin v Dowsett </w:t>
      </w:r>
      <w:r w:rsidRPr="006955FF">
        <w:rPr>
          <w:rFonts w:cstheme="minorHAnsi"/>
          <w:color w:val="000000" w:themeColor="text1"/>
          <w:sz w:val="24"/>
          <w:szCs w:val="24"/>
        </w:rPr>
        <w:t xml:space="preserve">as </w:t>
      </w:r>
    </w:p>
    <w:p w14:paraId="128A096E" w14:textId="77777777" w:rsidR="006955FF" w:rsidRPr="006955FF" w:rsidRDefault="006955FF" w:rsidP="006955FF">
      <w:pPr>
        <w:pStyle w:val="NoSpacing"/>
        <w:spacing w:line="480" w:lineRule="auto"/>
        <w:rPr>
          <w:rFonts w:cstheme="minorHAnsi"/>
          <w:color w:val="000000" w:themeColor="text1"/>
          <w:sz w:val="24"/>
          <w:szCs w:val="24"/>
        </w:rPr>
      </w:pPr>
      <w:r w:rsidRPr="006955FF">
        <w:rPr>
          <w:rFonts w:cstheme="minorHAnsi"/>
          <w:color w:val="000000" w:themeColor="text1"/>
          <w:sz w:val="24"/>
          <w:szCs w:val="24"/>
        </w:rPr>
        <w:t>“</w:t>
      </w:r>
      <w:r w:rsidRPr="006955FF">
        <w:rPr>
          <w:rFonts w:cstheme="minorHAnsi"/>
          <w:i/>
          <w:iCs/>
          <w:color w:val="000000" w:themeColor="text1"/>
          <w:sz w:val="24"/>
          <w:szCs w:val="24"/>
          <w:lang/>
        </w:rPr>
        <w:t>as an ‘equitable wrong’ or even as a</w:t>
      </w:r>
      <w:r w:rsidRPr="006955FF">
        <w:rPr>
          <w:rFonts w:cstheme="minorHAnsi"/>
          <w:i/>
          <w:iCs/>
          <w:color w:val="000000" w:themeColor="text1"/>
          <w:sz w:val="24"/>
          <w:szCs w:val="24"/>
        </w:rPr>
        <w:t xml:space="preserve"> </w:t>
      </w:r>
      <w:r w:rsidRPr="006955FF">
        <w:rPr>
          <w:rFonts w:cstheme="minorHAnsi"/>
          <w:i/>
          <w:iCs/>
          <w:color w:val="000000" w:themeColor="text1"/>
          <w:sz w:val="24"/>
          <w:szCs w:val="24"/>
          <w:lang/>
        </w:rPr>
        <w:t>species of equitable fraud</w:t>
      </w:r>
      <w:r w:rsidRPr="006955FF">
        <w:rPr>
          <w:rFonts w:cstheme="minorHAnsi"/>
          <w:color w:val="000000" w:themeColor="text1"/>
          <w:sz w:val="24"/>
          <w:szCs w:val="24"/>
        </w:rPr>
        <w:t>.” It is generally said to include, “</w:t>
      </w:r>
      <w:r w:rsidRPr="006955FF">
        <w:rPr>
          <w:rFonts w:cstheme="minorHAnsi"/>
          <w:i/>
          <w:iCs/>
          <w:color w:val="000000" w:themeColor="text1"/>
          <w:sz w:val="24"/>
          <w:szCs w:val="24"/>
        </w:rPr>
        <w:t>the gaining of an unfair advantage by an unconscientious use of power by a stronger party against a weaker in the form of some unfair and improper conduct, some coercion from outside, some overreaching, some form of cheating, and generally, though not always, some personal advantage obtained by the stronger party.</w:t>
      </w:r>
      <w:r w:rsidRPr="006955FF">
        <w:rPr>
          <w:rFonts w:cstheme="minorHAnsi"/>
          <w:color w:val="000000" w:themeColor="text1"/>
          <w:sz w:val="24"/>
          <w:szCs w:val="24"/>
        </w:rPr>
        <w:t>” (</w:t>
      </w:r>
      <w:r w:rsidRPr="006955FF">
        <w:rPr>
          <w:rFonts w:cstheme="minorHAnsi"/>
          <w:i/>
          <w:iCs/>
          <w:color w:val="000000" w:themeColor="text1"/>
          <w:sz w:val="24"/>
          <w:szCs w:val="24"/>
        </w:rPr>
        <w:t xml:space="preserve">Contractors Bonding Ltd </w:t>
      </w:r>
      <w:r w:rsidRPr="006955FF">
        <w:rPr>
          <w:rFonts w:cstheme="minorHAnsi"/>
          <w:i/>
          <w:iCs/>
          <w:color w:val="000000" w:themeColor="text1"/>
          <w:sz w:val="24"/>
          <w:szCs w:val="24"/>
        </w:rPr>
        <w:lastRenderedPageBreak/>
        <w:t xml:space="preserve">v Snee). </w:t>
      </w:r>
      <w:r w:rsidRPr="006955FF">
        <w:rPr>
          <w:rFonts w:cstheme="minorHAnsi"/>
          <w:color w:val="000000" w:themeColor="text1"/>
          <w:sz w:val="24"/>
          <w:szCs w:val="24"/>
        </w:rPr>
        <w:t xml:space="preserve">As held in the case of </w:t>
      </w:r>
      <w:r w:rsidRPr="006955FF">
        <w:rPr>
          <w:rFonts w:cstheme="minorHAnsi"/>
          <w:i/>
          <w:iCs/>
          <w:color w:val="000000" w:themeColor="text1"/>
          <w:sz w:val="24"/>
          <w:szCs w:val="24"/>
        </w:rPr>
        <w:t>Royal Bank of Scotland v Etridge,</w:t>
      </w:r>
      <w:r w:rsidRPr="006955FF">
        <w:rPr>
          <w:rFonts w:cstheme="minorHAnsi"/>
          <w:color w:val="000000" w:themeColor="text1"/>
          <w:sz w:val="24"/>
          <w:szCs w:val="24"/>
        </w:rPr>
        <w:t xml:space="preserve"> the equitable objective behind the doctrine of undue influence is to ensure that the influence of one party over another is not abused in a commercial setting. </w:t>
      </w:r>
    </w:p>
    <w:p w14:paraId="54986E97"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Prior to the recent changes made to the concept of undue influence, the said concept was categorized into two groups: actual and presumed undue influence – as established in the case of </w:t>
      </w:r>
      <w:r w:rsidRPr="006955FF">
        <w:rPr>
          <w:rFonts w:cstheme="minorHAnsi"/>
          <w:i/>
          <w:iCs/>
          <w:color w:val="000000" w:themeColor="text1"/>
          <w:sz w:val="24"/>
          <w:szCs w:val="24"/>
        </w:rPr>
        <w:t>Allcard v Skinner</w:t>
      </w:r>
      <w:r w:rsidRPr="006955FF">
        <w:rPr>
          <w:rFonts w:cstheme="minorHAnsi"/>
          <w:color w:val="000000" w:themeColor="text1"/>
          <w:sz w:val="24"/>
          <w:szCs w:val="24"/>
        </w:rPr>
        <w:t>. The group labeled presumed undue influence was further subdivided into groups called class 2A and class 2B; “</w:t>
      </w:r>
      <w:r w:rsidRPr="006955FF">
        <w:rPr>
          <w:rFonts w:cstheme="minorHAnsi"/>
          <w:i/>
          <w:iCs/>
          <w:color w:val="000000" w:themeColor="text1"/>
          <w:sz w:val="24"/>
          <w:szCs w:val="24"/>
        </w:rPr>
        <w:t>The presumption may arise automatically from the type of relationship (Class 2A) or it may be necessary to establish that the specific relationship between the particular parties is such as to give rise to the presumption (Class 2B)”</w:t>
      </w:r>
      <w:r w:rsidRPr="006955FF">
        <w:rPr>
          <w:rFonts w:cstheme="minorHAnsi"/>
          <w:color w:val="000000" w:themeColor="text1"/>
          <w:sz w:val="24"/>
          <w:szCs w:val="24"/>
        </w:rPr>
        <w:t xml:space="preserve"> (Koffman, 2010, p.297). All such groups were disapproved in the case of </w:t>
      </w:r>
      <w:r w:rsidRPr="006955FF">
        <w:rPr>
          <w:rFonts w:cstheme="minorHAnsi"/>
          <w:i/>
          <w:iCs/>
          <w:color w:val="000000" w:themeColor="text1"/>
          <w:sz w:val="24"/>
          <w:szCs w:val="24"/>
        </w:rPr>
        <w:t>Etridge</w:t>
      </w:r>
      <w:r w:rsidRPr="006955FF">
        <w:rPr>
          <w:rFonts w:cstheme="minorHAnsi"/>
          <w:color w:val="000000" w:themeColor="text1"/>
          <w:sz w:val="24"/>
          <w:szCs w:val="24"/>
        </w:rPr>
        <w:t xml:space="preserve"> by the House of Lords (Hadjiani, 2002). </w:t>
      </w:r>
    </w:p>
    <w:p w14:paraId="76D78872" w14:textId="77777777" w:rsidR="006955FF" w:rsidRPr="006955FF" w:rsidRDefault="006955FF" w:rsidP="006955FF">
      <w:pPr>
        <w:spacing w:line="480" w:lineRule="auto"/>
        <w:rPr>
          <w:rFonts w:cstheme="minorHAnsi"/>
          <w:b/>
          <w:bCs/>
          <w:color w:val="000000" w:themeColor="text1"/>
          <w:sz w:val="24"/>
          <w:szCs w:val="24"/>
        </w:rPr>
      </w:pPr>
      <w:bookmarkStart w:id="7" w:name="_Toc69450655"/>
      <w:r w:rsidRPr="006955FF">
        <w:rPr>
          <w:rFonts w:cstheme="minorHAnsi"/>
          <w:b/>
          <w:bCs/>
          <w:color w:val="000000" w:themeColor="text1"/>
          <w:sz w:val="24"/>
          <w:szCs w:val="24"/>
        </w:rPr>
        <w:t>Actual undue influence</w:t>
      </w:r>
      <w:bookmarkEnd w:id="7"/>
    </w:p>
    <w:p w14:paraId="459A6557"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Cases where the claimant can prove that the wrongdoer exerted undue influence over the complainant to enter into a transaction fall under this category. The requirements to prove such a case are that the party to the transaction should be in a position to influence the other, the party influenced the other party, the influence that was exercised was undue, and that the transaction happened but for the undue influence (Macdonald, 1989).</w:t>
      </w:r>
    </w:p>
    <w:p w14:paraId="4F2E920C"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As seen in the case of Lloyds </w:t>
      </w:r>
      <w:r w:rsidRPr="006955FF">
        <w:rPr>
          <w:rFonts w:cstheme="minorHAnsi"/>
          <w:i/>
          <w:iCs/>
          <w:color w:val="000000" w:themeColor="text1"/>
          <w:sz w:val="24"/>
          <w:szCs w:val="24"/>
        </w:rPr>
        <w:t>Bank v Bundy</w:t>
      </w:r>
      <w:r w:rsidRPr="006955FF">
        <w:rPr>
          <w:rFonts w:cstheme="minorHAnsi"/>
          <w:color w:val="000000" w:themeColor="text1"/>
          <w:sz w:val="24"/>
          <w:szCs w:val="24"/>
        </w:rPr>
        <w:t xml:space="preserve">, </w:t>
      </w:r>
      <w:r w:rsidRPr="006955FF">
        <w:rPr>
          <w:rFonts w:cstheme="minorHAnsi"/>
          <w:i/>
          <w:iCs/>
          <w:color w:val="000000" w:themeColor="text1"/>
          <w:sz w:val="24"/>
          <w:szCs w:val="24"/>
        </w:rPr>
        <w:t>CIBC Mortgages v Pitt</w:t>
      </w:r>
      <w:r w:rsidRPr="006955FF">
        <w:rPr>
          <w:rFonts w:cstheme="minorHAnsi"/>
          <w:color w:val="000000" w:themeColor="text1"/>
          <w:sz w:val="24"/>
          <w:szCs w:val="24"/>
        </w:rPr>
        <w:t>, there is no requirement to prove that the transaction was disadvantageous for the victim party to the contract.</w:t>
      </w:r>
    </w:p>
    <w:p w14:paraId="48A5AF39" w14:textId="77777777" w:rsidR="006955FF" w:rsidRPr="006955FF" w:rsidRDefault="006955FF" w:rsidP="006955FF">
      <w:pPr>
        <w:spacing w:line="480" w:lineRule="auto"/>
        <w:rPr>
          <w:rFonts w:cstheme="minorHAnsi"/>
          <w:b/>
          <w:bCs/>
          <w:color w:val="000000" w:themeColor="text1"/>
          <w:sz w:val="24"/>
          <w:szCs w:val="24"/>
        </w:rPr>
      </w:pPr>
      <w:bookmarkStart w:id="8" w:name="_Toc69450656"/>
      <w:r w:rsidRPr="006955FF">
        <w:rPr>
          <w:rFonts w:cstheme="minorHAnsi"/>
          <w:b/>
          <w:bCs/>
          <w:color w:val="000000" w:themeColor="text1"/>
          <w:sz w:val="24"/>
          <w:szCs w:val="24"/>
        </w:rPr>
        <w:t>Presumed Undue Influence</w:t>
      </w:r>
      <w:bookmarkEnd w:id="8"/>
    </w:p>
    <w:p w14:paraId="174007E2"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Cases where the claimant does not need to prove actual undue influence fall under this category; however, such cases can only arise on the basis of either of the two ways; there is </w:t>
      </w:r>
      <w:r w:rsidRPr="006955FF">
        <w:rPr>
          <w:rFonts w:cstheme="minorHAnsi"/>
          <w:color w:val="000000" w:themeColor="text1"/>
          <w:sz w:val="24"/>
          <w:szCs w:val="24"/>
        </w:rPr>
        <w:lastRenderedPageBreak/>
        <w:t>a genuine presumption made by law regarding certain kinds of relationships, and the evidential burden of proof shifts from the complainant to the accused to prove that there was in effect no undue influence.</w:t>
      </w:r>
    </w:p>
    <w:p w14:paraId="0E7B2B57"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For a valid claim falling under the ambit of presumed undue influence, there are two requirements that need to be fulfilled are that the complainant put their trust and confidence in the accused and secondly, the transaction is not explainable but through the virtue of being a result of undue influence.</w:t>
      </w:r>
    </w:p>
    <w:p w14:paraId="263A71F6" w14:textId="77777777" w:rsidR="006955FF" w:rsidRPr="006955FF" w:rsidRDefault="006955FF" w:rsidP="006955FF">
      <w:pPr>
        <w:spacing w:line="480" w:lineRule="auto"/>
        <w:rPr>
          <w:rFonts w:cstheme="minorHAnsi"/>
          <w:b/>
          <w:bCs/>
          <w:color w:val="000000" w:themeColor="text1"/>
          <w:sz w:val="24"/>
          <w:szCs w:val="24"/>
        </w:rPr>
      </w:pPr>
      <w:bookmarkStart w:id="9" w:name="_Toc69450657"/>
      <w:r w:rsidRPr="006955FF">
        <w:rPr>
          <w:rFonts w:cstheme="minorHAnsi"/>
          <w:b/>
          <w:bCs/>
          <w:color w:val="000000" w:themeColor="text1"/>
          <w:sz w:val="24"/>
          <w:szCs w:val="24"/>
        </w:rPr>
        <w:t>Genuine presumptions</w:t>
      </w:r>
      <w:bookmarkEnd w:id="9"/>
    </w:p>
    <w:p w14:paraId="2B32BD8A"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There is a small list of relationships as defined by law, where law genuinely presumes there to be a relationship based on trust and confidence, such as doctor and patient, trustee and beneficiary, solicitor and client, religious advisor and disciple. In such cases, the complainant does not have to prove actual undue influence, only establishing that there existed a certain relationship will suffice. The bigger and greater the transaction between such parties, the more cogent explanation is required by the accused in the court as a rebuttal.</w:t>
      </w:r>
    </w:p>
    <w:p w14:paraId="549E226F" w14:textId="77777777" w:rsidR="006955FF" w:rsidRPr="006955FF" w:rsidRDefault="006955FF" w:rsidP="006955FF">
      <w:pPr>
        <w:spacing w:line="480" w:lineRule="auto"/>
        <w:rPr>
          <w:rFonts w:cstheme="minorHAnsi"/>
          <w:b/>
          <w:bCs/>
          <w:color w:val="000000" w:themeColor="text1"/>
          <w:sz w:val="24"/>
          <w:szCs w:val="24"/>
        </w:rPr>
      </w:pPr>
      <w:bookmarkStart w:id="10" w:name="_Toc69450658"/>
      <w:r w:rsidRPr="006955FF">
        <w:rPr>
          <w:rFonts w:cstheme="minorHAnsi"/>
          <w:b/>
          <w:bCs/>
          <w:color w:val="000000" w:themeColor="text1"/>
          <w:sz w:val="24"/>
          <w:szCs w:val="24"/>
        </w:rPr>
        <w:t>Evidential presumptions</w:t>
      </w:r>
      <w:bookmarkEnd w:id="10"/>
    </w:p>
    <w:p w14:paraId="519BEB38"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When the relationship between the parties does not fall in the list provided by the law, the complainant can prove the existence of:</w:t>
      </w:r>
    </w:p>
    <w:p w14:paraId="659B9696" w14:textId="77777777" w:rsidR="006955FF" w:rsidRPr="006955FF" w:rsidRDefault="006955FF" w:rsidP="006955FF">
      <w:pPr>
        <w:spacing w:line="480" w:lineRule="auto"/>
        <w:rPr>
          <w:rFonts w:cstheme="minorHAnsi"/>
          <w:iCs/>
          <w:color w:val="000000" w:themeColor="text1"/>
          <w:sz w:val="24"/>
          <w:szCs w:val="24"/>
        </w:rPr>
      </w:pPr>
      <w:r w:rsidRPr="006955FF">
        <w:rPr>
          <w:rFonts w:cstheme="minorHAnsi"/>
          <w:i/>
          <w:color w:val="000000" w:themeColor="text1"/>
          <w:sz w:val="24"/>
          <w:szCs w:val="24"/>
        </w:rPr>
        <w:t xml:space="preserve">“a (de facto) relationship under which the complainant generally reposed trust and confidence in the wrongdoer, the existence of such relationship raises the presumption of undue influence”. (Barclays Bank v O’Brien).  </w:t>
      </w:r>
    </w:p>
    <w:p w14:paraId="1CECF121" w14:textId="4E464DAD"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Once such a relationship can be proven, the evidential burden of proof shifts on the accused to prove that there was no undue influence. There are two requirements for the validity of </w:t>
      </w:r>
      <w:r w:rsidRPr="006955FF">
        <w:rPr>
          <w:rFonts w:cstheme="minorHAnsi"/>
          <w:color w:val="000000" w:themeColor="text1"/>
          <w:sz w:val="24"/>
          <w:szCs w:val="24"/>
        </w:rPr>
        <w:lastRenderedPageBreak/>
        <w:t xml:space="preserve">such cases; the transaction must be </w:t>
      </w:r>
      <w:r w:rsidR="00A427A8" w:rsidRPr="006955FF">
        <w:rPr>
          <w:rFonts w:cstheme="minorHAnsi"/>
          <w:color w:val="000000" w:themeColor="text1"/>
          <w:sz w:val="24"/>
          <w:szCs w:val="24"/>
        </w:rPr>
        <w:t>inexplicable,</w:t>
      </w:r>
      <w:r w:rsidRPr="006955FF">
        <w:rPr>
          <w:rFonts w:cstheme="minorHAnsi"/>
          <w:color w:val="000000" w:themeColor="text1"/>
          <w:sz w:val="24"/>
          <w:szCs w:val="24"/>
        </w:rPr>
        <w:t xml:space="preserve"> and the transition must be disadvantageous for the victim party.</w:t>
      </w:r>
    </w:p>
    <w:p w14:paraId="48EB4366"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The disadvantage for the weaker party is a requirement to strengthen the claim of the victim that there was no reason for them to get into a contract or to execute a transaction. This in turn shifts the burden on the accused, who has to prove that there was no undue influence. The accused can rebut the presumption by proving that the complainant understood their actions and that they acted independently. The most common way to rebut is through proving that the complainant took independent advice before acting, therefore, they acted independently – an example of the same can be seen in the case of Etridge. (Bigwood, 2002)</w:t>
      </w:r>
    </w:p>
    <w:p w14:paraId="048573AE" w14:textId="77777777" w:rsidR="006955FF" w:rsidRPr="006955FF" w:rsidRDefault="006955FF" w:rsidP="006955FF">
      <w:pPr>
        <w:spacing w:line="480" w:lineRule="auto"/>
        <w:rPr>
          <w:rFonts w:cstheme="minorHAnsi"/>
          <w:b/>
          <w:bCs/>
          <w:color w:val="000000" w:themeColor="text1"/>
          <w:sz w:val="24"/>
          <w:szCs w:val="24"/>
        </w:rPr>
      </w:pPr>
      <w:bookmarkStart w:id="11" w:name="_Toc69450659"/>
      <w:r w:rsidRPr="006955FF">
        <w:rPr>
          <w:rFonts w:cstheme="minorHAnsi"/>
          <w:b/>
          <w:bCs/>
          <w:color w:val="000000" w:themeColor="text1"/>
          <w:sz w:val="24"/>
          <w:szCs w:val="24"/>
        </w:rPr>
        <w:t>Undue influence and the third parties</w:t>
      </w:r>
      <w:bookmarkEnd w:id="11"/>
    </w:p>
    <w:p w14:paraId="0EB3829A" w14:textId="2CEA1CFC"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The situation becomes challenging when the existence of third parties come into play. Most of the cases of undue influence that come to the court are regarding facts where A and B are in a relationship of undue influence, and B gets into a contract with C for the benefit for A. For example, one of the partners in a married couple unduly influences the other to get a loan from the bank for their own benefit. The issue arises </w:t>
      </w:r>
      <w:r w:rsidR="00A427A8" w:rsidRPr="006955FF">
        <w:rPr>
          <w:rFonts w:cstheme="minorHAnsi"/>
          <w:color w:val="000000" w:themeColor="text1"/>
          <w:sz w:val="24"/>
          <w:szCs w:val="24"/>
        </w:rPr>
        <w:t>in regard to</w:t>
      </w:r>
      <w:r w:rsidRPr="006955FF">
        <w:rPr>
          <w:rFonts w:cstheme="minorHAnsi"/>
          <w:color w:val="000000" w:themeColor="text1"/>
          <w:sz w:val="24"/>
          <w:szCs w:val="24"/>
        </w:rPr>
        <w:t xml:space="preserve"> whether the courts should set the contract aside. The courts typically do set the contract aside if the banks have the constructive or actual notice of undue influence. Banks can easily try to evade liability or such consequences by advising the party to take legal advice, so they can rebut any presumptions or raise the defense of the complainant acting independently – as seen in </w:t>
      </w:r>
      <w:r w:rsidRPr="006955FF">
        <w:rPr>
          <w:rFonts w:cstheme="minorHAnsi"/>
          <w:i/>
          <w:iCs/>
          <w:color w:val="000000" w:themeColor="text1"/>
          <w:sz w:val="24"/>
          <w:szCs w:val="24"/>
        </w:rPr>
        <w:t>Barclays Bank v O’Brien</w:t>
      </w:r>
      <w:r w:rsidRPr="006955FF">
        <w:rPr>
          <w:rFonts w:cstheme="minorHAnsi"/>
          <w:color w:val="000000" w:themeColor="text1"/>
          <w:sz w:val="24"/>
          <w:szCs w:val="24"/>
        </w:rPr>
        <w:t xml:space="preserve">. In more recent cases, the House of Lords has provided guidance for financial institutions as well as to solicitors on how to advise on such matters; for example, in the case of Etridge, and in the case of </w:t>
      </w:r>
      <w:r w:rsidRPr="006955FF">
        <w:rPr>
          <w:rFonts w:cstheme="minorHAnsi"/>
          <w:i/>
          <w:iCs/>
          <w:color w:val="000000" w:themeColor="text1"/>
          <w:sz w:val="24"/>
          <w:szCs w:val="24"/>
        </w:rPr>
        <w:t>Padden v Bevan Ashford</w:t>
      </w:r>
      <w:r w:rsidRPr="006955FF">
        <w:rPr>
          <w:rFonts w:cstheme="minorHAnsi"/>
          <w:color w:val="000000" w:themeColor="text1"/>
          <w:sz w:val="24"/>
          <w:szCs w:val="24"/>
        </w:rPr>
        <w:t xml:space="preserve">. </w:t>
      </w:r>
    </w:p>
    <w:p w14:paraId="17A5FDC1" w14:textId="77777777" w:rsidR="006955FF" w:rsidRPr="006955FF" w:rsidRDefault="006955FF" w:rsidP="006955FF">
      <w:pPr>
        <w:spacing w:line="480" w:lineRule="auto"/>
        <w:rPr>
          <w:rFonts w:cstheme="minorHAnsi"/>
          <w:b/>
          <w:bCs/>
          <w:color w:val="000000" w:themeColor="text1"/>
          <w:sz w:val="24"/>
          <w:szCs w:val="24"/>
        </w:rPr>
      </w:pPr>
      <w:bookmarkStart w:id="12" w:name="_Toc69450660"/>
      <w:r w:rsidRPr="006955FF">
        <w:rPr>
          <w:rFonts w:cstheme="minorHAnsi"/>
          <w:b/>
          <w:bCs/>
          <w:color w:val="000000" w:themeColor="text1"/>
          <w:sz w:val="24"/>
          <w:szCs w:val="24"/>
        </w:rPr>
        <w:lastRenderedPageBreak/>
        <w:t>Conclusion</w:t>
      </w:r>
      <w:bookmarkEnd w:id="12"/>
    </w:p>
    <w:p w14:paraId="5604843E" w14:textId="77777777" w:rsidR="006955FF" w:rsidRPr="006955FF" w:rsidRDefault="006955FF" w:rsidP="006955FF">
      <w:pPr>
        <w:spacing w:line="480" w:lineRule="auto"/>
        <w:rPr>
          <w:rFonts w:cstheme="minorHAnsi"/>
          <w:color w:val="000000" w:themeColor="text1"/>
          <w:sz w:val="24"/>
          <w:szCs w:val="24"/>
        </w:rPr>
      </w:pPr>
      <w:r w:rsidRPr="006955FF">
        <w:rPr>
          <w:rFonts w:cstheme="minorHAnsi"/>
          <w:color w:val="000000" w:themeColor="text1"/>
          <w:sz w:val="24"/>
          <w:szCs w:val="24"/>
        </w:rPr>
        <w:t xml:space="preserve">As a conclusion, </w:t>
      </w:r>
      <w:r w:rsidRPr="006955FF">
        <w:rPr>
          <w:rFonts w:cstheme="minorHAnsi"/>
          <w:bCs/>
          <w:color w:val="000000" w:themeColor="text1"/>
          <w:sz w:val="24"/>
          <w:szCs w:val="24"/>
        </w:rPr>
        <w:t xml:space="preserve">the courts do uphold a contract entered into </w:t>
      </w:r>
      <w:proofErr w:type="gramStart"/>
      <w:r w:rsidRPr="006955FF">
        <w:rPr>
          <w:rFonts w:cstheme="minorHAnsi"/>
          <w:bCs/>
          <w:color w:val="000000" w:themeColor="text1"/>
          <w:sz w:val="24"/>
          <w:szCs w:val="24"/>
        </w:rPr>
        <w:t>as a result of</w:t>
      </w:r>
      <w:proofErr w:type="gramEnd"/>
      <w:r w:rsidRPr="006955FF">
        <w:rPr>
          <w:rFonts w:cstheme="minorHAnsi"/>
          <w:bCs/>
          <w:color w:val="000000" w:themeColor="text1"/>
          <w:sz w:val="24"/>
          <w:szCs w:val="24"/>
        </w:rPr>
        <w:t xml:space="preserve"> threats or pressure by one party to the contract upon the other, however, there do exist a number of requirements that the complainant need to satisfy for a valid claim under the relevant statutory and common law provisions. </w:t>
      </w:r>
    </w:p>
    <w:p w14:paraId="06522208" w14:textId="77777777" w:rsidR="006955FF" w:rsidRPr="006955FF" w:rsidRDefault="006955FF" w:rsidP="006955FF">
      <w:pPr>
        <w:spacing w:line="480" w:lineRule="auto"/>
        <w:rPr>
          <w:rFonts w:cstheme="minorHAnsi"/>
          <w:color w:val="4472C4" w:themeColor="accent1"/>
          <w:sz w:val="24"/>
          <w:szCs w:val="24"/>
        </w:rPr>
      </w:pPr>
      <w:r w:rsidRPr="006955FF">
        <w:rPr>
          <w:rFonts w:cstheme="minorHAnsi"/>
          <w:color w:val="4472C4" w:themeColor="accent1"/>
          <w:sz w:val="24"/>
          <w:szCs w:val="24"/>
        </w:rPr>
        <w:t>Bibliography:</w:t>
      </w:r>
    </w:p>
    <w:p w14:paraId="17F048C7" w14:textId="77777777" w:rsidR="006955FF" w:rsidRPr="006955FF" w:rsidRDefault="006955FF" w:rsidP="006955FF">
      <w:pPr>
        <w:spacing w:line="480" w:lineRule="auto"/>
        <w:rPr>
          <w:rFonts w:cstheme="minorHAnsi"/>
          <w:color w:val="4472C4" w:themeColor="accent1"/>
          <w:sz w:val="24"/>
          <w:szCs w:val="24"/>
        </w:rPr>
      </w:pPr>
      <w:r w:rsidRPr="006955FF">
        <w:rPr>
          <w:rFonts w:cstheme="minorHAnsi"/>
          <w:color w:val="4472C4" w:themeColor="accent1"/>
          <w:sz w:val="24"/>
          <w:szCs w:val="24"/>
        </w:rPr>
        <w:t>Primary sources:</w:t>
      </w:r>
    </w:p>
    <w:p w14:paraId="7824B2C9" w14:textId="77777777" w:rsidR="006955FF" w:rsidRPr="006955FF" w:rsidRDefault="006955FF" w:rsidP="006955FF">
      <w:pPr>
        <w:spacing w:line="480" w:lineRule="auto"/>
        <w:rPr>
          <w:rFonts w:cstheme="minorHAnsi"/>
          <w:color w:val="4472C4" w:themeColor="accent1"/>
          <w:sz w:val="24"/>
          <w:szCs w:val="24"/>
        </w:rPr>
      </w:pPr>
      <w:r w:rsidRPr="006955FF">
        <w:rPr>
          <w:rFonts w:cstheme="minorHAnsi"/>
          <w:color w:val="4472C4" w:themeColor="accent1"/>
          <w:sz w:val="24"/>
          <w:szCs w:val="24"/>
        </w:rPr>
        <w:t>Cases:</w:t>
      </w:r>
    </w:p>
    <w:p w14:paraId="32EBC793"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Allcard v Skinner (1887)</w:t>
      </w:r>
      <w:r w:rsidRPr="006955FF">
        <w:rPr>
          <w:rFonts w:cstheme="minorHAnsi"/>
          <w:i/>
          <w:iCs/>
          <w:color w:val="000000" w:themeColor="text1"/>
          <w:sz w:val="24"/>
          <w:szCs w:val="24"/>
        </w:rPr>
        <w:t xml:space="preserve"> 36 Ch D 145.</w:t>
      </w:r>
    </w:p>
    <w:p w14:paraId="1A54244D"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Barclays Bank v O'Brien (1994) 1 AC 180, 189.</w:t>
      </w:r>
    </w:p>
    <w:p w14:paraId="290165E8"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Barton v Armstrong (1976) AC 104.</w:t>
      </w:r>
    </w:p>
    <w:p w14:paraId="35AF3725"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rPr>
        <w:t>Contractors Bonding Ltd v Snee (1992) 2 NZLR 157, 165.</w:t>
      </w:r>
    </w:p>
    <w:p w14:paraId="1DE35352"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CTN Cash and Carry v Gallaher (1994)</w:t>
      </w:r>
      <w:r w:rsidRPr="006955FF">
        <w:rPr>
          <w:rFonts w:cstheme="minorHAnsi"/>
          <w:i/>
          <w:iCs/>
          <w:color w:val="000000" w:themeColor="text1"/>
          <w:sz w:val="24"/>
          <w:szCs w:val="24"/>
        </w:rPr>
        <w:t xml:space="preserve"> 4 All ER 714.</w:t>
      </w:r>
    </w:p>
    <w:p w14:paraId="35003234"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Cumming v Ince (1847) 11 Q.B. 11</w:t>
      </w:r>
      <w:r w:rsidRPr="006955FF">
        <w:rPr>
          <w:rFonts w:cstheme="minorHAnsi"/>
          <w:i/>
          <w:iCs/>
          <w:color w:val="000000" w:themeColor="text1"/>
          <w:sz w:val="24"/>
          <w:szCs w:val="24"/>
        </w:rPr>
        <w:t>2.</w:t>
      </w:r>
    </w:p>
    <w:p w14:paraId="6392BE52"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DSDN Subsea Ltd v petroleum Geo-Services ASA by Dyson Justice (2000) BLR 530.</w:t>
      </w:r>
    </w:p>
    <w:p w14:paraId="0F9C29EE"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 xml:space="preserve">Lloyds Bank </w:t>
      </w:r>
      <w:r w:rsidRPr="006955FF">
        <w:rPr>
          <w:rFonts w:cstheme="minorHAnsi"/>
          <w:i/>
          <w:iCs/>
          <w:color w:val="000000" w:themeColor="text1"/>
          <w:sz w:val="24"/>
          <w:szCs w:val="24"/>
        </w:rPr>
        <w:t xml:space="preserve">Ltd </w:t>
      </w:r>
      <w:r w:rsidRPr="006955FF">
        <w:rPr>
          <w:rFonts w:cstheme="minorHAnsi"/>
          <w:i/>
          <w:iCs/>
          <w:color w:val="000000" w:themeColor="text1"/>
          <w:sz w:val="24"/>
          <w:szCs w:val="24"/>
          <w:lang/>
        </w:rPr>
        <w:t>v Bundy (1975)</w:t>
      </w:r>
      <w:r w:rsidRPr="006955FF">
        <w:rPr>
          <w:rFonts w:cstheme="minorHAnsi"/>
          <w:i/>
          <w:iCs/>
          <w:color w:val="000000" w:themeColor="text1"/>
          <w:sz w:val="24"/>
          <w:szCs w:val="24"/>
        </w:rPr>
        <w:t xml:space="preserve"> QB 326.</w:t>
      </w:r>
    </w:p>
    <w:p w14:paraId="750156A4"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rPr>
      </w:pPr>
      <w:r w:rsidRPr="006955FF">
        <w:rPr>
          <w:rFonts w:cstheme="minorHAnsi"/>
          <w:i/>
          <w:iCs/>
          <w:color w:val="000000" w:themeColor="text1"/>
          <w:sz w:val="24"/>
          <w:szCs w:val="24"/>
          <w:lang/>
        </w:rPr>
        <w:t>Macklin v Dowsett [2004] EWCA Civ 904) Mummery LJ</w:t>
      </w:r>
      <w:r w:rsidRPr="006955FF">
        <w:rPr>
          <w:rFonts w:cstheme="minorHAnsi"/>
          <w:i/>
          <w:iCs/>
          <w:color w:val="000000" w:themeColor="text1"/>
          <w:sz w:val="24"/>
          <w:szCs w:val="24"/>
        </w:rPr>
        <w:t xml:space="preserve"> at 20. </w:t>
      </w:r>
    </w:p>
    <w:p w14:paraId="4F65C0D9"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North Ocean Shipping Co. v Hyundai Construction Co (The Atlantic Baron) (1979) QB 705.</w:t>
      </w:r>
    </w:p>
    <w:p w14:paraId="0DA414A2"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North Ocean Shipping v Hyundai Construction (1979) QB 705.</w:t>
      </w:r>
    </w:p>
    <w:p w14:paraId="6AB84F7C"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Occidental Worldwide Investment Corp v Skibs A/S Avanti (1976) 1 Lloyd's Rep 293.</w:t>
      </w:r>
    </w:p>
    <w:p w14:paraId="3BCE3093"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Padden v Bevan Ashford (2011)</w:t>
      </w:r>
      <w:r w:rsidRPr="006955FF">
        <w:rPr>
          <w:rFonts w:cstheme="minorHAnsi"/>
          <w:i/>
          <w:iCs/>
          <w:color w:val="000000" w:themeColor="text1"/>
          <w:sz w:val="24"/>
          <w:szCs w:val="24"/>
        </w:rPr>
        <w:t xml:space="preserve"> EWCA Civ 1616</w:t>
      </w:r>
    </w:p>
    <w:p w14:paraId="702A39C9"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lastRenderedPageBreak/>
        <w:t>Pao On v Lau Yiu Long (1980) AC 614.</w:t>
      </w:r>
    </w:p>
    <w:p w14:paraId="1EF7D1AD"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Progress Bulk Carriers Ltd v Tube Cuty IMS LLC (2012) EWHC 273.</w:t>
      </w:r>
    </w:p>
    <w:p w14:paraId="2433A4DA"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R v Attorney General for England and Whales (2003).</w:t>
      </w:r>
    </w:p>
    <w:p w14:paraId="6C481237"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 xml:space="preserve">Royal Bank of Scotland v Etridge </w:t>
      </w:r>
      <w:r w:rsidRPr="006955FF">
        <w:rPr>
          <w:rFonts w:cstheme="minorHAnsi"/>
          <w:i/>
          <w:iCs/>
          <w:color w:val="000000" w:themeColor="text1"/>
          <w:sz w:val="24"/>
          <w:szCs w:val="24"/>
        </w:rPr>
        <w:t>(</w:t>
      </w:r>
      <w:r w:rsidRPr="006955FF">
        <w:rPr>
          <w:rFonts w:cstheme="minorHAnsi"/>
          <w:i/>
          <w:iCs/>
          <w:color w:val="000000" w:themeColor="text1"/>
          <w:sz w:val="24"/>
          <w:szCs w:val="24"/>
          <w:lang/>
        </w:rPr>
        <w:t>2001</w:t>
      </w:r>
      <w:r w:rsidRPr="006955FF">
        <w:rPr>
          <w:rFonts w:cstheme="minorHAnsi"/>
          <w:i/>
          <w:iCs/>
          <w:color w:val="000000" w:themeColor="text1"/>
          <w:sz w:val="24"/>
          <w:szCs w:val="24"/>
        </w:rPr>
        <w:t>)</w:t>
      </w:r>
      <w:r w:rsidRPr="006955FF">
        <w:rPr>
          <w:rFonts w:cstheme="minorHAnsi"/>
          <w:i/>
          <w:iCs/>
          <w:color w:val="000000" w:themeColor="text1"/>
          <w:sz w:val="24"/>
          <w:szCs w:val="24"/>
          <w:lang/>
        </w:rPr>
        <w:t xml:space="preserve"> UKHL 44</w:t>
      </w:r>
      <w:r w:rsidRPr="006955FF">
        <w:rPr>
          <w:rFonts w:cstheme="minorHAnsi"/>
          <w:i/>
          <w:iCs/>
          <w:color w:val="000000" w:themeColor="text1"/>
          <w:sz w:val="24"/>
          <w:szCs w:val="24"/>
        </w:rPr>
        <w:t>.</w:t>
      </w:r>
    </w:p>
    <w:p w14:paraId="23EFABB6"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Universe Tankships of Monrovia v International Transport Workers Federation (1983) 1 AC 366.</w:t>
      </w:r>
    </w:p>
    <w:p w14:paraId="3C9B35F7" w14:textId="77777777" w:rsidR="006955FF" w:rsidRPr="006955FF" w:rsidRDefault="006955FF" w:rsidP="006955FF">
      <w:pPr>
        <w:pStyle w:val="ListParagraph"/>
        <w:numPr>
          <w:ilvl w:val="0"/>
          <w:numId w:val="1"/>
        </w:numPr>
        <w:spacing w:line="480" w:lineRule="auto"/>
        <w:rPr>
          <w:rFonts w:cstheme="minorHAnsi"/>
          <w:i/>
          <w:iCs/>
          <w:color w:val="000000" w:themeColor="text1"/>
          <w:sz w:val="24"/>
          <w:szCs w:val="24"/>
          <w:lang/>
        </w:rPr>
      </w:pPr>
      <w:r w:rsidRPr="006955FF">
        <w:rPr>
          <w:rFonts w:cstheme="minorHAnsi"/>
          <w:i/>
          <w:iCs/>
          <w:color w:val="000000" w:themeColor="text1"/>
          <w:sz w:val="24"/>
          <w:szCs w:val="24"/>
          <w:lang/>
        </w:rPr>
        <w:t>Williams v Roffey Bros &amp; Nicholls (contractors) (1991) 1 QB 1</w:t>
      </w:r>
    </w:p>
    <w:p w14:paraId="29721E32" w14:textId="77777777" w:rsidR="006955FF" w:rsidRPr="006955FF" w:rsidRDefault="006955FF" w:rsidP="006955FF">
      <w:pPr>
        <w:spacing w:line="480" w:lineRule="auto"/>
        <w:rPr>
          <w:rFonts w:cstheme="minorHAnsi"/>
          <w:color w:val="4472C4" w:themeColor="accent1"/>
          <w:sz w:val="24"/>
          <w:szCs w:val="24"/>
        </w:rPr>
      </w:pPr>
      <w:r w:rsidRPr="006955FF">
        <w:rPr>
          <w:rFonts w:cstheme="minorHAnsi"/>
          <w:color w:val="4472C4" w:themeColor="accent1"/>
          <w:sz w:val="24"/>
          <w:szCs w:val="24"/>
        </w:rPr>
        <w:t>Secondary Sources:</w:t>
      </w:r>
    </w:p>
    <w:p w14:paraId="19FD395C" w14:textId="77777777" w:rsidR="006955FF" w:rsidRPr="006955FF" w:rsidRDefault="006955FF" w:rsidP="006955FF">
      <w:pPr>
        <w:spacing w:line="480" w:lineRule="auto"/>
        <w:rPr>
          <w:rFonts w:cstheme="minorHAnsi"/>
          <w:color w:val="4472C4" w:themeColor="accent1"/>
          <w:sz w:val="24"/>
          <w:szCs w:val="24"/>
        </w:rPr>
      </w:pPr>
      <w:r w:rsidRPr="006955FF">
        <w:rPr>
          <w:rFonts w:cstheme="minorHAnsi"/>
          <w:color w:val="4472C4" w:themeColor="accent1"/>
          <w:sz w:val="24"/>
          <w:szCs w:val="24"/>
        </w:rPr>
        <w:t>Books:</w:t>
      </w:r>
    </w:p>
    <w:p w14:paraId="228E460E"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Andrews, N., (2015), ‘</w:t>
      </w:r>
      <w:r w:rsidRPr="006955FF">
        <w:rPr>
          <w:rFonts w:cstheme="minorHAnsi"/>
          <w:i/>
          <w:iCs/>
          <w:color w:val="000000" w:themeColor="text1"/>
          <w:sz w:val="24"/>
          <w:szCs w:val="24"/>
        </w:rPr>
        <w:t>Contract Law’</w:t>
      </w:r>
      <w:r w:rsidRPr="006955FF">
        <w:rPr>
          <w:rFonts w:cstheme="minorHAnsi"/>
          <w:color w:val="000000" w:themeColor="text1"/>
          <w:sz w:val="24"/>
          <w:szCs w:val="24"/>
        </w:rPr>
        <w:t xml:space="preserve"> 2</w:t>
      </w:r>
      <w:r w:rsidRPr="006955FF">
        <w:rPr>
          <w:rFonts w:cstheme="minorHAnsi"/>
          <w:color w:val="000000" w:themeColor="text1"/>
          <w:sz w:val="24"/>
          <w:szCs w:val="24"/>
          <w:vertAlign w:val="superscript"/>
        </w:rPr>
        <w:t>nd</w:t>
      </w:r>
      <w:r w:rsidRPr="006955FF">
        <w:rPr>
          <w:rFonts w:cstheme="minorHAnsi"/>
          <w:color w:val="000000" w:themeColor="text1"/>
          <w:sz w:val="24"/>
          <w:szCs w:val="24"/>
        </w:rPr>
        <w:t xml:space="preserve"> edn, Cambridge University Press, 11.1-11.25.</w:t>
      </w:r>
    </w:p>
    <w:p w14:paraId="47225370"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Elliot, C., and Quinn, F., (2017) ‘</w:t>
      </w:r>
      <w:r w:rsidRPr="006955FF">
        <w:rPr>
          <w:rFonts w:cstheme="minorHAnsi"/>
          <w:i/>
          <w:iCs/>
          <w:color w:val="000000" w:themeColor="text1"/>
          <w:sz w:val="24"/>
          <w:szCs w:val="24"/>
        </w:rPr>
        <w:t>Contract Law’</w:t>
      </w:r>
      <w:r w:rsidRPr="006955FF">
        <w:rPr>
          <w:rFonts w:cstheme="minorHAnsi"/>
          <w:color w:val="000000" w:themeColor="text1"/>
          <w:sz w:val="24"/>
          <w:szCs w:val="24"/>
        </w:rPr>
        <w:t xml:space="preserve"> 11</w:t>
      </w:r>
      <w:r w:rsidRPr="006955FF">
        <w:rPr>
          <w:rFonts w:cstheme="minorHAnsi"/>
          <w:color w:val="000000" w:themeColor="text1"/>
          <w:sz w:val="24"/>
          <w:szCs w:val="24"/>
          <w:vertAlign w:val="superscript"/>
        </w:rPr>
        <w:t>th</w:t>
      </w:r>
      <w:r w:rsidRPr="006955FF">
        <w:rPr>
          <w:rFonts w:cstheme="minorHAnsi"/>
          <w:color w:val="000000" w:themeColor="text1"/>
          <w:sz w:val="24"/>
          <w:szCs w:val="24"/>
        </w:rPr>
        <w:t xml:space="preserve"> edn, Pearson Education. </w:t>
      </w:r>
    </w:p>
    <w:p w14:paraId="0AE7CD0D"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Koffman, L., and E, Macdonald., (2010) ‘</w:t>
      </w:r>
      <w:r w:rsidRPr="006955FF">
        <w:rPr>
          <w:rFonts w:cstheme="minorHAnsi"/>
          <w:i/>
          <w:iCs/>
          <w:color w:val="000000" w:themeColor="text1"/>
          <w:sz w:val="24"/>
          <w:szCs w:val="24"/>
        </w:rPr>
        <w:t>The Law of Contract’</w:t>
      </w:r>
      <w:r w:rsidRPr="006955FF">
        <w:rPr>
          <w:rFonts w:cstheme="minorHAnsi"/>
          <w:color w:val="000000" w:themeColor="text1"/>
          <w:sz w:val="24"/>
          <w:szCs w:val="24"/>
        </w:rPr>
        <w:t xml:space="preserve"> 7th edn, Oxford University Press, 14.9.</w:t>
      </w:r>
    </w:p>
    <w:p w14:paraId="79B22BA2"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McKendrick, E., (2017), ‘</w:t>
      </w:r>
      <w:r w:rsidRPr="006955FF">
        <w:rPr>
          <w:rFonts w:cstheme="minorHAnsi"/>
          <w:i/>
          <w:iCs/>
          <w:color w:val="000000" w:themeColor="text1"/>
          <w:sz w:val="24"/>
          <w:szCs w:val="24"/>
        </w:rPr>
        <w:t>Contract Law’</w:t>
      </w:r>
      <w:r w:rsidRPr="006955FF">
        <w:rPr>
          <w:rFonts w:cstheme="minorHAnsi"/>
          <w:color w:val="000000" w:themeColor="text1"/>
          <w:sz w:val="24"/>
          <w:szCs w:val="24"/>
        </w:rPr>
        <w:t xml:space="preserve"> 12</w:t>
      </w:r>
      <w:r w:rsidRPr="006955FF">
        <w:rPr>
          <w:rFonts w:cstheme="minorHAnsi"/>
          <w:color w:val="000000" w:themeColor="text1"/>
          <w:sz w:val="24"/>
          <w:szCs w:val="24"/>
          <w:vertAlign w:val="superscript"/>
        </w:rPr>
        <w:t>th</w:t>
      </w:r>
      <w:r w:rsidRPr="006955FF">
        <w:rPr>
          <w:rFonts w:cstheme="minorHAnsi"/>
          <w:color w:val="000000" w:themeColor="text1"/>
          <w:sz w:val="24"/>
          <w:szCs w:val="24"/>
        </w:rPr>
        <w:t xml:space="preserve"> Edn, Palgrave Law Masters, 17.1-17.4</w:t>
      </w:r>
    </w:p>
    <w:p w14:paraId="4340E3BB"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Smith, S., (2006), ‘</w:t>
      </w:r>
      <w:r w:rsidRPr="006955FF">
        <w:rPr>
          <w:rFonts w:cstheme="minorHAnsi"/>
          <w:i/>
          <w:iCs/>
          <w:color w:val="000000" w:themeColor="text1"/>
          <w:sz w:val="24"/>
          <w:szCs w:val="24"/>
        </w:rPr>
        <w:t>Atiyah’s Introduction to the Law of Contract’</w:t>
      </w:r>
      <w:r w:rsidRPr="006955FF">
        <w:rPr>
          <w:rFonts w:cstheme="minorHAnsi"/>
          <w:color w:val="000000" w:themeColor="text1"/>
          <w:sz w:val="24"/>
          <w:szCs w:val="24"/>
        </w:rPr>
        <w:t xml:space="preserve"> 6</w:t>
      </w:r>
      <w:r w:rsidRPr="006955FF">
        <w:rPr>
          <w:rFonts w:cstheme="minorHAnsi"/>
          <w:color w:val="000000" w:themeColor="text1"/>
          <w:sz w:val="24"/>
          <w:szCs w:val="24"/>
          <w:vertAlign w:val="superscript"/>
        </w:rPr>
        <w:t>th</w:t>
      </w:r>
      <w:r w:rsidRPr="006955FF">
        <w:rPr>
          <w:rFonts w:cstheme="minorHAnsi"/>
          <w:color w:val="000000" w:themeColor="text1"/>
          <w:sz w:val="24"/>
          <w:szCs w:val="24"/>
        </w:rPr>
        <w:t xml:space="preserve"> edn, Claredon Law Series, 268–71.</w:t>
      </w:r>
    </w:p>
    <w:p w14:paraId="2B6D5CC5"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Turner, C., (2014) ‘</w:t>
      </w:r>
      <w:r w:rsidRPr="006955FF">
        <w:rPr>
          <w:rFonts w:cstheme="minorHAnsi"/>
          <w:i/>
          <w:iCs/>
          <w:color w:val="000000" w:themeColor="text1"/>
          <w:sz w:val="24"/>
          <w:szCs w:val="24"/>
        </w:rPr>
        <w:t>Unlocking Contract Law’</w:t>
      </w:r>
      <w:r w:rsidRPr="006955FF">
        <w:rPr>
          <w:rFonts w:cstheme="minorHAnsi"/>
          <w:color w:val="000000" w:themeColor="text1"/>
          <w:sz w:val="24"/>
          <w:szCs w:val="24"/>
        </w:rPr>
        <w:t>, 4</w:t>
      </w:r>
      <w:r w:rsidRPr="006955FF">
        <w:rPr>
          <w:rFonts w:cstheme="minorHAnsi"/>
          <w:color w:val="000000" w:themeColor="text1"/>
          <w:sz w:val="24"/>
          <w:szCs w:val="24"/>
          <w:vertAlign w:val="superscript"/>
        </w:rPr>
        <w:t>th</w:t>
      </w:r>
      <w:r w:rsidRPr="006955FF">
        <w:rPr>
          <w:rFonts w:cstheme="minorHAnsi"/>
          <w:color w:val="000000" w:themeColor="text1"/>
          <w:sz w:val="24"/>
          <w:szCs w:val="24"/>
        </w:rPr>
        <w:t xml:space="preserve"> edn, Routledge, 230-249.</w:t>
      </w:r>
    </w:p>
    <w:p w14:paraId="1D8CB142" w14:textId="77777777" w:rsidR="006955FF" w:rsidRPr="006955FF" w:rsidRDefault="006955FF" w:rsidP="006955FF">
      <w:pPr>
        <w:spacing w:line="480" w:lineRule="auto"/>
        <w:rPr>
          <w:rFonts w:cstheme="minorHAnsi"/>
          <w:color w:val="4472C4" w:themeColor="accent1"/>
          <w:sz w:val="24"/>
          <w:szCs w:val="24"/>
        </w:rPr>
      </w:pPr>
      <w:r w:rsidRPr="006955FF">
        <w:rPr>
          <w:rFonts w:cstheme="minorHAnsi"/>
          <w:color w:val="4472C4" w:themeColor="accent1"/>
          <w:sz w:val="24"/>
          <w:szCs w:val="24"/>
        </w:rPr>
        <w:t>Journal Articles</w:t>
      </w:r>
    </w:p>
    <w:p w14:paraId="3978F397"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Akman. P, (2014) ‘</w:t>
      </w:r>
      <w:r w:rsidRPr="006955FF">
        <w:rPr>
          <w:rFonts w:cstheme="minorHAnsi"/>
          <w:i/>
          <w:iCs/>
          <w:color w:val="000000" w:themeColor="text1"/>
          <w:sz w:val="24"/>
          <w:szCs w:val="24"/>
        </w:rPr>
        <w:t>The Relationship between Economic Duress and Abuse of a Dominant Position under Competition Law</w:t>
      </w:r>
      <w:r w:rsidRPr="006955FF">
        <w:rPr>
          <w:rFonts w:cstheme="minorHAnsi"/>
          <w:color w:val="000000" w:themeColor="text1"/>
          <w:sz w:val="24"/>
          <w:szCs w:val="24"/>
        </w:rPr>
        <w:t xml:space="preserve">’ LMCLQ 99–131. </w:t>
      </w:r>
    </w:p>
    <w:p w14:paraId="7025ADB0"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lastRenderedPageBreak/>
        <w:t>Hadjiani A, (2002) “</w:t>
      </w:r>
      <w:r w:rsidRPr="006955FF">
        <w:rPr>
          <w:rFonts w:cstheme="minorHAnsi"/>
          <w:i/>
          <w:iCs/>
          <w:color w:val="000000" w:themeColor="text1"/>
          <w:sz w:val="24"/>
          <w:szCs w:val="24"/>
        </w:rPr>
        <w:t>Duress and Undue Influence in English and German Contract Law: a comparative study on vitiating factors in common and civil law</w:t>
      </w:r>
      <w:r w:rsidRPr="006955FF">
        <w:rPr>
          <w:rFonts w:cstheme="minorHAnsi"/>
          <w:color w:val="000000" w:themeColor="text1"/>
          <w:sz w:val="24"/>
          <w:szCs w:val="24"/>
        </w:rPr>
        <w:t>” Oxford University Comparative Law.</w:t>
      </w:r>
    </w:p>
    <w:p w14:paraId="70851DDD"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Macdonald, E., (1989) ‘</w:t>
      </w:r>
      <w:r w:rsidRPr="006955FF">
        <w:rPr>
          <w:rFonts w:cstheme="minorHAnsi"/>
          <w:i/>
          <w:iCs/>
          <w:color w:val="000000" w:themeColor="text1"/>
          <w:sz w:val="24"/>
          <w:szCs w:val="24"/>
        </w:rPr>
        <w:t>Duress by Threatened Breach of Contract</w:t>
      </w:r>
      <w:r w:rsidRPr="006955FF">
        <w:rPr>
          <w:rFonts w:cstheme="minorHAnsi"/>
          <w:color w:val="000000" w:themeColor="text1"/>
          <w:sz w:val="24"/>
          <w:szCs w:val="24"/>
        </w:rPr>
        <w:t xml:space="preserve">’ JBL 460, at 463. </w:t>
      </w:r>
    </w:p>
    <w:p w14:paraId="3DD79AE6"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shd w:val="clear" w:color="auto" w:fill="FFFFFF"/>
        </w:rPr>
      </w:pPr>
      <w:r w:rsidRPr="006955FF">
        <w:rPr>
          <w:rFonts w:cstheme="minorHAnsi"/>
          <w:color w:val="000000" w:themeColor="text1"/>
          <w:sz w:val="24"/>
          <w:szCs w:val="24"/>
          <w:shd w:val="clear" w:color="auto" w:fill="FFFFFF"/>
        </w:rPr>
        <w:t>Patrick., A (1982) ‘</w:t>
      </w:r>
      <w:r w:rsidRPr="006955FF">
        <w:rPr>
          <w:rFonts w:cstheme="minorHAnsi"/>
          <w:i/>
          <w:iCs/>
          <w:color w:val="000000" w:themeColor="text1"/>
          <w:sz w:val="24"/>
          <w:szCs w:val="24"/>
          <w:shd w:val="clear" w:color="auto" w:fill="FFFFFF"/>
        </w:rPr>
        <w:t>Economic Duress and the Overborne Will</w:t>
      </w:r>
      <w:r w:rsidRPr="006955FF">
        <w:rPr>
          <w:rFonts w:cstheme="minorHAnsi"/>
          <w:color w:val="000000" w:themeColor="text1"/>
          <w:sz w:val="24"/>
          <w:szCs w:val="24"/>
          <w:shd w:val="clear" w:color="auto" w:fill="FFFFFF"/>
        </w:rPr>
        <w:t>’ The Law Quarterly Review 197, 200</w:t>
      </w:r>
    </w:p>
    <w:p w14:paraId="135E4DE3"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shd w:val="clear" w:color="auto" w:fill="FFFFFF"/>
        </w:rPr>
        <w:t>R, Bigwood (2002), ‘</w:t>
      </w:r>
      <w:r w:rsidRPr="006955FF">
        <w:rPr>
          <w:rFonts w:cstheme="minorHAnsi"/>
          <w:i/>
          <w:iCs/>
          <w:color w:val="000000" w:themeColor="text1"/>
          <w:sz w:val="24"/>
          <w:szCs w:val="24"/>
          <w:shd w:val="clear" w:color="auto" w:fill="FFFFFF"/>
        </w:rPr>
        <w:t>Undue Influence in the House of Lords: Principles and Proof’,</w:t>
      </w:r>
      <w:r w:rsidRPr="006955FF">
        <w:rPr>
          <w:rFonts w:cstheme="minorHAnsi"/>
          <w:color w:val="000000" w:themeColor="text1"/>
          <w:sz w:val="24"/>
          <w:szCs w:val="24"/>
          <w:shd w:val="clear" w:color="auto" w:fill="FFFFFF"/>
        </w:rPr>
        <w:t xml:space="preserve"> 65 Modern Law Review 435</w:t>
      </w:r>
    </w:p>
    <w:p w14:paraId="23DEB942" w14:textId="77777777" w:rsidR="006955FF" w:rsidRPr="006955FF" w:rsidRDefault="006955FF" w:rsidP="006955FF">
      <w:pPr>
        <w:pStyle w:val="ListParagraph"/>
        <w:numPr>
          <w:ilvl w:val="0"/>
          <w:numId w:val="1"/>
        </w:numPr>
        <w:spacing w:line="480" w:lineRule="auto"/>
        <w:rPr>
          <w:rFonts w:cstheme="minorHAnsi"/>
          <w:color w:val="000000" w:themeColor="text1"/>
          <w:sz w:val="24"/>
          <w:szCs w:val="24"/>
        </w:rPr>
      </w:pPr>
      <w:r w:rsidRPr="006955FF">
        <w:rPr>
          <w:rFonts w:cstheme="minorHAnsi"/>
          <w:color w:val="000000" w:themeColor="text1"/>
          <w:sz w:val="24"/>
          <w:szCs w:val="24"/>
        </w:rPr>
        <w:t>Smith, S., (1997) “</w:t>
      </w:r>
      <w:r w:rsidRPr="006955FF">
        <w:rPr>
          <w:rFonts w:cstheme="minorHAnsi"/>
          <w:i/>
          <w:iCs/>
          <w:color w:val="000000" w:themeColor="text1"/>
          <w:sz w:val="24"/>
          <w:szCs w:val="24"/>
        </w:rPr>
        <w:t>Contracting under Pressure: A Theory of Duress</w:t>
      </w:r>
      <w:r w:rsidRPr="006955FF">
        <w:rPr>
          <w:rFonts w:cstheme="minorHAnsi"/>
          <w:color w:val="000000" w:themeColor="text1"/>
          <w:sz w:val="24"/>
          <w:szCs w:val="24"/>
        </w:rPr>
        <w:t>” Cambridge Law Journal 343 – 373</w:t>
      </w:r>
    </w:p>
    <w:p w14:paraId="3275F0DE" w14:textId="77777777" w:rsidR="006955FF" w:rsidRPr="006955FF" w:rsidRDefault="006955FF" w:rsidP="006955FF">
      <w:pPr>
        <w:spacing w:line="480" w:lineRule="auto"/>
        <w:rPr>
          <w:rFonts w:cstheme="minorHAnsi"/>
          <w:color w:val="000000" w:themeColor="text1"/>
          <w:sz w:val="24"/>
          <w:szCs w:val="24"/>
        </w:rPr>
      </w:pPr>
    </w:p>
    <w:p w14:paraId="71A650F5" w14:textId="77777777" w:rsidR="006955FF" w:rsidRPr="006561D2" w:rsidRDefault="006955FF" w:rsidP="006955FF">
      <w:pPr>
        <w:rPr>
          <w:rFonts w:ascii="Times New Roman" w:hAnsi="Times New Roman" w:cs="Times New Roman"/>
          <w:color w:val="000000" w:themeColor="text1"/>
          <w:sz w:val="24"/>
          <w:szCs w:val="24"/>
        </w:rPr>
      </w:pPr>
    </w:p>
    <w:p w14:paraId="147CBED1" w14:textId="77777777" w:rsidR="006955FF" w:rsidRPr="006561D2" w:rsidRDefault="006955FF" w:rsidP="006955FF">
      <w:pPr>
        <w:rPr>
          <w:rFonts w:ascii="Times New Roman" w:hAnsi="Times New Roman" w:cs="Times New Roman"/>
          <w:color w:val="000000" w:themeColor="text1"/>
          <w:sz w:val="24"/>
          <w:szCs w:val="24"/>
        </w:rPr>
      </w:pPr>
    </w:p>
    <w:p w14:paraId="10B11C7D" w14:textId="77777777" w:rsidR="006955FF" w:rsidRPr="006561D2" w:rsidRDefault="006955FF" w:rsidP="006955FF">
      <w:pPr>
        <w:rPr>
          <w:rFonts w:ascii="Times New Roman" w:hAnsi="Times New Roman" w:cs="Times New Roman"/>
          <w:color w:val="000000" w:themeColor="text1"/>
          <w:sz w:val="24"/>
          <w:szCs w:val="24"/>
        </w:rPr>
      </w:pPr>
    </w:p>
    <w:p w14:paraId="5771F744" w14:textId="77777777" w:rsidR="00C80E57" w:rsidRPr="00A427A8" w:rsidRDefault="00C80E57">
      <w:pPr>
        <w:rPr>
          <w:lang w:val="en-GB"/>
        </w:rPr>
      </w:pPr>
    </w:p>
    <w:sectPr w:rsidR="00C80E57" w:rsidRPr="00A42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10DD6"/>
    <w:multiLevelType w:val="hybridMultilevel"/>
    <w:tmpl w:val="715C74D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5FF"/>
    <w:rsid w:val="006955FF"/>
    <w:rsid w:val="007A5E7E"/>
    <w:rsid w:val="00A427A8"/>
    <w:rsid w:val="00C80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228809"/>
  <w15:chartTrackingRefBased/>
  <w15:docId w15:val="{62F01A2F-87A0-CA46-9153-4C18B141A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5FF"/>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55FF"/>
    <w:rPr>
      <w:sz w:val="22"/>
      <w:szCs w:val="22"/>
      <w:lang w:val="en-US"/>
    </w:rPr>
  </w:style>
  <w:style w:type="paragraph" w:styleId="ListParagraph">
    <w:name w:val="List Paragraph"/>
    <w:basedOn w:val="Normal"/>
    <w:uiPriority w:val="34"/>
    <w:qFormat/>
    <w:rsid w:val="006955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2444</Words>
  <Characters>13936</Characters>
  <Application>Microsoft Office Word</Application>
  <DocSecurity>0</DocSecurity>
  <Lines>116</Lines>
  <Paragraphs>32</Paragraphs>
  <ScaleCrop>false</ScaleCrop>
  <Company/>
  <LinksUpToDate>false</LinksUpToDate>
  <CharactersWithSpaces>16348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 miah</dc:creator>
  <cp:keywords/>
  <dc:description/>
  <cp:lastModifiedBy>zee miah</cp:lastModifiedBy>
  <cp:revision>2</cp:revision>
  <dcterms:created xsi:type="dcterms:W3CDTF">2021-04-29T15:13:00Z</dcterms:created>
  <dcterms:modified xsi:type="dcterms:W3CDTF">2021-04-29T15:24:00Z</dcterms:modified>
</cp:coreProperties>
</file>