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3002145"/>
        <w:docPartObj>
          <w:docPartGallery w:val="Cover Pages"/>
          <w:docPartUnique/>
        </w:docPartObj>
      </w:sdtPr>
      <w:sdtEndPr>
        <w:rPr>
          <w:rFonts w:ascii="Times New Roman" w:hAnsi="Times New Roman" w:cs="Times New Roman"/>
          <w:sz w:val="20"/>
          <w:szCs w:val="20"/>
        </w:rPr>
      </w:sdtEndPr>
      <w:sdtContent>
        <w:p w14:paraId="3BECC882" w14:textId="74C64219" w:rsidR="00494C3F" w:rsidRDefault="00494C3F">
          <w:r>
            <w:rPr>
              <w:noProof/>
            </w:rPr>
            <mc:AlternateContent>
              <mc:Choice Requires="wpg">
                <w:drawing>
                  <wp:anchor distT="0" distB="0" distL="114300" distR="114300" simplePos="0" relativeHeight="251683840" behindDoc="1" locked="0" layoutInCell="1" allowOverlap="1" wp14:anchorId="05D4FD38" wp14:editId="5703069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7DEAA78" w14:textId="475E69C3" w:rsidR="00494C3F" w:rsidRDefault="00494C3F" w:rsidP="00494C3F">
                                      <w:pPr>
                                        <w:pStyle w:val="NoSpacing"/>
                                        <w:spacing w:before="120"/>
                                        <w:rPr>
                                          <w:color w:val="FFFFFF" w:themeColor="background1"/>
                                        </w:rPr>
                                      </w:pPr>
                                      <w:r>
                                        <w:rPr>
                                          <w:color w:val="FFFFFF" w:themeColor="background1"/>
                                        </w:rPr>
                                        <w:t xml:space="preserve">Catalina Sandu </w:t>
                                      </w:r>
                                    </w:p>
                                  </w:sdtContent>
                                </w:sdt>
                                <w:p w14:paraId="543E6AD9" w14:textId="1868EEC8" w:rsidR="00494C3F" w:rsidRDefault="00494C3F">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FF000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EF4916" w14:textId="63BA6D35" w:rsidR="00494C3F" w:rsidRPr="00494C3F" w:rsidRDefault="00494C3F">
                                      <w:pPr>
                                        <w:pStyle w:val="NoSpacing"/>
                                        <w:jc w:val="center"/>
                                        <w:rPr>
                                          <w:rFonts w:ascii="Arial Black" w:eastAsiaTheme="majorEastAsia" w:hAnsi="Arial Black" w:cstheme="majorBidi"/>
                                          <w:caps/>
                                          <w:color w:val="FF0000"/>
                                          <w:sz w:val="72"/>
                                          <w:szCs w:val="72"/>
                                        </w:rPr>
                                      </w:pPr>
                                      <w:r w:rsidRPr="00494C3F">
                                        <w:rPr>
                                          <w:rFonts w:ascii="Arial Black" w:eastAsiaTheme="majorEastAsia" w:hAnsi="Arial Black" w:cstheme="majorBidi"/>
                                          <w:caps/>
                                          <w:color w:val="FF0000"/>
                                          <w:sz w:val="72"/>
                                          <w:szCs w:val="72"/>
                                        </w:rPr>
                                        <w:t>business model canvas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D4FD38" id="Group 62" o:spid="_x0000_s1026" style="position:absolute;margin-left:0;margin-top:0;width:540.55pt;height:718.4pt;z-index:-2516326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7DEAA78" w14:textId="475E69C3" w:rsidR="00494C3F" w:rsidRDefault="00494C3F" w:rsidP="00494C3F">
                                <w:pPr>
                                  <w:pStyle w:val="NoSpacing"/>
                                  <w:spacing w:before="120"/>
                                  <w:rPr>
                                    <w:color w:val="FFFFFF" w:themeColor="background1"/>
                                  </w:rPr>
                                </w:pPr>
                                <w:r>
                                  <w:rPr>
                                    <w:color w:val="FFFFFF" w:themeColor="background1"/>
                                  </w:rPr>
                                  <w:t xml:space="preserve">Catalina Sandu </w:t>
                                </w:r>
                              </w:p>
                            </w:sdtContent>
                          </w:sdt>
                          <w:p w14:paraId="543E6AD9" w14:textId="1868EEC8" w:rsidR="00494C3F" w:rsidRDefault="00494C3F">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color w:val="FF000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EF4916" w14:textId="63BA6D35" w:rsidR="00494C3F" w:rsidRPr="00494C3F" w:rsidRDefault="00494C3F">
                                <w:pPr>
                                  <w:pStyle w:val="NoSpacing"/>
                                  <w:jc w:val="center"/>
                                  <w:rPr>
                                    <w:rFonts w:ascii="Arial Black" w:eastAsiaTheme="majorEastAsia" w:hAnsi="Arial Black" w:cstheme="majorBidi"/>
                                    <w:caps/>
                                    <w:color w:val="FF0000"/>
                                    <w:sz w:val="72"/>
                                    <w:szCs w:val="72"/>
                                  </w:rPr>
                                </w:pPr>
                                <w:r w:rsidRPr="00494C3F">
                                  <w:rPr>
                                    <w:rFonts w:ascii="Arial Black" w:eastAsiaTheme="majorEastAsia" w:hAnsi="Arial Black" w:cstheme="majorBidi"/>
                                    <w:caps/>
                                    <w:color w:val="FF0000"/>
                                    <w:sz w:val="72"/>
                                    <w:szCs w:val="72"/>
                                  </w:rPr>
                                  <w:t>business model canvas</w:t>
                                </w:r>
                              </w:p>
                            </w:sdtContent>
                          </w:sdt>
                        </w:txbxContent>
                      </v:textbox>
                    </v:shape>
                    <w10:wrap anchorx="page" anchory="page"/>
                  </v:group>
                </w:pict>
              </mc:Fallback>
            </mc:AlternateContent>
          </w:r>
        </w:p>
        <w:p w14:paraId="74B05BD2" w14:textId="64EA6F50" w:rsidR="00494C3F" w:rsidRDefault="00494C3F">
          <w:pPr>
            <w:rPr>
              <w:rFonts w:ascii="Times New Roman" w:hAnsi="Times New Roman" w:cs="Times New Roman"/>
              <w:sz w:val="20"/>
              <w:szCs w:val="20"/>
            </w:rPr>
          </w:pPr>
          <w:r>
            <w:rPr>
              <w:rFonts w:ascii="Times New Roman" w:hAnsi="Times New Roman" w:cs="Times New Roman"/>
              <w:sz w:val="20"/>
              <w:szCs w:val="20"/>
            </w:rPr>
            <w:br w:type="page"/>
          </w:r>
        </w:p>
      </w:sdtContent>
    </w:sdt>
    <w:p w14:paraId="4864F9A0" w14:textId="77777777" w:rsidR="00494C3F" w:rsidRDefault="00494C3F"/>
    <w:tbl>
      <w:tblPr>
        <w:tblStyle w:val="TableGrid"/>
        <w:tblW w:w="0" w:type="auto"/>
        <w:tblLook w:val="04A0" w:firstRow="1" w:lastRow="0" w:firstColumn="1" w:lastColumn="0" w:noHBand="0" w:noVBand="1"/>
      </w:tblPr>
      <w:tblGrid>
        <w:gridCol w:w="1980"/>
        <w:gridCol w:w="1701"/>
        <w:gridCol w:w="1728"/>
        <w:gridCol w:w="1803"/>
        <w:gridCol w:w="1804"/>
      </w:tblGrid>
      <w:tr w:rsidR="002C638D" w14:paraId="55F188EB" w14:textId="77777777" w:rsidTr="002C638D">
        <w:tc>
          <w:tcPr>
            <w:tcW w:w="1980" w:type="dxa"/>
          </w:tcPr>
          <w:p w14:paraId="6F04F697" w14:textId="36DC23CF" w:rsidR="002C638D" w:rsidRPr="0059185A" w:rsidRDefault="002C638D" w:rsidP="002C638D">
            <w:pPr>
              <w:jc w:val="both"/>
              <w:rPr>
                <w:rFonts w:ascii="Times New Roman" w:hAnsi="Times New Roman" w:cs="Times New Roman"/>
                <w:color w:val="FF0000"/>
                <w:sz w:val="16"/>
                <w:szCs w:val="16"/>
              </w:rPr>
            </w:pPr>
            <w:r w:rsidRPr="0059185A">
              <w:rPr>
                <w:rFonts w:ascii="Times New Roman" w:hAnsi="Times New Roman" w:cs="Times New Roman"/>
                <w:b/>
                <w:bCs/>
                <w:color w:val="FF0000"/>
                <w:sz w:val="16"/>
                <w:szCs w:val="16"/>
              </w:rPr>
              <w:t>Value Proposition</w:t>
            </w:r>
          </w:p>
        </w:tc>
        <w:tc>
          <w:tcPr>
            <w:tcW w:w="1701" w:type="dxa"/>
          </w:tcPr>
          <w:p w14:paraId="2C74EF2D" w14:textId="144874CC" w:rsidR="002C638D" w:rsidRPr="0059185A" w:rsidRDefault="002C638D" w:rsidP="002C638D">
            <w:pPr>
              <w:jc w:val="both"/>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Customer Segments</w:t>
            </w:r>
          </w:p>
        </w:tc>
        <w:tc>
          <w:tcPr>
            <w:tcW w:w="1728" w:type="dxa"/>
          </w:tcPr>
          <w:p w14:paraId="1D084F9E" w14:textId="1BFC1293" w:rsidR="002C638D" w:rsidRPr="0059185A" w:rsidRDefault="002C638D" w:rsidP="002C638D">
            <w:pPr>
              <w:jc w:val="both"/>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Channels</w:t>
            </w:r>
          </w:p>
        </w:tc>
        <w:tc>
          <w:tcPr>
            <w:tcW w:w="1803" w:type="dxa"/>
          </w:tcPr>
          <w:p w14:paraId="62E311B3" w14:textId="270CF33D" w:rsidR="002C638D" w:rsidRPr="0059185A" w:rsidRDefault="002C638D" w:rsidP="002C638D">
            <w:pPr>
              <w:jc w:val="both"/>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Customer Relationships</w:t>
            </w:r>
          </w:p>
        </w:tc>
        <w:tc>
          <w:tcPr>
            <w:tcW w:w="1804" w:type="dxa"/>
          </w:tcPr>
          <w:p w14:paraId="3C2AEDCC" w14:textId="242CF02E" w:rsidR="002C638D" w:rsidRPr="0059185A" w:rsidRDefault="002C638D" w:rsidP="002C638D">
            <w:pPr>
              <w:jc w:val="both"/>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Revenue Streams</w:t>
            </w:r>
          </w:p>
        </w:tc>
      </w:tr>
    </w:tbl>
    <w:p w14:paraId="462E66FF" w14:textId="17C07E2D" w:rsidR="008142EB" w:rsidRPr="00494C3F" w:rsidRDefault="002C638D" w:rsidP="002C638D">
      <w:pPr>
        <w:jc w:val="both"/>
        <w:rPr>
          <w:rFonts w:ascii="Times New Roman" w:hAnsi="Times New Roman" w:cs="Times New Roman"/>
          <w:b/>
          <w:bCs/>
          <w:color w:val="FF0000"/>
        </w:rPr>
      </w:pPr>
      <w:r w:rsidRPr="00494C3F">
        <w:rPr>
          <w:rFonts w:ascii="Times New Roman" w:hAnsi="Times New Roman" w:cs="Times New Roman"/>
          <w:b/>
          <w:bCs/>
          <w:noProof/>
          <w:color w:val="FF0000"/>
        </w:rPr>
        <mc:AlternateContent>
          <mc:Choice Requires="aink">
            <w:drawing>
              <wp:anchor distT="0" distB="0" distL="114300" distR="114300" simplePos="0" relativeHeight="251681792" behindDoc="0" locked="0" layoutInCell="1" allowOverlap="1" wp14:anchorId="35D6F057" wp14:editId="1E19C9F4">
                <wp:simplePos x="0" y="0"/>
                <wp:positionH relativeFrom="column">
                  <wp:posOffset>5738905</wp:posOffset>
                </wp:positionH>
                <wp:positionV relativeFrom="paragraph">
                  <wp:posOffset>-827007</wp:posOffset>
                </wp:positionV>
                <wp:extent cx="360" cy="360"/>
                <wp:effectExtent l="57150" t="38100" r="38100" b="57150"/>
                <wp:wrapNone/>
                <wp:docPr id="2092069735" name="Ink 27"/>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drawing>
              <wp:anchor distT="0" distB="0" distL="114300" distR="114300" simplePos="0" relativeHeight="251681792" behindDoc="0" locked="0" layoutInCell="1" allowOverlap="1" wp14:anchorId="35D6F057" wp14:editId="1E19C9F4">
                <wp:simplePos x="0" y="0"/>
                <wp:positionH relativeFrom="column">
                  <wp:posOffset>5738905</wp:posOffset>
                </wp:positionH>
                <wp:positionV relativeFrom="paragraph">
                  <wp:posOffset>-827007</wp:posOffset>
                </wp:positionV>
                <wp:extent cx="360" cy="360"/>
                <wp:effectExtent l="57150" t="38100" r="38100" b="57150"/>
                <wp:wrapNone/>
                <wp:docPr id="2092069735" name="Ink 27"/>
                <wp:cNvGraphicFramePr/>
                <a:graphic xmlns:a="http://schemas.openxmlformats.org/drawingml/2006/main">
                  <a:graphicData uri="http://schemas.openxmlformats.org/drawingml/2006/picture">
                    <pic:pic xmlns:pic="http://schemas.openxmlformats.org/drawingml/2006/picture">
                      <pic:nvPicPr>
                        <pic:cNvPr id="2092069735" name="Ink 27"/>
                        <pic:cNvPicPr/>
                      </pic:nvPicPr>
                      <pic:blipFill>
                        <a:blip r:embed="rId6"/>
                        <a:stretch>
                          <a:fillRect/>
                        </a:stretch>
                      </pic:blipFill>
                      <pic:spPr>
                        <a:xfrm>
                          <a:off x="0" y="0"/>
                          <a:ext cx="36000" cy="216000"/>
                        </a:xfrm>
                        <a:prstGeom prst="rect">
                          <a:avLst/>
                        </a:prstGeom>
                      </pic:spPr>
                    </pic:pic>
                  </a:graphicData>
                </a:graphic>
              </wp:anchor>
            </w:drawing>
          </mc:Fallback>
        </mc:AlternateContent>
      </w:r>
      <w:r w:rsidRPr="00494C3F">
        <w:rPr>
          <w:rFonts w:ascii="Times New Roman" w:hAnsi="Times New Roman" w:cs="Times New Roman"/>
          <w:b/>
          <w:bCs/>
          <w:noProof/>
          <w:color w:val="FF0000"/>
        </w:rPr>
        <mc:AlternateContent>
          <mc:Choice Requires="aink">
            <w:drawing>
              <wp:anchor distT="0" distB="0" distL="114300" distR="114300" simplePos="0" relativeHeight="251680768" behindDoc="0" locked="0" layoutInCell="1" allowOverlap="1" wp14:anchorId="1652C514" wp14:editId="3C493BBB">
                <wp:simplePos x="0" y="0"/>
                <wp:positionH relativeFrom="column">
                  <wp:posOffset>5746750</wp:posOffset>
                </wp:positionH>
                <wp:positionV relativeFrom="paragraph">
                  <wp:posOffset>-76835</wp:posOffset>
                </wp:positionV>
                <wp:extent cx="360" cy="360"/>
                <wp:effectExtent l="57150" t="38100" r="38100" b="57150"/>
                <wp:wrapNone/>
                <wp:docPr id="2078299446" name="Ink 26"/>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drawing>
              <wp:anchor distT="0" distB="0" distL="114300" distR="114300" simplePos="0" relativeHeight="251680768" behindDoc="0" locked="0" layoutInCell="1" allowOverlap="1" wp14:anchorId="1652C514" wp14:editId="3C493BBB">
                <wp:simplePos x="0" y="0"/>
                <wp:positionH relativeFrom="column">
                  <wp:posOffset>5746750</wp:posOffset>
                </wp:positionH>
                <wp:positionV relativeFrom="paragraph">
                  <wp:posOffset>-76835</wp:posOffset>
                </wp:positionV>
                <wp:extent cx="360" cy="360"/>
                <wp:effectExtent l="57150" t="38100" r="38100" b="57150"/>
                <wp:wrapNone/>
                <wp:docPr id="2078299446" name="Ink 26"/>
                <wp:cNvGraphicFramePr/>
                <a:graphic xmlns:a="http://schemas.openxmlformats.org/drawingml/2006/main">
                  <a:graphicData uri="http://schemas.openxmlformats.org/drawingml/2006/picture">
                    <pic:pic xmlns:pic="http://schemas.openxmlformats.org/drawingml/2006/picture">
                      <pic:nvPicPr>
                        <pic:cNvPr id="2078299446" name="Ink 26"/>
                        <pic:cNvPicPr/>
                      </pic:nvPicPr>
                      <pic:blipFill>
                        <a:blip r:embed="rId8"/>
                        <a:stretch>
                          <a:fillRect/>
                        </a:stretch>
                      </pic:blipFill>
                      <pic:spPr>
                        <a:xfrm>
                          <a:off x="0" y="0"/>
                          <a:ext cx="36000" cy="216000"/>
                        </a:xfrm>
                        <a:prstGeom prst="rect">
                          <a:avLst/>
                        </a:prstGeom>
                      </pic:spPr>
                    </pic:pic>
                  </a:graphicData>
                </a:graphic>
              </wp:anchor>
            </w:drawing>
          </mc:Fallback>
        </mc:AlternateContent>
      </w:r>
      <w:r w:rsidRPr="00494C3F">
        <w:rPr>
          <w:rFonts w:ascii="Times New Roman" w:hAnsi="Times New Roman" w:cs="Times New Roman"/>
          <w:b/>
          <w:bCs/>
          <w:noProof/>
          <w:color w:val="FF0000"/>
        </w:rPr>
        <mc:AlternateContent>
          <mc:Choice Requires="aink">
            <w:drawing>
              <wp:anchor distT="0" distB="0" distL="114300" distR="114300" simplePos="0" relativeHeight="251676672" behindDoc="0" locked="0" layoutInCell="1" allowOverlap="1" wp14:anchorId="3C107009" wp14:editId="63BD90CE">
                <wp:simplePos x="0" y="0"/>
                <wp:positionH relativeFrom="column">
                  <wp:posOffset>5750785</wp:posOffset>
                </wp:positionH>
                <wp:positionV relativeFrom="paragraph">
                  <wp:posOffset>39153</wp:posOffset>
                </wp:positionV>
                <wp:extent cx="360" cy="360"/>
                <wp:effectExtent l="57150" t="38100" r="38100" b="57150"/>
                <wp:wrapNone/>
                <wp:docPr id="1356374449" name="Ink 22"/>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drawing>
              <wp:anchor distT="0" distB="0" distL="114300" distR="114300" simplePos="0" relativeHeight="251676672" behindDoc="0" locked="0" layoutInCell="1" allowOverlap="1" wp14:anchorId="3C107009" wp14:editId="63BD90CE">
                <wp:simplePos x="0" y="0"/>
                <wp:positionH relativeFrom="column">
                  <wp:posOffset>5750785</wp:posOffset>
                </wp:positionH>
                <wp:positionV relativeFrom="paragraph">
                  <wp:posOffset>39153</wp:posOffset>
                </wp:positionV>
                <wp:extent cx="360" cy="360"/>
                <wp:effectExtent l="57150" t="38100" r="38100" b="57150"/>
                <wp:wrapNone/>
                <wp:docPr id="1356374449" name="Ink 22"/>
                <wp:cNvGraphicFramePr/>
                <a:graphic xmlns:a="http://schemas.openxmlformats.org/drawingml/2006/main">
                  <a:graphicData uri="http://schemas.openxmlformats.org/drawingml/2006/picture">
                    <pic:pic xmlns:pic="http://schemas.openxmlformats.org/drawingml/2006/picture">
                      <pic:nvPicPr>
                        <pic:cNvPr id="1356374449" name="Ink 22"/>
                        <pic:cNvPicPr/>
                      </pic:nvPicPr>
                      <pic:blipFill>
                        <a:blip r:embed="rId10"/>
                        <a:stretch>
                          <a:fillRect/>
                        </a:stretch>
                      </pic:blipFill>
                      <pic:spPr>
                        <a:xfrm>
                          <a:off x="0" y="0"/>
                          <a:ext cx="36000" cy="216000"/>
                        </a:xfrm>
                        <a:prstGeom prst="rect">
                          <a:avLst/>
                        </a:prstGeom>
                      </pic:spPr>
                    </pic:pic>
                  </a:graphicData>
                </a:graphic>
              </wp:anchor>
            </w:drawing>
          </mc:Fallback>
        </mc:AlternateContent>
      </w:r>
      <w:r w:rsidRPr="00494C3F">
        <w:rPr>
          <w:rFonts w:ascii="Times New Roman" w:hAnsi="Times New Roman" w:cs="Times New Roman"/>
          <w:b/>
          <w:bCs/>
          <w:noProof/>
          <w:color w:val="FF0000"/>
        </w:rPr>
        <mc:AlternateContent>
          <mc:Choice Requires="aink">
            <w:drawing>
              <wp:anchor distT="0" distB="0" distL="114300" distR="114300" simplePos="0" relativeHeight="251675648" behindDoc="0" locked="0" layoutInCell="1" allowOverlap="1" wp14:anchorId="11E4013C" wp14:editId="23B4920C">
                <wp:simplePos x="0" y="0"/>
                <wp:positionH relativeFrom="column">
                  <wp:posOffset>-4175</wp:posOffset>
                </wp:positionH>
                <wp:positionV relativeFrom="paragraph">
                  <wp:posOffset>-33207</wp:posOffset>
                </wp:positionV>
                <wp:extent cx="360" cy="360"/>
                <wp:effectExtent l="57150" t="38100" r="38100" b="57150"/>
                <wp:wrapNone/>
                <wp:docPr id="1523265911" name="Ink 21"/>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drawing>
              <wp:anchor distT="0" distB="0" distL="114300" distR="114300" simplePos="0" relativeHeight="251675648" behindDoc="0" locked="0" layoutInCell="1" allowOverlap="1" wp14:anchorId="11E4013C" wp14:editId="23B4920C">
                <wp:simplePos x="0" y="0"/>
                <wp:positionH relativeFrom="column">
                  <wp:posOffset>-4175</wp:posOffset>
                </wp:positionH>
                <wp:positionV relativeFrom="paragraph">
                  <wp:posOffset>-33207</wp:posOffset>
                </wp:positionV>
                <wp:extent cx="360" cy="360"/>
                <wp:effectExtent l="57150" t="38100" r="38100" b="57150"/>
                <wp:wrapNone/>
                <wp:docPr id="1523265911" name="Ink 21"/>
                <wp:cNvGraphicFramePr/>
                <a:graphic xmlns:a="http://schemas.openxmlformats.org/drawingml/2006/main">
                  <a:graphicData uri="http://schemas.openxmlformats.org/drawingml/2006/picture">
                    <pic:pic xmlns:pic="http://schemas.openxmlformats.org/drawingml/2006/picture">
                      <pic:nvPicPr>
                        <pic:cNvPr id="1523265911" name="Ink 21"/>
                        <pic:cNvPicPr/>
                      </pic:nvPicPr>
                      <pic:blipFill>
                        <a:blip r:embed="rId12"/>
                        <a:stretch>
                          <a:fillRect/>
                        </a:stretch>
                      </pic:blipFill>
                      <pic:spPr>
                        <a:xfrm>
                          <a:off x="0" y="0"/>
                          <a:ext cx="36000" cy="216000"/>
                        </a:xfrm>
                        <a:prstGeom prst="rect">
                          <a:avLst/>
                        </a:prstGeom>
                      </pic:spPr>
                    </pic:pic>
                  </a:graphicData>
                </a:graphic>
              </wp:anchor>
            </w:drawing>
          </mc:Fallback>
        </mc:AlternateContent>
      </w:r>
      <w:r w:rsidRPr="00494C3F">
        <w:rPr>
          <w:rFonts w:ascii="Times New Roman" w:hAnsi="Times New Roman" w:cs="Times New Roman"/>
          <w:b/>
          <w:bCs/>
          <w:noProof/>
          <w:color w:val="FF0000"/>
        </w:rPr>
        <mc:AlternateContent>
          <mc:Choice Requires="aink">
            <w:drawing>
              <wp:anchor distT="0" distB="0" distL="114300" distR="114300" simplePos="0" relativeHeight="251674624" behindDoc="0" locked="0" layoutInCell="1" allowOverlap="1" wp14:anchorId="4155F06D" wp14:editId="2A304E85">
                <wp:simplePos x="0" y="0"/>
                <wp:positionH relativeFrom="column">
                  <wp:posOffset>0</wp:posOffset>
                </wp:positionH>
                <wp:positionV relativeFrom="paragraph">
                  <wp:posOffset>-385445</wp:posOffset>
                </wp:positionV>
                <wp:extent cx="360" cy="360"/>
                <wp:effectExtent l="57150" t="38100" r="38100" b="57150"/>
                <wp:wrapNone/>
                <wp:docPr id="1292807978" name="Ink 20"/>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drawing>
              <wp:anchor distT="0" distB="0" distL="114300" distR="114300" simplePos="0" relativeHeight="251674624" behindDoc="0" locked="0" layoutInCell="1" allowOverlap="1" wp14:anchorId="4155F06D" wp14:editId="2A304E85">
                <wp:simplePos x="0" y="0"/>
                <wp:positionH relativeFrom="column">
                  <wp:posOffset>0</wp:posOffset>
                </wp:positionH>
                <wp:positionV relativeFrom="paragraph">
                  <wp:posOffset>-385445</wp:posOffset>
                </wp:positionV>
                <wp:extent cx="360" cy="360"/>
                <wp:effectExtent l="57150" t="38100" r="38100" b="57150"/>
                <wp:wrapNone/>
                <wp:docPr id="1292807978" name="Ink 20"/>
                <wp:cNvGraphicFramePr/>
                <a:graphic xmlns:a="http://schemas.openxmlformats.org/drawingml/2006/main">
                  <a:graphicData uri="http://schemas.openxmlformats.org/drawingml/2006/picture">
                    <pic:pic xmlns:pic="http://schemas.openxmlformats.org/drawingml/2006/picture">
                      <pic:nvPicPr>
                        <pic:cNvPr id="1292807978" name="Ink 20"/>
                        <pic:cNvPicPr/>
                      </pic:nvPicPr>
                      <pic:blipFill>
                        <a:blip r:embed="rId14"/>
                        <a:stretch>
                          <a:fillRect/>
                        </a:stretch>
                      </pic:blipFill>
                      <pic:spPr>
                        <a:xfrm>
                          <a:off x="0" y="0"/>
                          <a:ext cx="36000" cy="216000"/>
                        </a:xfrm>
                        <a:prstGeom prst="rect">
                          <a:avLst/>
                        </a:prstGeom>
                      </pic:spPr>
                    </pic:pic>
                  </a:graphicData>
                </a:graphic>
              </wp:anchor>
            </w:drawing>
          </mc:Fallback>
        </mc:AlternateContent>
      </w:r>
      <w:r w:rsidRPr="00494C3F">
        <w:rPr>
          <w:rFonts w:ascii="Times New Roman" w:hAnsi="Times New Roman" w:cs="Times New Roman"/>
          <w:b/>
          <w:bCs/>
          <w:noProof/>
          <w:color w:val="FF0000"/>
        </w:rPr>
        <mc:AlternateContent>
          <mc:Choice Requires="aink">
            <w:drawing>
              <wp:anchor distT="0" distB="0" distL="114300" distR="114300" simplePos="0" relativeHeight="251667456" behindDoc="0" locked="0" layoutInCell="1" allowOverlap="1" wp14:anchorId="5BD859BB" wp14:editId="2E87CB07">
                <wp:simplePos x="0" y="0"/>
                <wp:positionH relativeFrom="column">
                  <wp:posOffset>-80010</wp:posOffset>
                </wp:positionH>
                <wp:positionV relativeFrom="paragraph">
                  <wp:posOffset>-429895</wp:posOffset>
                </wp:positionV>
                <wp:extent cx="115570" cy="84455"/>
                <wp:effectExtent l="57150" t="38100" r="0" b="67945"/>
                <wp:wrapNone/>
                <wp:docPr id="1482736478" name="Ink 13"/>
                <wp:cNvGraphicFramePr/>
                <a:graphic xmlns:a="http://schemas.openxmlformats.org/drawingml/2006/main">
                  <a:graphicData uri="http://schemas.microsoft.com/office/word/2010/wordprocessingInk">
                    <w14:contentPart bwMode="auto" r:id="rId15">
                      <w14:nvContentPartPr>
                        <w14:cNvContentPartPr/>
                      </w14:nvContentPartPr>
                      <w14:xfrm>
                        <a:off x="0" y="0"/>
                        <a:ext cx="115570" cy="84455"/>
                      </w14:xfrm>
                    </w14:contentPart>
                  </a:graphicData>
                </a:graphic>
              </wp:anchor>
            </w:drawing>
          </mc:Choice>
          <mc:Fallback>
            <w:drawing>
              <wp:anchor distT="0" distB="0" distL="114300" distR="114300" simplePos="0" relativeHeight="251667456" behindDoc="0" locked="0" layoutInCell="1" allowOverlap="1" wp14:anchorId="5BD859BB" wp14:editId="2E87CB07">
                <wp:simplePos x="0" y="0"/>
                <wp:positionH relativeFrom="column">
                  <wp:posOffset>-80010</wp:posOffset>
                </wp:positionH>
                <wp:positionV relativeFrom="paragraph">
                  <wp:posOffset>-429895</wp:posOffset>
                </wp:positionV>
                <wp:extent cx="115570" cy="84455"/>
                <wp:effectExtent l="57150" t="38100" r="0" b="67945"/>
                <wp:wrapNone/>
                <wp:docPr id="1482736478" name="Ink 13"/>
                <wp:cNvGraphicFramePr/>
                <a:graphic xmlns:a="http://schemas.openxmlformats.org/drawingml/2006/main">
                  <a:graphicData uri="http://schemas.openxmlformats.org/drawingml/2006/picture">
                    <pic:pic xmlns:pic="http://schemas.openxmlformats.org/drawingml/2006/picture">
                      <pic:nvPicPr>
                        <pic:cNvPr id="1482736478" name="Ink 13"/>
                        <pic:cNvPicPr/>
                      </pic:nvPicPr>
                      <pic:blipFill>
                        <a:blip r:embed="rId16"/>
                        <a:stretch>
                          <a:fillRect/>
                        </a:stretch>
                      </pic:blipFill>
                      <pic:spPr>
                        <a:xfrm>
                          <a:off x="0" y="0"/>
                          <a:ext cx="150992" cy="298813"/>
                        </a:xfrm>
                        <a:prstGeom prst="rect">
                          <a:avLst/>
                        </a:prstGeom>
                      </pic:spPr>
                    </pic:pic>
                  </a:graphicData>
                </a:graphic>
              </wp:anchor>
            </w:drawing>
          </mc:Fallback>
        </mc:AlternateContent>
      </w:r>
      <w:r w:rsidR="0059185A" w:rsidRPr="00494C3F">
        <w:rPr>
          <w:rFonts w:ascii="Times New Roman" w:hAnsi="Times New Roman" w:cs="Times New Roman"/>
          <w:b/>
          <w:bCs/>
          <w:color w:val="FF0000"/>
        </w:rPr>
        <w:t>BUSINESS MODEL CANVAS</w:t>
      </w:r>
    </w:p>
    <w:tbl>
      <w:tblPr>
        <w:tblStyle w:val="TableGrid"/>
        <w:tblW w:w="0" w:type="auto"/>
        <w:tblLook w:val="04A0" w:firstRow="1" w:lastRow="0" w:firstColumn="1" w:lastColumn="0" w:noHBand="0" w:noVBand="1"/>
      </w:tblPr>
      <w:tblGrid>
        <w:gridCol w:w="2008"/>
        <w:gridCol w:w="997"/>
        <w:gridCol w:w="755"/>
        <w:gridCol w:w="1752"/>
        <w:gridCol w:w="498"/>
        <w:gridCol w:w="1254"/>
        <w:gridCol w:w="1752"/>
      </w:tblGrid>
      <w:tr w:rsidR="008142EB" w14:paraId="5C1DBDA6" w14:textId="77777777" w:rsidTr="008142EB">
        <w:trPr>
          <w:trHeight w:val="1975"/>
        </w:trPr>
        <w:tc>
          <w:tcPr>
            <w:tcW w:w="2008" w:type="dxa"/>
          </w:tcPr>
          <w:p w14:paraId="374EF4DE" w14:textId="391A6F58" w:rsidR="008142EB" w:rsidRPr="008142EB" w:rsidRDefault="008142EB" w:rsidP="008142EB">
            <w:pPr>
              <w:rPr>
                <w:rFonts w:ascii="Times New Roman" w:hAnsi="Times New Roman" w:cs="Times New Roman"/>
                <w:sz w:val="16"/>
                <w:szCs w:val="16"/>
              </w:rPr>
            </w:pPr>
            <w:r w:rsidRPr="008142EB">
              <w:rPr>
                <w:rFonts w:ascii="Times New Roman" w:hAnsi="Times New Roman" w:cs="Times New Roman"/>
                <w:sz w:val="16"/>
                <w:szCs w:val="16"/>
              </w:rPr>
              <w:t>A number of crucial elements that support Burger King's dedication to sustainability and circularity in its business operations are included in the company's value proposition for its circular economy strategy. The business is taking advantage of this trend to set itself apart from its rivals and appeal to consumers who are worried about the environment since it recognises that consumers' concerns about the environmental effects of their food choices are growing.</w:t>
            </w:r>
            <w:r>
              <w:t xml:space="preserve"> </w:t>
            </w:r>
            <w:r w:rsidRPr="008142EB">
              <w:rPr>
                <w:rFonts w:ascii="Times New Roman" w:hAnsi="Times New Roman" w:cs="Times New Roman"/>
                <w:sz w:val="16"/>
                <w:szCs w:val="16"/>
              </w:rPr>
              <w:t>Burger King's value proposition includes a strong emphasis on minimising waste and emissions. This can involve taking steps to cut down on food waste, minimise packaging waste, and implement energy-saving procedures in its restaurants. Burger King may draw customers who are looking for businesses that are dedicated to sustainability and environmental responsibility by minimising its environmental impact.</w:t>
            </w:r>
            <w:r>
              <w:t xml:space="preserve"> </w:t>
            </w:r>
            <w:r w:rsidRPr="008142EB">
              <w:rPr>
                <w:rFonts w:ascii="Times New Roman" w:hAnsi="Times New Roman" w:cs="Times New Roman"/>
                <w:sz w:val="16"/>
                <w:szCs w:val="16"/>
              </w:rPr>
              <w:t>Burger King's dedication to ethical ingredient sourcing is another important component of the company's value proposition. In order to lower the carbon footprint of its supply chain, this can be achieved by using locally obtained ingredients, sourcing ingredients from suppliers who follow sustainable agricultural practises, and advocating for the humane treatment of animals. Burger King may win over customers who are worried about the effects of food production on the environment by emphasising responsible sourcing.</w:t>
            </w:r>
            <w:r>
              <w:t xml:space="preserve"> </w:t>
            </w:r>
            <w:r w:rsidRPr="008142EB">
              <w:rPr>
                <w:rFonts w:ascii="Times New Roman" w:hAnsi="Times New Roman" w:cs="Times New Roman"/>
                <w:sz w:val="16"/>
                <w:szCs w:val="16"/>
              </w:rPr>
              <w:t xml:space="preserve">The value proposition of Burger King also emphasises the </w:t>
            </w:r>
            <w:r w:rsidRPr="008142EB">
              <w:rPr>
                <w:rFonts w:ascii="Times New Roman" w:hAnsi="Times New Roman" w:cs="Times New Roman"/>
                <w:sz w:val="16"/>
                <w:szCs w:val="16"/>
              </w:rPr>
              <w:lastRenderedPageBreak/>
              <w:t>promotion of a plant-based menu. Burger King may draw customers who want to eat healthier and more sustainably by providing more vegetarian and vegan options. By lowering the carbon footprint of its supply chain and decreasing the quantity of land, water, and other resources required for meat production, this can also assist to lessen the environmental effect of its operations.</w:t>
            </w:r>
            <w:r>
              <w:t xml:space="preserve"> </w:t>
            </w:r>
            <w:r w:rsidRPr="008142EB">
              <w:rPr>
                <w:rFonts w:ascii="Times New Roman" w:hAnsi="Times New Roman" w:cs="Times New Roman"/>
                <w:sz w:val="16"/>
                <w:szCs w:val="16"/>
              </w:rPr>
              <w:t>In order to attract environmentally concerned customers and set itself apart from its rivals, Burger King's value proposition for its circular economy strategy is centred on encouraging sustainability and circularity in its operations. Burger King may establish itself as a pioneer in environmentally friendly food production and consumption by giving priority to waste reduction, ethical sourcing, and plant-based solutions.</w:t>
            </w:r>
          </w:p>
          <w:p w14:paraId="0D07F900" w14:textId="77777777" w:rsidR="008142EB" w:rsidRPr="008142EB" w:rsidRDefault="008142EB">
            <w:pPr>
              <w:rPr>
                <w:rFonts w:ascii="Times New Roman" w:hAnsi="Times New Roman" w:cs="Times New Roman"/>
                <w:sz w:val="16"/>
                <w:szCs w:val="16"/>
              </w:rPr>
            </w:pPr>
          </w:p>
        </w:tc>
        <w:tc>
          <w:tcPr>
            <w:tcW w:w="1752" w:type="dxa"/>
            <w:gridSpan w:val="2"/>
          </w:tcPr>
          <w:p w14:paraId="33F7331F" w14:textId="163C1C2A" w:rsidR="008142EB" w:rsidRPr="00C54C26" w:rsidRDefault="00C54C26">
            <w:pPr>
              <w:rPr>
                <w:rFonts w:ascii="Times New Roman" w:hAnsi="Times New Roman" w:cs="Times New Roman"/>
                <w:sz w:val="16"/>
                <w:szCs w:val="16"/>
              </w:rPr>
            </w:pPr>
            <w:r w:rsidRPr="00C54C26">
              <w:rPr>
                <w:rFonts w:ascii="Times New Roman" w:hAnsi="Times New Roman" w:cs="Times New Roman"/>
                <w:sz w:val="16"/>
                <w:szCs w:val="16"/>
              </w:rPr>
              <w:lastRenderedPageBreak/>
              <w:t>A wide range of client categories can benefit from Burger King's circular economy concept. The environmentally concerned millennial and Generation Z consumer group is one such group. These clients are renowned for their steadfast dedication to sustainability and are prepared to pay more for goods and services that share their ideals. Burger King can stand out from rivals and draw these clients by encouraging sustainable practises and eco-friendliness in its business practises.</w:t>
            </w:r>
            <w:r>
              <w:t xml:space="preserve"> </w:t>
            </w:r>
            <w:r w:rsidRPr="00C54C26">
              <w:rPr>
                <w:rFonts w:ascii="Times New Roman" w:hAnsi="Times New Roman" w:cs="Times New Roman"/>
                <w:sz w:val="16"/>
                <w:szCs w:val="16"/>
              </w:rPr>
              <w:t>Additionally, one potential client group for Burger King's circular economy plan is families that want to teach their kids the value of sustainable practises. Burger King may position itself as a company that is dedicated to sustainability and appeal to families who prioritise these values by providing plant-based menu options and advocating ethical sourcing methods.</w:t>
            </w:r>
            <w:r>
              <w:t xml:space="preserve"> </w:t>
            </w:r>
            <w:r w:rsidRPr="00C54C26">
              <w:rPr>
                <w:rFonts w:ascii="Times New Roman" w:hAnsi="Times New Roman" w:cs="Times New Roman"/>
                <w:sz w:val="16"/>
                <w:szCs w:val="16"/>
              </w:rPr>
              <w:t xml:space="preserve">Furthermore, customers who are concerned about their health and wellness may be drawn to Burger King by its plant-based menu alternatives. Customers looking for healthier </w:t>
            </w:r>
            <w:r w:rsidRPr="00C54C26">
              <w:rPr>
                <w:rFonts w:ascii="Times New Roman" w:hAnsi="Times New Roman" w:cs="Times New Roman"/>
                <w:sz w:val="16"/>
                <w:szCs w:val="16"/>
              </w:rPr>
              <w:t>fast-food</w:t>
            </w:r>
            <w:r w:rsidRPr="00C54C26">
              <w:rPr>
                <w:rFonts w:ascii="Times New Roman" w:hAnsi="Times New Roman" w:cs="Times New Roman"/>
                <w:sz w:val="16"/>
                <w:szCs w:val="16"/>
              </w:rPr>
              <w:t xml:space="preserve"> options generally, as well as vegetarians and vegans looking for options that fit their dietary constraints, can fall under this category. Burger King will be able to draw in various clientele groups and increase sales by pushing plant-based choices and emphasising their health advantages.</w:t>
            </w:r>
            <w:r>
              <w:t xml:space="preserve"> </w:t>
            </w:r>
            <w:r w:rsidRPr="00C54C26">
              <w:rPr>
                <w:rFonts w:ascii="Times New Roman" w:hAnsi="Times New Roman" w:cs="Times New Roman"/>
                <w:sz w:val="16"/>
                <w:szCs w:val="16"/>
              </w:rPr>
              <w:t xml:space="preserve">Businesses and institutions that place a high priority on </w:t>
            </w:r>
            <w:r w:rsidRPr="00C54C26">
              <w:rPr>
                <w:rFonts w:ascii="Times New Roman" w:hAnsi="Times New Roman" w:cs="Times New Roman"/>
                <w:sz w:val="16"/>
                <w:szCs w:val="16"/>
              </w:rPr>
              <w:lastRenderedPageBreak/>
              <w:t>sustainability are another potential consumer category for Burger King's circular economy strategy. Just a few examples of the kind of businesses that would be interested in collaborating with Burger King to offer environmentally friendly catering services include universities, hospitals, and corporate offices. Burger King can draw in these clients and create enduring relationships by exhibiting its dedication to sustainability and circularity. Overall, Burger King can increase sales and establish a strong brand recognition for its circular economy strategy by focusing on a wide variety of client demographics.</w:t>
            </w:r>
          </w:p>
        </w:tc>
        <w:tc>
          <w:tcPr>
            <w:tcW w:w="1752" w:type="dxa"/>
          </w:tcPr>
          <w:p w14:paraId="05E81F7D" w14:textId="1EA67AA5" w:rsidR="008142EB" w:rsidRPr="00C54C26" w:rsidRDefault="00C54C26">
            <w:pPr>
              <w:rPr>
                <w:rFonts w:ascii="Times New Roman" w:hAnsi="Times New Roman" w:cs="Times New Roman"/>
                <w:sz w:val="16"/>
                <w:szCs w:val="16"/>
              </w:rPr>
            </w:pPr>
            <w:r w:rsidRPr="00C54C26">
              <w:rPr>
                <w:rFonts w:ascii="Times New Roman" w:hAnsi="Times New Roman" w:cs="Times New Roman"/>
                <w:sz w:val="16"/>
                <w:szCs w:val="16"/>
              </w:rPr>
              <w:lastRenderedPageBreak/>
              <w:t>Burger King can reach a larger audience by using social media to advertise its circular economy initiatives. The business may connect with younger customers who are more likely to be engaged on social media by utilising platforms like Instagram, Facebook, and Twitter. Through these means, Burger King may tell the public about its environmentally friendly practises, including the utilisation of renewable energy sources and ethically sourced food.</w:t>
            </w:r>
            <w:r>
              <w:t xml:space="preserve"> </w:t>
            </w:r>
            <w:r w:rsidRPr="00C54C26">
              <w:rPr>
                <w:rFonts w:ascii="Times New Roman" w:hAnsi="Times New Roman" w:cs="Times New Roman"/>
                <w:sz w:val="16"/>
                <w:szCs w:val="16"/>
              </w:rPr>
              <w:t>Email marketing can be a powerful avenue for Burger King to advertise its circular economy activities in addition to social media. The business can deliver targeted messaging about its sustainability initiatives and emphasise menu items that are in line with eco-friendly objectives by gathering client email addresses.</w:t>
            </w:r>
            <w:r>
              <w:t xml:space="preserve"> </w:t>
            </w:r>
            <w:r w:rsidRPr="00C54C26">
              <w:rPr>
                <w:rFonts w:ascii="Times New Roman" w:hAnsi="Times New Roman" w:cs="Times New Roman"/>
                <w:sz w:val="16"/>
                <w:szCs w:val="16"/>
              </w:rPr>
              <w:t>Burger King can also inform customers about their circular economy activities through in-store promotions like signage and posters. This can include details about company dedication to reduce food waste or its usage of recyclable packaging. Customers who are dining at Burger King may be reminded visually to choose environmentally responsible options through these promotions.</w:t>
            </w:r>
            <w:r w:rsidR="00C77355">
              <w:t xml:space="preserve"> </w:t>
            </w:r>
            <w:r w:rsidR="00C77355" w:rsidRPr="00C77355">
              <w:rPr>
                <w:rFonts w:ascii="Times New Roman" w:hAnsi="Times New Roman" w:cs="Times New Roman"/>
                <w:sz w:val="16"/>
                <w:szCs w:val="16"/>
              </w:rPr>
              <w:t xml:space="preserve">Burger King can effectively promote its circular economy ideas by collaborating with groups who are concerned about sustainability. The company can gain the trust of environmentally sensitive customers by </w:t>
            </w:r>
            <w:r w:rsidR="00C77355" w:rsidRPr="00C77355">
              <w:rPr>
                <w:rFonts w:ascii="Times New Roman" w:hAnsi="Times New Roman" w:cs="Times New Roman"/>
                <w:sz w:val="16"/>
                <w:szCs w:val="16"/>
              </w:rPr>
              <w:lastRenderedPageBreak/>
              <w:t>working with organisations like the Sustainable Restaurant Association or the Ellen MacArthur Foundation by utilising the reputation and knowledge of these groups.</w:t>
            </w:r>
            <w:r w:rsidR="00C77355">
              <w:t xml:space="preserve"> </w:t>
            </w:r>
            <w:r w:rsidR="00C77355" w:rsidRPr="00C77355">
              <w:rPr>
                <w:rFonts w:ascii="Times New Roman" w:hAnsi="Times New Roman" w:cs="Times New Roman"/>
                <w:sz w:val="16"/>
                <w:szCs w:val="16"/>
              </w:rPr>
              <w:t>And last, Burger King may use its current mobile app and delivery systems to advertise its circular economy activities. This can be done by emphasising the menu items that are made from plants or by giving discounts to clients who adopt environmentally friendly practises, including forgoing plastic utensils or placing their orders via a mobile app to cut down on paper usage. Burger King can influence customers to make more environmentally friendly decisions by making these programmes accessible and simple to access through its digital platforms.</w:t>
            </w:r>
          </w:p>
        </w:tc>
        <w:tc>
          <w:tcPr>
            <w:tcW w:w="1752" w:type="dxa"/>
            <w:gridSpan w:val="2"/>
          </w:tcPr>
          <w:p w14:paraId="350CB183" w14:textId="25BF862B" w:rsidR="008142EB" w:rsidRPr="00C77355" w:rsidRDefault="00C77355">
            <w:pPr>
              <w:rPr>
                <w:rFonts w:ascii="Times New Roman" w:hAnsi="Times New Roman" w:cs="Times New Roman"/>
                <w:sz w:val="16"/>
                <w:szCs w:val="16"/>
              </w:rPr>
            </w:pPr>
            <w:r w:rsidRPr="00C77355">
              <w:rPr>
                <w:rFonts w:ascii="Times New Roman" w:hAnsi="Times New Roman" w:cs="Times New Roman"/>
                <w:sz w:val="16"/>
                <w:szCs w:val="16"/>
              </w:rPr>
              <w:lastRenderedPageBreak/>
              <w:t>Customers who support Burger King's circular economy initiatives may also be eligible for discounts on plant-based menu items or free recyclable packaging. Customers who support the company's ideals may become more devoted to it as a result.</w:t>
            </w:r>
            <w:r>
              <w:t xml:space="preserve"> </w:t>
            </w:r>
            <w:r w:rsidRPr="00C77355">
              <w:rPr>
                <w:rFonts w:ascii="Times New Roman" w:hAnsi="Times New Roman" w:cs="Times New Roman"/>
                <w:sz w:val="16"/>
                <w:szCs w:val="16"/>
              </w:rPr>
              <w:t>In addition, Burger King can design seminars or educational programmes to educate its patrons about sustainability and circularity. This can involve spreading knowledge about trash reduction, composting, recycling, and plant-based eating practises. Burger King can strengthen their relationship with customers and develop a devoted clientele that supports its circular economy initiatives by meaningfully engaging with them.</w:t>
            </w:r>
          </w:p>
        </w:tc>
        <w:tc>
          <w:tcPr>
            <w:tcW w:w="1752" w:type="dxa"/>
          </w:tcPr>
          <w:p w14:paraId="4302C3C9" w14:textId="05630A68" w:rsidR="008142EB" w:rsidRPr="00C77355" w:rsidRDefault="00C77355">
            <w:pPr>
              <w:rPr>
                <w:rFonts w:ascii="Times New Roman" w:hAnsi="Times New Roman" w:cs="Times New Roman"/>
                <w:sz w:val="16"/>
                <w:szCs w:val="16"/>
              </w:rPr>
            </w:pPr>
            <w:r w:rsidRPr="00C77355">
              <w:rPr>
                <w:rFonts w:ascii="Times New Roman" w:hAnsi="Times New Roman" w:cs="Times New Roman"/>
                <w:sz w:val="16"/>
                <w:szCs w:val="16"/>
              </w:rPr>
              <w:t>Burger King can also look into partnering with and working with other sustainability-focused organisations to create new revenue streams. For instance, the business may work with nearby farmers and suppliers to find products for its menu that are sustainably and organically cultivated. The business can draw clients that care about sustainability and the environment by emphasising the usage of products that are grown without the use of dangerous chemicals or GM organisms.</w:t>
            </w:r>
            <w:r w:rsidR="00C53DF7">
              <w:t xml:space="preserve"> </w:t>
            </w:r>
            <w:r w:rsidR="00C53DF7" w:rsidRPr="00C53DF7">
              <w:rPr>
                <w:rFonts w:ascii="Times New Roman" w:hAnsi="Times New Roman" w:cs="Times New Roman"/>
                <w:sz w:val="16"/>
                <w:szCs w:val="16"/>
              </w:rPr>
              <w:t>Through its platforms for delivery and mobile apps, Burger King can investigate additional revenue streams. Customers can choose to donate a portion of their purchase to a business that promotes sustainability, and the business can also give them discounts if they bring their own reusable containers. These programmes not only bring in money but also strengthen the business's dedication to sustainability.</w:t>
            </w:r>
            <w:r w:rsidR="00C53DF7">
              <w:t xml:space="preserve"> </w:t>
            </w:r>
            <w:r w:rsidR="00C53DF7" w:rsidRPr="00C53DF7">
              <w:rPr>
                <w:rFonts w:ascii="Times New Roman" w:hAnsi="Times New Roman" w:cs="Times New Roman"/>
                <w:sz w:val="16"/>
                <w:szCs w:val="16"/>
              </w:rPr>
              <w:t>Finally, Burger King can investigate new revenue opportunities by improving its waste management procedures. The business can save on disposal fees and possibly make money through recycling and upcycling activities by lowering trash and operating costs through more effective practises. For instance, the business can recycle its cardboard packaging into new items or convert leftover cooking oil into biodiesel fuel for its delivery fleet.</w:t>
            </w:r>
          </w:p>
        </w:tc>
      </w:tr>
      <w:tr w:rsidR="00C53DF7" w14:paraId="20BA1D19" w14:textId="77777777" w:rsidTr="0059185A">
        <w:trPr>
          <w:trHeight w:val="281"/>
        </w:trPr>
        <w:tc>
          <w:tcPr>
            <w:tcW w:w="3005" w:type="dxa"/>
            <w:gridSpan w:val="2"/>
          </w:tcPr>
          <w:p w14:paraId="3DCE6215" w14:textId="3E9797F0" w:rsidR="00C53DF7" w:rsidRPr="0059185A" w:rsidRDefault="00C53DF7">
            <w:pPr>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Key Resources</w:t>
            </w:r>
          </w:p>
        </w:tc>
        <w:tc>
          <w:tcPr>
            <w:tcW w:w="3005" w:type="dxa"/>
            <w:gridSpan w:val="3"/>
          </w:tcPr>
          <w:p w14:paraId="31959E44" w14:textId="20E2C6C9" w:rsidR="00C53DF7" w:rsidRPr="0059185A" w:rsidRDefault="00C53DF7">
            <w:pPr>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Key Partnerships</w:t>
            </w:r>
          </w:p>
        </w:tc>
        <w:tc>
          <w:tcPr>
            <w:tcW w:w="3006" w:type="dxa"/>
            <w:gridSpan w:val="2"/>
          </w:tcPr>
          <w:p w14:paraId="53E559FD" w14:textId="2E0FE1CA" w:rsidR="00C53DF7" w:rsidRPr="0059185A" w:rsidRDefault="00C53DF7">
            <w:pPr>
              <w:rPr>
                <w:rFonts w:ascii="Times New Roman" w:hAnsi="Times New Roman" w:cs="Times New Roman"/>
                <w:b/>
                <w:bCs/>
                <w:color w:val="FF0000"/>
                <w:sz w:val="16"/>
                <w:szCs w:val="16"/>
              </w:rPr>
            </w:pPr>
            <w:r w:rsidRPr="0059185A">
              <w:rPr>
                <w:rFonts w:ascii="Times New Roman" w:hAnsi="Times New Roman" w:cs="Times New Roman"/>
                <w:b/>
                <w:bCs/>
                <w:color w:val="FF0000"/>
                <w:sz w:val="16"/>
                <w:szCs w:val="16"/>
              </w:rPr>
              <w:t>Cost Structure</w:t>
            </w:r>
          </w:p>
        </w:tc>
      </w:tr>
      <w:tr w:rsidR="00C53DF7" w14:paraId="30A88EDA" w14:textId="77777777" w:rsidTr="00C53DF7">
        <w:trPr>
          <w:trHeight w:val="2269"/>
        </w:trPr>
        <w:tc>
          <w:tcPr>
            <w:tcW w:w="3005" w:type="dxa"/>
            <w:gridSpan w:val="2"/>
          </w:tcPr>
          <w:p w14:paraId="1EFB07EC" w14:textId="7B387F7A" w:rsidR="00C53DF7" w:rsidRPr="00C53DF7" w:rsidRDefault="00C53DF7">
            <w:pPr>
              <w:rPr>
                <w:rFonts w:ascii="Times New Roman" w:hAnsi="Times New Roman" w:cs="Times New Roman"/>
                <w:sz w:val="16"/>
                <w:szCs w:val="16"/>
              </w:rPr>
            </w:pPr>
            <w:r w:rsidRPr="00C53DF7">
              <w:rPr>
                <w:rFonts w:ascii="Times New Roman" w:hAnsi="Times New Roman" w:cs="Times New Roman"/>
                <w:sz w:val="16"/>
                <w:szCs w:val="16"/>
              </w:rPr>
              <w:t>For Burger King's circular economy plan, having access to sustainable ingredients is a crucial resource. Through collaborations with regional vendors who place a priority on environmentally and socially responsible business practises, the company may obtain these materials. By doing this, the business may lessen its negative effects on the environment and help the community.</w:t>
            </w:r>
            <w:r>
              <w:t xml:space="preserve"> </w:t>
            </w:r>
            <w:r w:rsidRPr="00C53DF7">
              <w:rPr>
                <w:rFonts w:ascii="Times New Roman" w:hAnsi="Times New Roman" w:cs="Times New Roman"/>
                <w:sz w:val="16"/>
                <w:szCs w:val="16"/>
              </w:rPr>
              <w:t>Burger King may benefit greatly from collaborations with groups that are concerned with sustainability. These groups can offer the business knowledge, tools, and networks it needs to successfully carry out its circular economy projects. Burger King can improve its standing as a socially conscious business and forge closer ties with its clients by collaborating with these groups.</w:t>
            </w:r>
            <w:r>
              <w:t xml:space="preserve"> </w:t>
            </w:r>
            <w:r w:rsidRPr="00C53DF7">
              <w:rPr>
                <w:rFonts w:ascii="Times New Roman" w:hAnsi="Times New Roman" w:cs="Times New Roman"/>
                <w:sz w:val="16"/>
                <w:szCs w:val="16"/>
              </w:rPr>
              <w:t>Another crucial component of Burger King's circular economy plan is a well-designed supply chain. By lowering waste, utilising eco-friendly transportation techniques, and integrating sustainable practises into its operations, the company can improve its supply chain. This could aid the business in cutting expenses, boosting productivity, and improving environmental performance.</w:t>
            </w:r>
            <w:r>
              <w:t xml:space="preserve"> </w:t>
            </w:r>
            <w:r w:rsidRPr="00C53DF7">
              <w:rPr>
                <w:rFonts w:ascii="Times New Roman" w:hAnsi="Times New Roman" w:cs="Times New Roman"/>
                <w:sz w:val="16"/>
                <w:szCs w:val="16"/>
              </w:rPr>
              <w:t xml:space="preserve">Another essential resource for Burger King's circular economy plan is an engaged and motivated workforce. Through incentives, training initiatives, and open communication of its objectives and principles, the organisation can encourage sustainability and circularity. By doing </w:t>
            </w:r>
            <w:r w:rsidRPr="00C53DF7">
              <w:rPr>
                <w:rFonts w:ascii="Times New Roman" w:hAnsi="Times New Roman" w:cs="Times New Roman"/>
                <w:sz w:val="16"/>
                <w:szCs w:val="16"/>
              </w:rPr>
              <w:lastRenderedPageBreak/>
              <w:t>this, the business may strengthen its reputation as a socially responsible employer while empowering its staff to promote its circular economy efforts.</w:t>
            </w:r>
          </w:p>
        </w:tc>
        <w:tc>
          <w:tcPr>
            <w:tcW w:w="3005" w:type="dxa"/>
            <w:gridSpan w:val="3"/>
          </w:tcPr>
          <w:p w14:paraId="1F6BB949" w14:textId="6394E5A1" w:rsidR="00C53DF7" w:rsidRPr="0059185A" w:rsidRDefault="0059185A">
            <w:pPr>
              <w:rPr>
                <w:rFonts w:ascii="Times New Roman" w:hAnsi="Times New Roman" w:cs="Times New Roman"/>
                <w:sz w:val="16"/>
                <w:szCs w:val="16"/>
              </w:rPr>
            </w:pPr>
            <w:r w:rsidRPr="0059185A">
              <w:rPr>
                <w:rFonts w:ascii="Times New Roman" w:hAnsi="Times New Roman" w:cs="Times New Roman"/>
                <w:sz w:val="16"/>
                <w:szCs w:val="16"/>
              </w:rPr>
              <w:lastRenderedPageBreak/>
              <w:t>Burger King may create significant collaborations with local governments and waste management firms in addition to working with suppliers and organisations that are concerned with sustainability in order to cut waste and encourage recycling. Collaboration with these organisations can give Burger King access to resources and knowledge that will help it meet its sustainability objectives. Additionally, working with non-profits and advocacy groups can help the business gain favour with clients who care about the environment and expand the reach of its circular economy activities. Burger King may further its circular economy plan by forging solid, mutually beneficial alliances with these groups and utilising their knowledge and resources.</w:t>
            </w:r>
          </w:p>
        </w:tc>
        <w:tc>
          <w:tcPr>
            <w:tcW w:w="3006" w:type="dxa"/>
            <w:gridSpan w:val="2"/>
          </w:tcPr>
          <w:p w14:paraId="02AFE31D" w14:textId="00347CE6" w:rsidR="00C53DF7" w:rsidRPr="0059185A" w:rsidRDefault="0059185A">
            <w:pPr>
              <w:rPr>
                <w:rFonts w:ascii="Times New Roman" w:hAnsi="Times New Roman" w:cs="Times New Roman"/>
                <w:sz w:val="16"/>
                <w:szCs w:val="16"/>
              </w:rPr>
            </w:pPr>
            <w:r w:rsidRPr="0059185A">
              <w:rPr>
                <w:rFonts w:ascii="Times New Roman" w:hAnsi="Times New Roman" w:cs="Times New Roman"/>
                <w:sz w:val="16"/>
                <w:szCs w:val="16"/>
              </w:rPr>
              <w:t>Burger King may also think about integrating cutting-edge technology that can help to lower energy and resource consumption and save money over the long term, such as waste reduction systems and energy-efficient appliances. To make sure that all of its employees are dedicated to and aware of the firm's circular economy aims and can help lower operating expenses through higher productivity and decreased waste, the company may also need to engage in staff training programmes. Overall, Burger King can build a more resilient and successful business model that helps the environment and its bottom line by giving sustainability and circularity a higher priority in its cost structure.</w:t>
            </w:r>
          </w:p>
        </w:tc>
      </w:tr>
    </w:tbl>
    <w:p w14:paraId="06D1CCA8" w14:textId="3E243AAC" w:rsidR="003A2F4E" w:rsidRDefault="003A2F4E"/>
    <w:p w14:paraId="0EEBA2F7" w14:textId="00D7A657" w:rsidR="00494C3F" w:rsidRDefault="00494C3F"/>
    <w:p w14:paraId="6C150B74" w14:textId="7E6555A7" w:rsidR="00494C3F" w:rsidRDefault="00494C3F"/>
    <w:p w14:paraId="1093DE6F" w14:textId="13C8F80E" w:rsidR="00494C3F" w:rsidRDefault="00494C3F"/>
    <w:p w14:paraId="1FE0FF9D" w14:textId="15BAEB4D" w:rsidR="00494C3F" w:rsidRDefault="00494C3F"/>
    <w:p w14:paraId="3EE1A477" w14:textId="716F4B9C" w:rsidR="00494C3F" w:rsidRDefault="00494C3F"/>
    <w:p w14:paraId="55B48C77" w14:textId="0A7DA78C" w:rsidR="00494C3F" w:rsidRDefault="00494C3F"/>
    <w:p w14:paraId="11915212" w14:textId="0F063676" w:rsidR="00494C3F" w:rsidRDefault="00494C3F"/>
    <w:p w14:paraId="7C641000" w14:textId="25C6C69D" w:rsidR="00494C3F" w:rsidRDefault="00494C3F"/>
    <w:p w14:paraId="55BE3D31" w14:textId="7E3E5790" w:rsidR="00494C3F" w:rsidRDefault="00494C3F"/>
    <w:p w14:paraId="38B23C8E" w14:textId="28C9D633" w:rsidR="00494C3F" w:rsidRDefault="00494C3F"/>
    <w:p w14:paraId="622B285C" w14:textId="2CB8365A" w:rsidR="00494C3F" w:rsidRDefault="00494C3F"/>
    <w:p w14:paraId="3209E7DF" w14:textId="4111334C" w:rsidR="00494C3F" w:rsidRDefault="00494C3F"/>
    <w:p w14:paraId="4BE9C9EB" w14:textId="62F41802" w:rsidR="00494C3F" w:rsidRDefault="00494C3F"/>
    <w:p w14:paraId="4949E42F" w14:textId="32C3C8A6" w:rsidR="00494C3F" w:rsidRDefault="00494C3F"/>
    <w:p w14:paraId="1BF55F86" w14:textId="2F5E5BA4" w:rsidR="00494C3F" w:rsidRDefault="00494C3F"/>
    <w:p w14:paraId="51EE72C0" w14:textId="43B5173A" w:rsidR="00494C3F" w:rsidRDefault="00494C3F"/>
    <w:p w14:paraId="1548DFFE" w14:textId="27C5D789" w:rsidR="00494C3F" w:rsidRDefault="00494C3F"/>
    <w:p w14:paraId="6BEA6873" w14:textId="1AB60123" w:rsidR="00494C3F" w:rsidRDefault="00494C3F"/>
    <w:p w14:paraId="53564AD8" w14:textId="308223FA" w:rsidR="00494C3F" w:rsidRDefault="00494C3F"/>
    <w:p w14:paraId="0BAAE9B1" w14:textId="36D3E3CC" w:rsidR="00494C3F" w:rsidRDefault="00494C3F"/>
    <w:p w14:paraId="79D6E14C" w14:textId="438E18CB" w:rsidR="00494C3F" w:rsidRDefault="00494C3F"/>
    <w:p w14:paraId="3D5A0B13" w14:textId="42679DE3" w:rsidR="00494C3F" w:rsidRDefault="00494C3F"/>
    <w:p w14:paraId="1C20D9F8" w14:textId="3356C407" w:rsidR="00494C3F" w:rsidRDefault="00494C3F"/>
    <w:p w14:paraId="4D6C4477" w14:textId="4D8B6923" w:rsidR="00494C3F" w:rsidRDefault="00494C3F"/>
    <w:p w14:paraId="553418B2" w14:textId="77777777" w:rsidR="00494C3F" w:rsidRDefault="00494C3F" w:rsidP="00494C3F"/>
    <w:p w14:paraId="4A479B86" w14:textId="20E390BB" w:rsidR="00494C3F" w:rsidRPr="00494C3F" w:rsidRDefault="00494C3F" w:rsidP="00494C3F">
      <w:pPr>
        <w:rPr>
          <w:rFonts w:ascii="Times New Roman" w:hAnsi="Times New Roman" w:cs="Times New Roman"/>
          <w:b/>
          <w:bCs/>
          <w:sz w:val="20"/>
          <w:szCs w:val="20"/>
        </w:rPr>
      </w:pPr>
      <w:r w:rsidRPr="00494C3F">
        <w:rPr>
          <w:rFonts w:ascii="Times New Roman" w:hAnsi="Times New Roman" w:cs="Times New Roman"/>
          <w:b/>
          <w:bCs/>
          <w:sz w:val="20"/>
          <w:szCs w:val="20"/>
        </w:rPr>
        <w:lastRenderedPageBreak/>
        <w:t xml:space="preserve">References </w:t>
      </w:r>
    </w:p>
    <w:p w14:paraId="09E4AAAE"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C. K. Prahalad and Venkatram Ramaswamy (2002). “The Cocreation of Value”. Journal of Marketing.</w:t>
      </w:r>
    </w:p>
    <w:p w14:paraId="3BD9BF90"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Karen E. Watkins and Victoria J. Marsick (1992). “Towards a Theory of Informal and Incidental Learning in Organizations”. International Journal of Lifelong Education.</w:t>
      </w:r>
    </w:p>
    <w:p w14:paraId="435F43CC" w14:textId="5BA97605"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Mark C. Suchman (1995). “Managing Legitimacy: Strategic and Institutional Approaches”. Academy of Management Review.</w:t>
      </w:r>
    </w:p>
    <w:p w14:paraId="51387951" w14:textId="64D3EE60"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Brian C. Moyer, M. Bruce Johnson, Edward W. Davis (1996). “The Effects of Information and Communication Technologies on the Future of Supply Chain Management”. Harvard Business Review.</w:t>
      </w:r>
      <w:r w:rsidRPr="00494C3F">
        <w:rPr>
          <w:rFonts w:ascii="Times New Roman" w:hAnsi="Times New Roman" w:cs="Times New Roman"/>
          <w:sz w:val="20"/>
          <w:szCs w:val="20"/>
        </w:rPr>
        <w:t xml:space="preserve"> </w:t>
      </w:r>
      <w:r w:rsidRPr="00494C3F">
        <w:rPr>
          <w:rFonts w:ascii="Times New Roman" w:hAnsi="Times New Roman" w:cs="Times New Roman"/>
          <w:sz w:val="20"/>
          <w:szCs w:val="20"/>
        </w:rPr>
        <w:t>Kim B. Clark (1998). “Building a Strategic Enterprise Architecture Capability”. Harvard Business Review.</w:t>
      </w:r>
    </w:p>
    <w:p w14:paraId="31D066FC"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Kamalini Ramdas and Regina E. Herzlinger (2008). “Making Markets Work: A New Strategy for Health Care”. Harvard Business Review.</w:t>
      </w:r>
      <w:r w:rsidRPr="00494C3F">
        <w:rPr>
          <w:rFonts w:ascii="Times New Roman" w:hAnsi="Times New Roman" w:cs="Times New Roman"/>
          <w:sz w:val="20"/>
          <w:szCs w:val="20"/>
        </w:rPr>
        <w:t xml:space="preserve"> </w:t>
      </w:r>
    </w:p>
    <w:p w14:paraId="57F88389"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Thales S. Teixeira and Greg Piechota (2019). “The Future of Retail Is Stores that Aren’t Stores”. Harvard Business Review.</w:t>
      </w:r>
      <w:r w:rsidRPr="00494C3F">
        <w:rPr>
          <w:rFonts w:ascii="Times New Roman" w:hAnsi="Times New Roman" w:cs="Times New Roman"/>
          <w:sz w:val="20"/>
          <w:szCs w:val="20"/>
        </w:rPr>
        <w:t xml:space="preserve"> </w:t>
      </w:r>
    </w:p>
    <w:p w14:paraId="12D74A6C"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Kristin Moyer, Simon Mingay, Ted Schadler (2019). “The Customer Relationship Imperative for Marketing in the Digital Age”. Harvard Business Review.</w:t>
      </w:r>
      <w:r w:rsidRPr="00494C3F">
        <w:rPr>
          <w:rFonts w:ascii="Times New Roman" w:hAnsi="Times New Roman" w:cs="Times New Roman"/>
          <w:sz w:val="20"/>
          <w:szCs w:val="20"/>
        </w:rPr>
        <w:t xml:space="preserve"> </w:t>
      </w:r>
    </w:p>
    <w:p w14:paraId="2BFFDB74" w14:textId="058D2529"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Jacob Suher and Guillaume Brochard (2019). “The State of Social Media in 2019: A Mid-Year Update.” Harvard Business Review.</w:t>
      </w:r>
    </w:p>
    <w:p w14:paraId="1192B15B"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Kristin Broughton (2020). “The Art of Email Marketing”. Harvard Business Review.</w:t>
      </w:r>
    </w:p>
    <w:p w14:paraId="34F071ED" w14:textId="77777777"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Thomas J. DeLong, Vineeta Vijayaraghavan (2020). “What's the Value of In-Store Promotions?” Harvard Business Review.</w:t>
      </w:r>
    </w:p>
    <w:p w14:paraId="34AE28E5" w14:textId="2D6B2423"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David Young, Mark T. Ritson (2020). “How Millennials are Changing the Face of Marketing Forever”. Harvard Business Review.</w:t>
      </w:r>
    </w:p>
    <w:p w14:paraId="06CA9EA8" w14:textId="37CB710E"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John Elkington (2018). “21st Century Profit and Loss”. Harvard Business Review.</w:t>
      </w:r>
    </w:p>
    <w:p w14:paraId="4546F011" w14:textId="2635454F" w:rsidR="00494C3F" w:rsidRPr="00494C3F" w:rsidRDefault="00494C3F" w:rsidP="00494C3F">
      <w:pPr>
        <w:pStyle w:val="ListParagraph"/>
        <w:numPr>
          <w:ilvl w:val="0"/>
          <w:numId w:val="1"/>
        </w:numPr>
        <w:rPr>
          <w:rFonts w:ascii="Times New Roman" w:hAnsi="Times New Roman" w:cs="Times New Roman"/>
          <w:sz w:val="20"/>
          <w:szCs w:val="20"/>
        </w:rPr>
      </w:pPr>
      <w:r w:rsidRPr="00494C3F">
        <w:rPr>
          <w:rFonts w:ascii="Times New Roman" w:hAnsi="Times New Roman" w:cs="Times New Roman"/>
          <w:sz w:val="20"/>
          <w:szCs w:val="20"/>
        </w:rPr>
        <w:t>Michael E. Porter and Mark R. Kramer (2019). “Creating Shared Value: A Fundamental Shift for Business.” Harvard Business Review.</w:t>
      </w:r>
    </w:p>
    <w:sectPr w:rsidR="00494C3F" w:rsidRPr="00494C3F" w:rsidSect="00494C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F5009"/>
    <w:multiLevelType w:val="hybridMultilevel"/>
    <w:tmpl w:val="70F0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425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2EB"/>
    <w:rsid w:val="002C638D"/>
    <w:rsid w:val="003A2F4E"/>
    <w:rsid w:val="00494C3F"/>
    <w:rsid w:val="0059185A"/>
    <w:rsid w:val="005D3262"/>
    <w:rsid w:val="008142EB"/>
    <w:rsid w:val="00C53DF7"/>
    <w:rsid w:val="00C54C26"/>
    <w:rsid w:val="00C77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66E2B"/>
  <w15:chartTrackingRefBased/>
  <w15:docId w15:val="{CA4BF18B-7223-4BDC-A29E-D5A8E4E53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4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4C3F"/>
    <w:pPr>
      <w:ind w:left="720"/>
      <w:contextualSpacing/>
    </w:pPr>
  </w:style>
  <w:style w:type="paragraph" w:styleId="NoSpacing">
    <w:name w:val="No Spacing"/>
    <w:link w:val="NoSpacingChar"/>
    <w:uiPriority w:val="1"/>
    <w:qFormat/>
    <w:rsid w:val="00494C3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94C3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ustomXml" Target="ink/ink2.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customXml" Target="ink/ink4.xml"/><Relationship Id="rId5" Type="http://schemas.openxmlformats.org/officeDocument/2006/relationships/customXml" Target="ink/ink1.xml"/><Relationship Id="rId15" Type="http://schemas.openxmlformats.org/officeDocument/2006/relationships/customXml" Target="ink/ink6.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5-07T20:58:58.534"/>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5-07T20:58:55.05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0,'0'0</inkml:trace>
  <inkml:trace contextRef="#ctx0" brushRef="#br0" timeOffset="172.83">1 0,'0'0</inkml:trace>
  <inkml:trace contextRef="#ctx0" brushRef="#br0" timeOffset="706.43">1 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5-07T20:58:52.915"/>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5-07T20:58:49.36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5-07T20:58:44.467"/>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1,'0'0</inkml:trace>
  <inkml:trace contextRef="#ctx0" brushRef="#br0" timeOffset="897.9">1 1,'0'0</inkml:trace>
  <inkml:trace contextRef="#ctx0" brushRef="#br0" timeOffset="1076.76">1 1,'0'0</inkml:trace>
  <inkml:trace contextRef="#ctx0" brushRef="#br0" timeOffset="1277.33">1 1,'0'0</inkml:trace>
  <inkml:trace contextRef="#ctx0" brushRef="#br0" timeOffset="1494.86">1 1,'0'0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5-07T20:58:31.200"/>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322 111,'0'0</inkml:trace>
  <inkml:trace contextRef="#ctx0" brushRef="#br0" timeOffset="2182.17">202 235,'0'0</inkml:trace>
  <inkml:trace contextRef="#ctx0" brushRef="#br0" timeOffset="7466.2">0 0,'0'0</inkml:trace>
  <inkml:trace contextRef="#ctx0" brushRef="#br0" timeOffset="8267.31">0 0,'0'0</inkml:trace>
  <inkml:trace contextRef="#ctx0" brushRef="#br0" timeOffset="9731.06">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1978</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model canvas</dc:title>
  <dc:subject/>
  <dc:creator>Catalina Sandu</dc:creator>
  <cp:keywords/>
  <dc:description/>
  <cp:lastModifiedBy>Mirabela Voican (1907947)</cp:lastModifiedBy>
  <cp:revision>1</cp:revision>
  <dcterms:created xsi:type="dcterms:W3CDTF">2023-05-07T20:35:00Z</dcterms:created>
  <dcterms:modified xsi:type="dcterms:W3CDTF">2023-05-07T22:09:00Z</dcterms:modified>
</cp:coreProperties>
</file>