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A84247" w14:textId="77777777" w:rsidR="00A45DD0" w:rsidRPr="00A45DD0" w:rsidRDefault="00A45DD0" w:rsidP="00A45DD0">
      <w:pPr>
        <w:spacing w:line="360" w:lineRule="auto"/>
        <w:rPr>
          <w:rFonts w:ascii="Amasis MT Pro" w:hAnsi="Amasis MT Pro"/>
          <w:b/>
          <w:bCs/>
          <w:sz w:val="36"/>
          <w:szCs w:val="36"/>
        </w:rPr>
      </w:pPr>
    </w:p>
    <w:p w14:paraId="3BF94F93" w14:textId="77777777" w:rsidR="00A45DD0" w:rsidRPr="00A45DD0" w:rsidRDefault="00A45DD0" w:rsidP="00040A86">
      <w:pPr>
        <w:spacing w:line="480" w:lineRule="auto"/>
        <w:jc w:val="center"/>
        <w:rPr>
          <w:rFonts w:ascii="Amasis MT Pro" w:hAnsi="Amasis MT Pro"/>
          <w:b/>
          <w:bCs/>
          <w:sz w:val="36"/>
          <w:szCs w:val="36"/>
        </w:rPr>
      </w:pPr>
    </w:p>
    <w:p w14:paraId="1D46FE24" w14:textId="0665DAE2" w:rsidR="00A45DD0" w:rsidRPr="00A45DD0" w:rsidRDefault="00A45DD0" w:rsidP="00040A86">
      <w:pPr>
        <w:spacing w:line="480" w:lineRule="auto"/>
        <w:jc w:val="center"/>
        <w:rPr>
          <w:rFonts w:ascii="Amasis MT Pro" w:hAnsi="Amasis MT Pro"/>
          <w:b/>
          <w:bCs/>
          <w:sz w:val="36"/>
          <w:szCs w:val="36"/>
        </w:rPr>
      </w:pPr>
      <w:r w:rsidRPr="00A45DD0">
        <w:rPr>
          <w:rFonts w:ascii="Amasis MT Pro" w:hAnsi="Amasis MT Pro"/>
          <w:b/>
          <w:bCs/>
          <w:sz w:val="36"/>
          <w:szCs w:val="36"/>
        </w:rPr>
        <w:t>Student Name: Mayuri Prajapati</w:t>
      </w:r>
    </w:p>
    <w:p w14:paraId="394E5650" w14:textId="0A0CA38D" w:rsidR="00A45DD0" w:rsidRPr="00A45DD0" w:rsidRDefault="00A45DD0" w:rsidP="00040A86">
      <w:pPr>
        <w:spacing w:line="480" w:lineRule="auto"/>
        <w:jc w:val="center"/>
        <w:rPr>
          <w:rFonts w:ascii="Amasis MT Pro" w:hAnsi="Amasis MT Pro"/>
          <w:b/>
          <w:bCs/>
          <w:sz w:val="36"/>
          <w:szCs w:val="36"/>
        </w:rPr>
      </w:pPr>
      <w:r w:rsidRPr="00A45DD0">
        <w:rPr>
          <w:rFonts w:ascii="Amasis MT Pro" w:hAnsi="Amasis MT Pro"/>
          <w:b/>
          <w:bCs/>
          <w:sz w:val="36"/>
          <w:szCs w:val="36"/>
        </w:rPr>
        <w:t>Student ID: 2542276</w:t>
      </w:r>
    </w:p>
    <w:p w14:paraId="4401485E" w14:textId="666E876D" w:rsidR="00502AB6" w:rsidRPr="00A45DD0" w:rsidRDefault="00502AB6" w:rsidP="00040A86">
      <w:pPr>
        <w:spacing w:line="480" w:lineRule="auto"/>
        <w:jc w:val="center"/>
        <w:rPr>
          <w:rFonts w:ascii="Amasis MT Pro" w:hAnsi="Amasis MT Pro"/>
          <w:b/>
          <w:bCs/>
          <w:sz w:val="36"/>
          <w:szCs w:val="36"/>
        </w:rPr>
      </w:pPr>
      <w:r w:rsidRPr="00A45DD0">
        <w:rPr>
          <w:rFonts w:ascii="Amasis MT Pro" w:hAnsi="Amasis MT Pro"/>
          <w:b/>
          <w:bCs/>
          <w:sz w:val="36"/>
          <w:szCs w:val="36"/>
        </w:rPr>
        <w:t>Programme: Master of Business Administration</w:t>
      </w:r>
    </w:p>
    <w:p w14:paraId="199BC06A" w14:textId="77777777" w:rsidR="00502AB6" w:rsidRPr="00A45DD0" w:rsidRDefault="00502AB6" w:rsidP="00040A86">
      <w:pPr>
        <w:spacing w:line="480" w:lineRule="auto"/>
        <w:jc w:val="center"/>
        <w:rPr>
          <w:rFonts w:ascii="Amasis MT Pro" w:hAnsi="Amasis MT Pro"/>
          <w:b/>
          <w:bCs/>
          <w:sz w:val="36"/>
          <w:szCs w:val="36"/>
        </w:rPr>
      </w:pPr>
      <w:r w:rsidRPr="00A45DD0">
        <w:rPr>
          <w:rFonts w:ascii="Amasis MT Pro" w:hAnsi="Amasis MT Pro"/>
          <w:b/>
          <w:bCs/>
          <w:sz w:val="36"/>
          <w:szCs w:val="36"/>
        </w:rPr>
        <w:t>Module: Marketing Management</w:t>
      </w:r>
    </w:p>
    <w:p w14:paraId="396732FF" w14:textId="77777777" w:rsidR="00502AB6" w:rsidRPr="00A45DD0" w:rsidRDefault="00502AB6" w:rsidP="00040A86">
      <w:pPr>
        <w:spacing w:line="480" w:lineRule="auto"/>
        <w:jc w:val="center"/>
        <w:rPr>
          <w:rFonts w:ascii="Amasis MT Pro" w:hAnsi="Amasis MT Pro"/>
          <w:b/>
          <w:bCs/>
          <w:sz w:val="36"/>
          <w:szCs w:val="36"/>
        </w:rPr>
      </w:pPr>
      <w:r w:rsidRPr="00A45DD0">
        <w:rPr>
          <w:rFonts w:ascii="Amasis MT Pro" w:hAnsi="Amasis MT Pro"/>
          <w:b/>
          <w:bCs/>
          <w:sz w:val="36"/>
          <w:szCs w:val="36"/>
        </w:rPr>
        <w:t>Module code: LCMB7024</w:t>
      </w:r>
    </w:p>
    <w:p w14:paraId="552F3C61" w14:textId="6B9F3F4E" w:rsidR="00502AB6" w:rsidRDefault="00502AB6" w:rsidP="00040A86">
      <w:pPr>
        <w:spacing w:line="480" w:lineRule="auto"/>
        <w:jc w:val="center"/>
        <w:rPr>
          <w:rFonts w:ascii="Amasis MT Pro" w:hAnsi="Amasis MT Pro"/>
          <w:b/>
          <w:bCs/>
          <w:sz w:val="36"/>
          <w:szCs w:val="36"/>
        </w:rPr>
      </w:pPr>
      <w:r w:rsidRPr="00A45DD0">
        <w:rPr>
          <w:rFonts w:ascii="Amasis MT Pro" w:hAnsi="Amasis MT Pro"/>
          <w:b/>
          <w:bCs/>
          <w:sz w:val="36"/>
          <w:szCs w:val="36"/>
        </w:rPr>
        <w:t xml:space="preserve">Lecturer: </w:t>
      </w:r>
      <w:r w:rsidR="001069CE" w:rsidRPr="00A45DD0">
        <w:rPr>
          <w:rFonts w:ascii="Amasis MT Pro" w:hAnsi="Amasis MT Pro"/>
          <w:b/>
          <w:bCs/>
          <w:sz w:val="36"/>
          <w:szCs w:val="36"/>
        </w:rPr>
        <w:t>Ha</w:t>
      </w:r>
      <w:r w:rsidR="00907AC9" w:rsidRPr="00A45DD0">
        <w:rPr>
          <w:rFonts w:ascii="Amasis MT Pro" w:hAnsi="Amasis MT Pro"/>
          <w:b/>
          <w:bCs/>
          <w:sz w:val="36"/>
          <w:szCs w:val="36"/>
        </w:rPr>
        <w:t>o</w:t>
      </w:r>
      <w:r w:rsidR="008D0E8A" w:rsidRPr="00A45DD0">
        <w:rPr>
          <w:rFonts w:ascii="Amasis MT Pro" w:hAnsi="Amasis MT Pro"/>
          <w:b/>
          <w:bCs/>
          <w:sz w:val="36"/>
          <w:szCs w:val="36"/>
        </w:rPr>
        <w:t>ran</w:t>
      </w:r>
      <w:r w:rsidR="00C0277E" w:rsidRPr="00A45DD0">
        <w:rPr>
          <w:rFonts w:ascii="Amasis MT Pro" w:hAnsi="Amasis MT Pro"/>
          <w:b/>
          <w:bCs/>
          <w:sz w:val="36"/>
          <w:szCs w:val="36"/>
        </w:rPr>
        <w:t xml:space="preserve"> L</w:t>
      </w:r>
      <w:r w:rsidR="00A83A07" w:rsidRPr="00A45DD0">
        <w:rPr>
          <w:rFonts w:ascii="Amasis MT Pro" w:hAnsi="Amasis MT Pro"/>
          <w:b/>
          <w:bCs/>
          <w:sz w:val="36"/>
          <w:szCs w:val="36"/>
        </w:rPr>
        <w:t>i</w:t>
      </w:r>
      <w:r w:rsidR="008438F6" w:rsidRPr="00A45DD0">
        <w:rPr>
          <w:rFonts w:ascii="Amasis MT Pro" w:hAnsi="Amasis MT Pro"/>
          <w:b/>
          <w:bCs/>
          <w:sz w:val="36"/>
          <w:szCs w:val="36"/>
        </w:rPr>
        <w:t>u</w:t>
      </w:r>
    </w:p>
    <w:p w14:paraId="436C7688" w14:textId="25F3382D" w:rsidR="00A45DD0" w:rsidRDefault="00892DE1" w:rsidP="00040A86">
      <w:pPr>
        <w:spacing w:line="480" w:lineRule="auto"/>
        <w:jc w:val="center"/>
        <w:rPr>
          <w:rFonts w:ascii="Amasis MT Pro" w:hAnsi="Amasis MT Pro"/>
          <w:b/>
          <w:bCs/>
          <w:sz w:val="36"/>
          <w:szCs w:val="36"/>
        </w:rPr>
      </w:pPr>
      <w:r>
        <w:rPr>
          <w:rFonts w:ascii="Amasis MT Pro" w:hAnsi="Amasis MT Pro"/>
          <w:b/>
          <w:bCs/>
          <w:sz w:val="36"/>
          <w:szCs w:val="36"/>
        </w:rPr>
        <w:t xml:space="preserve">Word count </w:t>
      </w:r>
      <w:r w:rsidR="00322695">
        <w:rPr>
          <w:rFonts w:ascii="Amasis MT Pro" w:hAnsi="Amasis MT Pro"/>
          <w:b/>
          <w:bCs/>
          <w:sz w:val="36"/>
          <w:szCs w:val="36"/>
        </w:rPr>
        <w:t xml:space="preserve">– </w:t>
      </w:r>
      <w:r w:rsidR="00185ECC">
        <w:rPr>
          <w:rFonts w:ascii="Amasis MT Pro" w:hAnsi="Amasis MT Pro"/>
          <w:b/>
          <w:bCs/>
          <w:sz w:val="36"/>
          <w:szCs w:val="36"/>
        </w:rPr>
        <w:t>2550</w:t>
      </w:r>
      <w:r w:rsidR="000802C0">
        <w:rPr>
          <w:rFonts w:ascii="Amasis MT Pro" w:hAnsi="Amasis MT Pro"/>
          <w:b/>
          <w:bCs/>
          <w:sz w:val="36"/>
          <w:szCs w:val="36"/>
        </w:rPr>
        <w:t xml:space="preserve"> words</w:t>
      </w:r>
    </w:p>
    <w:p w14:paraId="72E0AFAB" w14:textId="77777777" w:rsidR="00A45DD0" w:rsidRDefault="00A45DD0" w:rsidP="00502AB6">
      <w:pPr>
        <w:spacing w:line="360" w:lineRule="auto"/>
        <w:jc w:val="center"/>
        <w:rPr>
          <w:rFonts w:ascii="Amasis MT Pro" w:hAnsi="Amasis MT Pro"/>
          <w:b/>
          <w:bCs/>
          <w:sz w:val="36"/>
          <w:szCs w:val="36"/>
        </w:rPr>
      </w:pPr>
    </w:p>
    <w:p w14:paraId="46D65D67" w14:textId="77777777" w:rsidR="00A45DD0" w:rsidRDefault="00A45DD0" w:rsidP="00040A86">
      <w:pPr>
        <w:spacing w:line="360" w:lineRule="auto"/>
        <w:rPr>
          <w:rFonts w:ascii="Amasis MT Pro" w:hAnsi="Amasis MT Pro"/>
          <w:b/>
          <w:bCs/>
          <w:sz w:val="36"/>
          <w:szCs w:val="36"/>
        </w:rPr>
      </w:pPr>
    </w:p>
    <w:p w14:paraId="307EEDBF" w14:textId="77777777" w:rsidR="00040A86" w:rsidRDefault="00040A86" w:rsidP="00040A86">
      <w:pPr>
        <w:spacing w:line="360" w:lineRule="auto"/>
        <w:rPr>
          <w:rFonts w:ascii="Amasis MT Pro" w:hAnsi="Amasis MT Pro"/>
          <w:b/>
          <w:bCs/>
          <w:sz w:val="36"/>
          <w:szCs w:val="36"/>
        </w:rPr>
      </w:pPr>
    </w:p>
    <w:p w14:paraId="1A046D39" w14:textId="77777777" w:rsidR="00040A86" w:rsidRPr="00A45DD0" w:rsidRDefault="00040A86" w:rsidP="00040A86">
      <w:pPr>
        <w:spacing w:line="360" w:lineRule="auto"/>
        <w:rPr>
          <w:rFonts w:ascii="Amasis MT Pro" w:hAnsi="Amasis MT Pro"/>
          <w:b/>
          <w:bCs/>
          <w:sz w:val="36"/>
          <w:szCs w:val="36"/>
        </w:rPr>
      </w:pPr>
    </w:p>
    <w:p w14:paraId="09592C7A" w14:textId="77777777" w:rsidR="00502AB6" w:rsidRDefault="00502AB6" w:rsidP="00502AB6">
      <w:pPr>
        <w:spacing w:line="360" w:lineRule="auto"/>
        <w:jc w:val="center"/>
        <w:rPr>
          <w:b/>
          <w:bCs/>
        </w:rPr>
      </w:pPr>
    </w:p>
    <w:p w14:paraId="0FA1199D" w14:textId="77777777" w:rsidR="00502AB6" w:rsidRDefault="00502AB6" w:rsidP="00502AB6">
      <w:pPr>
        <w:spacing w:line="360" w:lineRule="auto"/>
        <w:jc w:val="center"/>
        <w:rPr>
          <w:b/>
          <w:bCs/>
        </w:rPr>
      </w:pPr>
    </w:p>
    <w:p w14:paraId="59D67A10" w14:textId="77777777" w:rsidR="00502AB6" w:rsidRDefault="00502AB6" w:rsidP="00040A86">
      <w:pPr>
        <w:spacing w:line="360" w:lineRule="auto"/>
        <w:rPr>
          <w:b/>
          <w:bCs/>
        </w:rPr>
      </w:pPr>
    </w:p>
    <w:p w14:paraId="1D33664E" w14:textId="77777777" w:rsidR="00502AB6" w:rsidRDefault="00502AB6" w:rsidP="00502AB6">
      <w:pPr>
        <w:spacing w:line="360" w:lineRule="auto"/>
        <w:jc w:val="center"/>
        <w:rPr>
          <w:b/>
          <w:bCs/>
        </w:rPr>
      </w:pPr>
    </w:p>
    <w:sdt>
      <w:sdtPr>
        <w:rPr>
          <w:rFonts w:ascii="Arial" w:eastAsiaTheme="minorHAnsi" w:hAnsi="Arial" w:cs="Arial"/>
          <w:color w:val="000000" w:themeColor="text1"/>
          <w:sz w:val="24"/>
          <w:szCs w:val="24"/>
          <w:lang w:val="en-IN"/>
        </w:rPr>
        <w:id w:val="1364560282"/>
        <w:docPartObj>
          <w:docPartGallery w:val="Table of Contents"/>
          <w:docPartUnique/>
        </w:docPartObj>
      </w:sdtPr>
      <w:sdtEndPr>
        <w:rPr>
          <w:b/>
          <w:bCs/>
          <w:noProof/>
        </w:rPr>
      </w:sdtEndPr>
      <w:sdtContent>
        <w:p w14:paraId="221157C4" w14:textId="43C2F12C" w:rsidR="009F5C8C" w:rsidRPr="009F5C8C" w:rsidRDefault="009F5C8C" w:rsidP="00E0651E">
          <w:pPr>
            <w:pStyle w:val="TOCHeading"/>
            <w:spacing w:line="480" w:lineRule="auto"/>
            <w:jc w:val="center"/>
            <w:rPr>
              <w:rFonts w:ascii="Arial" w:hAnsi="Arial" w:cs="Arial"/>
              <w:b/>
              <w:bCs/>
              <w:color w:val="000000" w:themeColor="text1"/>
              <w:sz w:val="24"/>
              <w:szCs w:val="24"/>
            </w:rPr>
          </w:pPr>
          <w:r w:rsidRPr="009F5C8C">
            <w:rPr>
              <w:rFonts w:ascii="Arial" w:hAnsi="Arial" w:cs="Arial"/>
              <w:b/>
              <w:bCs/>
              <w:color w:val="000000" w:themeColor="text1"/>
              <w:sz w:val="24"/>
              <w:szCs w:val="24"/>
            </w:rPr>
            <w:t>Table of Contents</w:t>
          </w:r>
        </w:p>
        <w:p w14:paraId="669DF2E8" w14:textId="311595C2" w:rsidR="000029C5" w:rsidRDefault="009F5C8C" w:rsidP="00E0651E">
          <w:pPr>
            <w:pStyle w:val="TOC1"/>
            <w:tabs>
              <w:tab w:val="right" w:leader="dot" w:pos="9016"/>
            </w:tabs>
            <w:spacing w:line="480" w:lineRule="auto"/>
            <w:rPr>
              <w:rFonts w:asciiTheme="minorHAnsi" w:eastAsiaTheme="minorEastAsia" w:hAnsiTheme="minorHAnsi"/>
              <w:noProof/>
              <w:color w:val="auto"/>
              <w:kern w:val="2"/>
              <w:szCs w:val="24"/>
              <w:lang w:eastAsia="en-IN" w:bidi="gu-IN"/>
              <w14:ligatures w14:val="standardContextual"/>
            </w:rPr>
          </w:pPr>
          <w:r w:rsidRPr="009F5C8C">
            <w:rPr>
              <w:rFonts w:cs="Arial"/>
              <w:szCs w:val="24"/>
            </w:rPr>
            <w:fldChar w:fldCharType="begin"/>
          </w:r>
          <w:r w:rsidRPr="009F5C8C">
            <w:rPr>
              <w:rFonts w:cs="Arial"/>
              <w:szCs w:val="24"/>
            </w:rPr>
            <w:instrText xml:space="preserve"> TOC \o "1-3" \h \z \u </w:instrText>
          </w:r>
          <w:r w:rsidRPr="009F5C8C">
            <w:rPr>
              <w:rFonts w:cs="Arial"/>
              <w:szCs w:val="24"/>
            </w:rPr>
            <w:fldChar w:fldCharType="separate"/>
          </w:r>
          <w:hyperlink w:anchor="_Toc237180687" w:history="1">
            <w:r w:rsidR="000029C5" w:rsidRPr="00146A84">
              <w:rPr>
                <w:rStyle w:val="Hyperlink"/>
                <w:noProof/>
              </w:rPr>
              <w:t>1.0 Element 1: Sustainable Brand Extension Poster Presentation</w:t>
            </w:r>
            <w:r w:rsidR="000029C5">
              <w:rPr>
                <w:noProof/>
                <w:webHidden/>
              </w:rPr>
              <w:tab/>
            </w:r>
            <w:r w:rsidR="000029C5">
              <w:rPr>
                <w:noProof/>
                <w:webHidden/>
              </w:rPr>
              <w:fldChar w:fldCharType="begin"/>
            </w:r>
            <w:r w:rsidR="000029C5">
              <w:rPr>
                <w:noProof/>
                <w:webHidden/>
              </w:rPr>
              <w:instrText xml:space="preserve"> PAGEREF _Toc237180687 \h </w:instrText>
            </w:r>
            <w:r w:rsidR="000029C5">
              <w:rPr>
                <w:noProof/>
                <w:webHidden/>
              </w:rPr>
            </w:r>
            <w:r w:rsidR="000029C5">
              <w:rPr>
                <w:noProof/>
                <w:webHidden/>
              </w:rPr>
              <w:fldChar w:fldCharType="separate"/>
            </w:r>
            <w:r w:rsidR="003F549A">
              <w:rPr>
                <w:noProof/>
                <w:webHidden/>
              </w:rPr>
              <w:t>3</w:t>
            </w:r>
            <w:r w:rsidR="000029C5">
              <w:rPr>
                <w:noProof/>
                <w:webHidden/>
              </w:rPr>
              <w:fldChar w:fldCharType="end"/>
            </w:r>
          </w:hyperlink>
        </w:p>
        <w:p w14:paraId="547C9BC0" w14:textId="533B1188" w:rsidR="000029C5" w:rsidRDefault="000029C5" w:rsidP="00E0651E">
          <w:pPr>
            <w:pStyle w:val="TOC1"/>
            <w:tabs>
              <w:tab w:val="right" w:leader="dot" w:pos="9016"/>
            </w:tabs>
            <w:spacing w:line="480" w:lineRule="auto"/>
            <w:rPr>
              <w:rFonts w:asciiTheme="minorHAnsi" w:eastAsiaTheme="minorEastAsia" w:hAnsiTheme="minorHAnsi"/>
              <w:noProof/>
              <w:color w:val="auto"/>
              <w:kern w:val="2"/>
              <w:szCs w:val="24"/>
              <w:lang w:eastAsia="en-IN" w:bidi="gu-IN"/>
              <w14:ligatures w14:val="standardContextual"/>
            </w:rPr>
          </w:pPr>
          <w:hyperlink w:anchor="_Toc237180688" w:history="1">
            <w:r w:rsidRPr="00146A84">
              <w:rPr>
                <w:rStyle w:val="Hyperlink"/>
                <w:noProof/>
              </w:rPr>
              <w:t>2.0 Element 2: Segmentation, Targeting, Differentiation and Positioning (STDP) Analysis</w:t>
            </w:r>
            <w:r>
              <w:rPr>
                <w:noProof/>
                <w:webHidden/>
              </w:rPr>
              <w:tab/>
            </w:r>
            <w:r>
              <w:rPr>
                <w:noProof/>
                <w:webHidden/>
              </w:rPr>
              <w:fldChar w:fldCharType="begin"/>
            </w:r>
            <w:r>
              <w:rPr>
                <w:noProof/>
                <w:webHidden/>
              </w:rPr>
              <w:instrText xml:space="preserve"> PAGEREF _Toc237180688 \h </w:instrText>
            </w:r>
            <w:r>
              <w:rPr>
                <w:noProof/>
                <w:webHidden/>
              </w:rPr>
            </w:r>
            <w:r>
              <w:rPr>
                <w:noProof/>
                <w:webHidden/>
              </w:rPr>
              <w:fldChar w:fldCharType="separate"/>
            </w:r>
            <w:r w:rsidR="003F549A">
              <w:rPr>
                <w:noProof/>
                <w:webHidden/>
              </w:rPr>
              <w:t>1</w:t>
            </w:r>
            <w:r>
              <w:rPr>
                <w:noProof/>
                <w:webHidden/>
              </w:rPr>
              <w:fldChar w:fldCharType="end"/>
            </w:r>
          </w:hyperlink>
        </w:p>
        <w:p w14:paraId="4B6FFD0D" w14:textId="0B44EEA1" w:rsidR="000029C5" w:rsidRDefault="000029C5" w:rsidP="00E0651E">
          <w:pPr>
            <w:pStyle w:val="TOC2"/>
            <w:tabs>
              <w:tab w:val="right" w:leader="dot" w:pos="9016"/>
            </w:tabs>
            <w:spacing w:line="480" w:lineRule="auto"/>
            <w:rPr>
              <w:rFonts w:asciiTheme="minorHAnsi" w:eastAsiaTheme="minorEastAsia" w:hAnsiTheme="minorHAnsi"/>
              <w:noProof/>
              <w:color w:val="auto"/>
              <w:kern w:val="2"/>
              <w:szCs w:val="24"/>
              <w:lang w:eastAsia="en-IN" w:bidi="gu-IN"/>
              <w14:ligatures w14:val="standardContextual"/>
            </w:rPr>
          </w:pPr>
          <w:hyperlink w:anchor="_Toc237180689" w:history="1">
            <w:r w:rsidRPr="00146A84">
              <w:rPr>
                <w:rStyle w:val="Hyperlink"/>
                <w:noProof/>
                <w:lang w:val="en-US"/>
              </w:rPr>
              <w:t>2.1 Introduction to STDP</w:t>
            </w:r>
            <w:r>
              <w:rPr>
                <w:noProof/>
                <w:webHidden/>
              </w:rPr>
              <w:tab/>
            </w:r>
            <w:r>
              <w:rPr>
                <w:noProof/>
                <w:webHidden/>
              </w:rPr>
              <w:fldChar w:fldCharType="begin"/>
            </w:r>
            <w:r>
              <w:rPr>
                <w:noProof/>
                <w:webHidden/>
              </w:rPr>
              <w:instrText xml:space="preserve"> PAGEREF _Toc237180689 \h </w:instrText>
            </w:r>
            <w:r>
              <w:rPr>
                <w:noProof/>
                <w:webHidden/>
              </w:rPr>
            </w:r>
            <w:r>
              <w:rPr>
                <w:noProof/>
                <w:webHidden/>
              </w:rPr>
              <w:fldChar w:fldCharType="separate"/>
            </w:r>
            <w:r w:rsidR="003F549A">
              <w:rPr>
                <w:noProof/>
                <w:webHidden/>
              </w:rPr>
              <w:t>1</w:t>
            </w:r>
            <w:r>
              <w:rPr>
                <w:noProof/>
                <w:webHidden/>
              </w:rPr>
              <w:fldChar w:fldCharType="end"/>
            </w:r>
          </w:hyperlink>
        </w:p>
        <w:p w14:paraId="224BAF92" w14:textId="3C7D28A1" w:rsidR="000029C5" w:rsidRDefault="000029C5" w:rsidP="00E0651E">
          <w:pPr>
            <w:pStyle w:val="TOC2"/>
            <w:tabs>
              <w:tab w:val="right" w:leader="dot" w:pos="9016"/>
            </w:tabs>
            <w:spacing w:line="480" w:lineRule="auto"/>
            <w:rPr>
              <w:rFonts w:asciiTheme="minorHAnsi" w:eastAsiaTheme="minorEastAsia" w:hAnsiTheme="minorHAnsi"/>
              <w:noProof/>
              <w:color w:val="auto"/>
              <w:kern w:val="2"/>
              <w:szCs w:val="24"/>
              <w:lang w:eastAsia="en-IN" w:bidi="gu-IN"/>
              <w14:ligatures w14:val="standardContextual"/>
            </w:rPr>
          </w:pPr>
          <w:hyperlink w:anchor="_Toc237180690" w:history="1">
            <w:r w:rsidRPr="00146A84">
              <w:rPr>
                <w:rStyle w:val="Hyperlink"/>
                <w:noProof/>
                <w:lang w:val="en-US"/>
              </w:rPr>
              <w:t>2.2 Market Segmentation</w:t>
            </w:r>
            <w:r>
              <w:rPr>
                <w:noProof/>
                <w:webHidden/>
              </w:rPr>
              <w:tab/>
            </w:r>
            <w:r>
              <w:rPr>
                <w:noProof/>
                <w:webHidden/>
              </w:rPr>
              <w:fldChar w:fldCharType="begin"/>
            </w:r>
            <w:r>
              <w:rPr>
                <w:noProof/>
                <w:webHidden/>
              </w:rPr>
              <w:instrText xml:space="preserve"> PAGEREF _Toc237180690 \h </w:instrText>
            </w:r>
            <w:r>
              <w:rPr>
                <w:noProof/>
                <w:webHidden/>
              </w:rPr>
            </w:r>
            <w:r>
              <w:rPr>
                <w:noProof/>
                <w:webHidden/>
              </w:rPr>
              <w:fldChar w:fldCharType="separate"/>
            </w:r>
            <w:r w:rsidR="003F549A">
              <w:rPr>
                <w:noProof/>
                <w:webHidden/>
              </w:rPr>
              <w:t>1</w:t>
            </w:r>
            <w:r>
              <w:rPr>
                <w:noProof/>
                <w:webHidden/>
              </w:rPr>
              <w:fldChar w:fldCharType="end"/>
            </w:r>
          </w:hyperlink>
        </w:p>
        <w:p w14:paraId="4C9B3154" w14:textId="30512F1F" w:rsidR="000029C5" w:rsidRDefault="000029C5" w:rsidP="00E0651E">
          <w:pPr>
            <w:pStyle w:val="TOC2"/>
            <w:tabs>
              <w:tab w:val="right" w:leader="dot" w:pos="9016"/>
            </w:tabs>
            <w:spacing w:line="480" w:lineRule="auto"/>
            <w:rPr>
              <w:rFonts w:asciiTheme="minorHAnsi" w:eastAsiaTheme="minorEastAsia" w:hAnsiTheme="minorHAnsi"/>
              <w:noProof/>
              <w:color w:val="auto"/>
              <w:kern w:val="2"/>
              <w:szCs w:val="24"/>
              <w:lang w:eastAsia="en-IN" w:bidi="gu-IN"/>
              <w14:ligatures w14:val="standardContextual"/>
            </w:rPr>
          </w:pPr>
          <w:hyperlink w:anchor="_Toc237180691" w:history="1">
            <w:r w:rsidRPr="00146A84">
              <w:rPr>
                <w:rStyle w:val="Hyperlink"/>
                <w:noProof/>
                <w:lang w:val="en-US"/>
              </w:rPr>
              <w:t>2.3 Target Market and Targeting Strategy</w:t>
            </w:r>
            <w:r>
              <w:rPr>
                <w:noProof/>
                <w:webHidden/>
              </w:rPr>
              <w:tab/>
            </w:r>
            <w:r>
              <w:rPr>
                <w:noProof/>
                <w:webHidden/>
              </w:rPr>
              <w:fldChar w:fldCharType="begin"/>
            </w:r>
            <w:r>
              <w:rPr>
                <w:noProof/>
                <w:webHidden/>
              </w:rPr>
              <w:instrText xml:space="preserve"> PAGEREF _Toc237180691 \h </w:instrText>
            </w:r>
            <w:r>
              <w:rPr>
                <w:noProof/>
                <w:webHidden/>
              </w:rPr>
            </w:r>
            <w:r>
              <w:rPr>
                <w:noProof/>
                <w:webHidden/>
              </w:rPr>
              <w:fldChar w:fldCharType="separate"/>
            </w:r>
            <w:r w:rsidR="003F549A">
              <w:rPr>
                <w:noProof/>
                <w:webHidden/>
              </w:rPr>
              <w:t>3</w:t>
            </w:r>
            <w:r>
              <w:rPr>
                <w:noProof/>
                <w:webHidden/>
              </w:rPr>
              <w:fldChar w:fldCharType="end"/>
            </w:r>
          </w:hyperlink>
        </w:p>
        <w:p w14:paraId="78C053AE" w14:textId="782A12F6" w:rsidR="000029C5" w:rsidRDefault="000029C5" w:rsidP="00E0651E">
          <w:pPr>
            <w:pStyle w:val="TOC2"/>
            <w:tabs>
              <w:tab w:val="right" w:leader="dot" w:pos="9016"/>
            </w:tabs>
            <w:spacing w:line="480" w:lineRule="auto"/>
            <w:rPr>
              <w:rFonts w:asciiTheme="minorHAnsi" w:eastAsiaTheme="minorEastAsia" w:hAnsiTheme="minorHAnsi"/>
              <w:noProof/>
              <w:color w:val="auto"/>
              <w:kern w:val="2"/>
              <w:szCs w:val="24"/>
              <w:lang w:eastAsia="en-IN" w:bidi="gu-IN"/>
              <w14:ligatures w14:val="standardContextual"/>
            </w:rPr>
          </w:pPr>
          <w:hyperlink w:anchor="_Toc237180692" w:history="1">
            <w:r w:rsidRPr="00146A84">
              <w:rPr>
                <w:rStyle w:val="Hyperlink"/>
                <w:noProof/>
                <w:lang w:val="en-US"/>
              </w:rPr>
              <w:t>2.4 Differentiation Strategy</w:t>
            </w:r>
            <w:r>
              <w:rPr>
                <w:noProof/>
                <w:webHidden/>
              </w:rPr>
              <w:tab/>
            </w:r>
            <w:r>
              <w:rPr>
                <w:noProof/>
                <w:webHidden/>
              </w:rPr>
              <w:fldChar w:fldCharType="begin"/>
            </w:r>
            <w:r>
              <w:rPr>
                <w:noProof/>
                <w:webHidden/>
              </w:rPr>
              <w:instrText xml:space="preserve"> PAGEREF _Toc237180692 \h </w:instrText>
            </w:r>
            <w:r>
              <w:rPr>
                <w:noProof/>
                <w:webHidden/>
              </w:rPr>
            </w:r>
            <w:r>
              <w:rPr>
                <w:noProof/>
                <w:webHidden/>
              </w:rPr>
              <w:fldChar w:fldCharType="separate"/>
            </w:r>
            <w:r w:rsidR="003F549A">
              <w:rPr>
                <w:noProof/>
                <w:webHidden/>
              </w:rPr>
              <w:t>4</w:t>
            </w:r>
            <w:r>
              <w:rPr>
                <w:noProof/>
                <w:webHidden/>
              </w:rPr>
              <w:fldChar w:fldCharType="end"/>
            </w:r>
          </w:hyperlink>
        </w:p>
        <w:p w14:paraId="05573732" w14:textId="384C2A34" w:rsidR="000029C5" w:rsidRDefault="000029C5" w:rsidP="00E0651E">
          <w:pPr>
            <w:pStyle w:val="TOC2"/>
            <w:tabs>
              <w:tab w:val="right" w:leader="dot" w:pos="9016"/>
            </w:tabs>
            <w:spacing w:line="480" w:lineRule="auto"/>
            <w:rPr>
              <w:rFonts w:asciiTheme="minorHAnsi" w:eastAsiaTheme="minorEastAsia" w:hAnsiTheme="minorHAnsi"/>
              <w:noProof/>
              <w:color w:val="auto"/>
              <w:kern w:val="2"/>
              <w:szCs w:val="24"/>
              <w:lang w:eastAsia="en-IN" w:bidi="gu-IN"/>
              <w14:ligatures w14:val="standardContextual"/>
            </w:rPr>
          </w:pPr>
          <w:hyperlink w:anchor="_Toc237180693" w:history="1">
            <w:r w:rsidRPr="00146A84">
              <w:rPr>
                <w:rStyle w:val="Hyperlink"/>
                <w:noProof/>
                <w:lang w:val="en-US"/>
              </w:rPr>
              <w:t>2.5 Positioning Strategy</w:t>
            </w:r>
            <w:r>
              <w:rPr>
                <w:noProof/>
                <w:webHidden/>
              </w:rPr>
              <w:tab/>
            </w:r>
            <w:r>
              <w:rPr>
                <w:noProof/>
                <w:webHidden/>
              </w:rPr>
              <w:fldChar w:fldCharType="begin"/>
            </w:r>
            <w:r>
              <w:rPr>
                <w:noProof/>
                <w:webHidden/>
              </w:rPr>
              <w:instrText xml:space="preserve"> PAGEREF _Toc237180693 \h </w:instrText>
            </w:r>
            <w:r>
              <w:rPr>
                <w:noProof/>
                <w:webHidden/>
              </w:rPr>
            </w:r>
            <w:r>
              <w:rPr>
                <w:noProof/>
                <w:webHidden/>
              </w:rPr>
              <w:fldChar w:fldCharType="separate"/>
            </w:r>
            <w:r w:rsidR="003F549A">
              <w:rPr>
                <w:noProof/>
                <w:webHidden/>
              </w:rPr>
              <w:t>5</w:t>
            </w:r>
            <w:r>
              <w:rPr>
                <w:noProof/>
                <w:webHidden/>
              </w:rPr>
              <w:fldChar w:fldCharType="end"/>
            </w:r>
          </w:hyperlink>
        </w:p>
        <w:p w14:paraId="7DED2BBD" w14:textId="43D5B357" w:rsidR="000029C5" w:rsidRDefault="000029C5" w:rsidP="00E0651E">
          <w:pPr>
            <w:pStyle w:val="TOC1"/>
            <w:tabs>
              <w:tab w:val="right" w:leader="dot" w:pos="9016"/>
            </w:tabs>
            <w:spacing w:line="480" w:lineRule="auto"/>
            <w:rPr>
              <w:rFonts w:asciiTheme="minorHAnsi" w:eastAsiaTheme="minorEastAsia" w:hAnsiTheme="minorHAnsi"/>
              <w:noProof/>
              <w:color w:val="auto"/>
              <w:kern w:val="2"/>
              <w:szCs w:val="24"/>
              <w:lang w:eastAsia="en-IN" w:bidi="gu-IN"/>
              <w14:ligatures w14:val="standardContextual"/>
            </w:rPr>
          </w:pPr>
          <w:hyperlink w:anchor="_Toc237180694" w:history="1">
            <w:r w:rsidRPr="00146A84">
              <w:rPr>
                <w:rStyle w:val="Hyperlink"/>
                <w:noProof/>
              </w:rPr>
              <w:t>3.0 Element 3: Marketing Mix Strategy</w:t>
            </w:r>
            <w:r>
              <w:rPr>
                <w:noProof/>
                <w:webHidden/>
              </w:rPr>
              <w:tab/>
            </w:r>
            <w:r>
              <w:rPr>
                <w:noProof/>
                <w:webHidden/>
              </w:rPr>
              <w:fldChar w:fldCharType="begin"/>
            </w:r>
            <w:r>
              <w:rPr>
                <w:noProof/>
                <w:webHidden/>
              </w:rPr>
              <w:instrText xml:space="preserve"> PAGEREF _Toc237180694 \h </w:instrText>
            </w:r>
            <w:r>
              <w:rPr>
                <w:noProof/>
                <w:webHidden/>
              </w:rPr>
            </w:r>
            <w:r>
              <w:rPr>
                <w:noProof/>
                <w:webHidden/>
              </w:rPr>
              <w:fldChar w:fldCharType="separate"/>
            </w:r>
            <w:r w:rsidR="003F549A">
              <w:rPr>
                <w:noProof/>
                <w:webHidden/>
              </w:rPr>
              <w:t>6</w:t>
            </w:r>
            <w:r>
              <w:rPr>
                <w:noProof/>
                <w:webHidden/>
              </w:rPr>
              <w:fldChar w:fldCharType="end"/>
            </w:r>
          </w:hyperlink>
        </w:p>
        <w:p w14:paraId="0EB3E2CE" w14:textId="619218CA" w:rsidR="000029C5" w:rsidRDefault="000029C5" w:rsidP="00E0651E">
          <w:pPr>
            <w:pStyle w:val="TOC2"/>
            <w:tabs>
              <w:tab w:val="right" w:leader="dot" w:pos="9016"/>
            </w:tabs>
            <w:spacing w:line="480" w:lineRule="auto"/>
            <w:rPr>
              <w:rFonts w:asciiTheme="minorHAnsi" w:eastAsiaTheme="minorEastAsia" w:hAnsiTheme="minorHAnsi"/>
              <w:noProof/>
              <w:color w:val="auto"/>
              <w:kern w:val="2"/>
              <w:szCs w:val="24"/>
              <w:lang w:eastAsia="en-IN" w:bidi="gu-IN"/>
              <w14:ligatures w14:val="standardContextual"/>
            </w:rPr>
          </w:pPr>
          <w:hyperlink w:anchor="_Toc237180695" w:history="1">
            <w:r w:rsidRPr="00146A84">
              <w:rPr>
                <w:rStyle w:val="Hyperlink"/>
                <w:noProof/>
                <w:lang w:val="en-US"/>
              </w:rPr>
              <w:t>3.1 Introduction to the Marketing Mix</w:t>
            </w:r>
            <w:r>
              <w:rPr>
                <w:noProof/>
                <w:webHidden/>
              </w:rPr>
              <w:tab/>
            </w:r>
            <w:r>
              <w:rPr>
                <w:noProof/>
                <w:webHidden/>
              </w:rPr>
              <w:fldChar w:fldCharType="begin"/>
            </w:r>
            <w:r>
              <w:rPr>
                <w:noProof/>
                <w:webHidden/>
              </w:rPr>
              <w:instrText xml:space="preserve"> PAGEREF _Toc237180695 \h </w:instrText>
            </w:r>
            <w:r>
              <w:rPr>
                <w:noProof/>
                <w:webHidden/>
              </w:rPr>
            </w:r>
            <w:r>
              <w:rPr>
                <w:noProof/>
                <w:webHidden/>
              </w:rPr>
              <w:fldChar w:fldCharType="separate"/>
            </w:r>
            <w:r w:rsidR="003F549A">
              <w:rPr>
                <w:noProof/>
                <w:webHidden/>
              </w:rPr>
              <w:t>6</w:t>
            </w:r>
            <w:r>
              <w:rPr>
                <w:noProof/>
                <w:webHidden/>
              </w:rPr>
              <w:fldChar w:fldCharType="end"/>
            </w:r>
          </w:hyperlink>
        </w:p>
        <w:p w14:paraId="2610B71A" w14:textId="42615960" w:rsidR="000029C5" w:rsidRDefault="000029C5" w:rsidP="00E0651E">
          <w:pPr>
            <w:pStyle w:val="TOC2"/>
            <w:tabs>
              <w:tab w:val="right" w:leader="dot" w:pos="9016"/>
            </w:tabs>
            <w:spacing w:line="480" w:lineRule="auto"/>
            <w:rPr>
              <w:rFonts w:asciiTheme="minorHAnsi" w:eastAsiaTheme="minorEastAsia" w:hAnsiTheme="minorHAnsi"/>
              <w:noProof/>
              <w:color w:val="auto"/>
              <w:kern w:val="2"/>
              <w:szCs w:val="24"/>
              <w:lang w:eastAsia="en-IN" w:bidi="gu-IN"/>
              <w14:ligatures w14:val="standardContextual"/>
            </w:rPr>
          </w:pPr>
          <w:hyperlink w:anchor="_Toc237180696" w:history="1">
            <w:r w:rsidRPr="00146A84">
              <w:rPr>
                <w:rStyle w:val="Hyperlink"/>
                <w:noProof/>
              </w:rPr>
              <w:t>3.2 Application of 7Ps</w:t>
            </w:r>
            <w:r>
              <w:rPr>
                <w:noProof/>
                <w:webHidden/>
              </w:rPr>
              <w:tab/>
            </w:r>
            <w:r>
              <w:rPr>
                <w:noProof/>
                <w:webHidden/>
              </w:rPr>
              <w:fldChar w:fldCharType="begin"/>
            </w:r>
            <w:r>
              <w:rPr>
                <w:noProof/>
                <w:webHidden/>
              </w:rPr>
              <w:instrText xml:space="preserve"> PAGEREF _Toc237180696 \h </w:instrText>
            </w:r>
            <w:r>
              <w:rPr>
                <w:noProof/>
                <w:webHidden/>
              </w:rPr>
            </w:r>
            <w:r>
              <w:rPr>
                <w:noProof/>
                <w:webHidden/>
              </w:rPr>
              <w:fldChar w:fldCharType="separate"/>
            </w:r>
            <w:r w:rsidR="003F549A">
              <w:rPr>
                <w:noProof/>
                <w:webHidden/>
              </w:rPr>
              <w:t>6</w:t>
            </w:r>
            <w:r>
              <w:rPr>
                <w:noProof/>
                <w:webHidden/>
              </w:rPr>
              <w:fldChar w:fldCharType="end"/>
            </w:r>
          </w:hyperlink>
        </w:p>
        <w:p w14:paraId="6A4D381C" w14:textId="637AA6C1" w:rsidR="000029C5" w:rsidRDefault="000029C5" w:rsidP="00E0651E">
          <w:pPr>
            <w:pStyle w:val="TOC1"/>
            <w:tabs>
              <w:tab w:val="right" w:leader="dot" w:pos="9016"/>
            </w:tabs>
            <w:spacing w:line="480" w:lineRule="auto"/>
            <w:rPr>
              <w:rFonts w:asciiTheme="minorHAnsi" w:eastAsiaTheme="minorEastAsia" w:hAnsiTheme="minorHAnsi"/>
              <w:noProof/>
              <w:color w:val="auto"/>
              <w:kern w:val="2"/>
              <w:szCs w:val="24"/>
              <w:lang w:eastAsia="en-IN" w:bidi="gu-IN"/>
              <w14:ligatures w14:val="standardContextual"/>
            </w:rPr>
          </w:pPr>
          <w:hyperlink w:anchor="_Toc237180697" w:history="1">
            <w:r w:rsidRPr="00146A84">
              <w:rPr>
                <w:rStyle w:val="Hyperlink"/>
                <w:noProof/>
              </w:rPr>
              <w:t>4.0 Element 4: Reflection</w:t>
            </w:r>
            <w:r>
              <w:rPr>
                <w:noProof/>
                <w:webHidden/>
              </w:rPr>
              <w:tab/>
            </w:r>
            <w:r>
              <w:rPr>
                <w:noProof/>
                <w:webHidden/>
              </w:rPr>
              <w:fldChar w:fldCharType="begin"/>
            </w:r>
            <w:r>
              <w:rPr>
                <w:noProof/>
                <w:webHidden/>
              </w:rPr>
              <w:instrText xml:space="preserve"> PAGEREF _Toc237180697 \h </w:instrText>
            </w:r>
            <w:r>
              <w:rPr>
                <w:noProof/>
                <w:webHidden/>
              </w:rPr>
            </w:r>
            <w:r>
              <w:rPr>
                <w:noProof/>
                <w:webHidden/>
              </w:rPr>
              <w:fldChar w:fldCharType="separate"/>
            </w:r>
            <w:r w:rsidR="003F549A">
              <w:rPr>
                <w:noProof/>
                <w:webHidden/>
              </w:rPr>
              <w:t>10</w:t>
            </w:r>
            <w:r>
              <w:rPr>
                <w:noProof/>
                <w:webHidden/>
              </w:rPr>
              <w:fldChar w:fldCharType="end"/>
            </w:r>
          </w:hyperlink>
        </w:p>
        <w:p w14:paraId="2F6E77F1" w14:textId="3064B312" w:rsidR="000029C5" w:rsidRDefault="000029C5" w:rsidP="00E0651E">
          <w:pPr>
            <w:pStyle w:val="TOC2"/>
            <w:tabs>
              <w:tab w:val="right" w:leader="dot" w:pos="9016"/>
            </w:tabs>
            <w:spacing w:line="480" w:lineRule="auto"/>
            <w:rPr>
              <w:rFonts w:asciiTheme="minorHAnsi" w:eastAsiaTheme="minorEastAsia" w:hAnsiTheme="minorHAnsi"/>
              <w:noProof/>
              <w:color w:val="auto"/>
              <w:kern w:val="2"/>
              <w:szCs w:val="24"/>
              <w:lang w:eastAsia="en-IN" w:bidi="gu-IN"/>
              <w14:ligatures w14:val="standardContextual"/>
            </w:rPr>
          </w:pPr>
          <w:hyperlink w:anchor="_Toc237180698" w:history="1">
            <w:r w:rsidRPr="00146A84">
              <w:rPr>
                <w:rStyle w:val="Hyperlink"/>
                <w:noProof/>
                <w:lang w:val="en-US"/>
              </w:rPr>
              <w:t>4.1 Reflection on Developing the Sustainable Brand Extension Strategy.</w:t>
            </w:r>
            <w:r>
              <w:rPr>
                <w:noProof/>
                <w:webHidden/>
              </w:rPr>
              <w:tab/>
            </w:r>
            <w:r>
              <w:rPr>
                <w:noProof/>
                <w:webHidden/>
              </w:rPr>
              <w:fldChar w:fldCharType="begin"/>
            </w:r>
            <w:r>
              <w:rPr>
                <w:noProof/>
                <w:webHidden/>
              </w:rPr>
              <w:instrText xml:space="preserve"> PAGEREF _Toc237180698 \h </w:instrText>
            </w:r>
            <w:r>
              <w:rPr>
                <w:noProof/>
                <w:webHidden/>
              </w:rPr>
            </w:r>
            <w:r>
              <w:rPr>
                <w:noProof/>
                <w:webHidden/>
              </w:rPr>
              <w:fldChar w:fldCharType="separate"/>
            </w:r>
            <w:r w:rsidR="003F549A">
              <w:rPr>
                <w:noProof/>
                <w:webHidden/>
              </w:rPr>
              <w:t>10</w:t>
            </w:r>
            <w:r>
              <w:rPr>
                <w:noProof/>
                <w:webHidden/>
              </w:rPr>
              <w:fldChar w:fldCharType="end"/>
            </w:r>
          </w:hyperlink>
        </w:p>
        <w:p w14:paraId="3BFC365D" w14:textId="1FF7E1FC" w:rsidR="000029C5" w:rsidRDefault="000029C5" w:rsidP="00E0651E">
          <w:pPr>
            <w:pStyle w:val="TOC2"/>
            <w:tabs>
              <w:tab w:val="right" w:leader="dot" w:pos="9016"/>
            </w:tabs>
            <w:spacing w:line="480" w:lineRule="auto"/>
            <w:rPr>
              <w:rFonts w:asciiTheme="minorHAnsi" w:eastAsiaTheme="minorEastAsia" w:hAnsiTheme="minorHAnsi"/>
              <w:noProof/>
              <w:color w:val="auto"/>
              <w:kern w:val="2"/>
              <w:szCs w:val="24"/>
              <w:lang w:eastAsia="en-IN" w:bidi="gu-IN"/>
              <w14:ligatures w14:val="standardContextual"/>
            </w:rPr>
          </w:pPr>
          <w:hyperlink w:anchor="_Toc237180699" w:history="1">
            <w:r w:rsidRPr="00146A84">
              <w:rPr>
                <w:rStyle w:val="Hyperlink"/>
                <w:noProof/>
                <w:lang w:val="en-US"/>
              </w:rPr>
              <w:t>4.2 Preparing and Delivering the Poster Presentation</w:t>
            </w:r>
            <w:r>
              <w:rPr>
                <w:noProof/>
                <w:webHidden/>
              </w:rPr>
              <w:tab/>
            </w:r>
            <w:r>
              <w:rPr>
                <w:noProof/>
                <w:webHidden/>
              </w:rPr>
              <w:fldChar w:fldCharType="begin"/>
            </w:r>
            <w:r>
              <w:rPr>
                <w:noProof/>
                <w:webHidden/>
              </w:rPr>
              <w:instrText xml:space="preserve"> PAGEREF _Toc237180699 \h </w:instrText>
            </w:r>
            <w:r>
              <w:rPr>
                <w:noProof/>
                <w:webHidden/>
              </w:rPr>
            </w:r>
            <w:r>
              <w:rPr>
                <w:noProof/>
                <w:webHidden/>
              </w:rPr>
              <w:fldChar w:fldCharType="separate"/>
            </w:r>
            <w:r w:rsidR="003F549A">
              <w:rPr>
                <w:noProof/>
                <w:webHidden/>
              </w:rPr>
              <w:t>10</w:t>
            </w:r>
            <w:r>
              <w:rPr>
                <w:noProof/>
                <w:webHidden/>
              </w:rPr>
              <w:fldChar w:fldCharType="end"/>
            </w:r>
          </w:hyperlink>
        </w:p>
        <w:p w14:paraId="55BE5125" w14:textId="77673235" w:rsidR="000029C5" w:rsidRDefault="000029C5" w:rsidP="00E0651E">
          <w:pPr>
            <w:pStyle w:val="TOC2"/>
            <w:tabs>
              <w:tab w:val="right" w:leader="dot" w:pos="9016"/>
            </w:tabs>
            <w:spacing w:line="480" w:lineRule="auto"/>
            <w:rPr>
              <w:rFonts w:asciiTheme="minorHAnsi" w:eastAsiaTheme="minorEastAsia" w:hAnsiTheme="minorHAnsi"/>
              <w:noProof/>
              <w:color w:val="auto"/>
              <w:kern w:val="2"/>
              <w:szCs w:val="24"/>
              <w:lang w:eastAsia="en-IN" w:bidi="gu-IN"/>
              <w14:ligatures w14:val="standardContextual"/>
            </w:rPr>
          </w:pPr>
          <w:hyperlink w:anchor="_Toc237180700" w:history="1">
            <w:r w:rsidRPr="00146A84">
              <w:rPr>
                <w:rStyle w:val="Hyperlink"/>
                <w:noProof/>
                <w:lang w:val="en-US"/>
              </w:rPr>
              <w:t>4.3 Skills, Knowledge and Personal and Professional Development</w:t>
            </w:r>
            <w:r>
              <w:rPr>
                <w:noProof/>
                <w:webHidden/>
              </w:rPr>
              <w:tab/>
            </w:r>
            <w:r>
              <w:rPr>
                <w:noProof/>
                <w:webHidden/>
              </w:rPr>
              <w:fldChar w:fldCharType="begin"/>
            </w:r>
            <w:r>
              <w:rPr>
                <w:noProof/>
                <w:webHidden/>
              </w:rPr>
              <w:instrText xml:space="preserve"> PAGEREF _Toc237180700 \h </w:instrText>
            </w:r>
            <w:r>
              <w:rPr>
                <w:noProof/>
                <w:webHidden/>
              </w:rPr>
            </w:r>
            <w:r>
              <w:rPr>
                <w:noProof/>
                <w:webHidden/>
              </w:rPr>
              <w:fldChar w:fldCharType="separate"/>
            </w:r>
            <w:r w:rsidR="003F549A">
              <w:rPr>
                <w:noProof/>
                <w:webHidden/>
              </w:rPr>
              <w:t>10</w:t>
            </w:r>
            <w:r>
              <w:rPr>
                <w:noProof/>
                <w:webHidden/>
              </w:rPr>
              <w:fldChar w:fldCharType="end"/>
            </w:r>
          </w:hyperlink>
        </w:p>
        <w:p w14:paraId="013BDD99" w14:textId="47FAD115" w:rsidR="000029C5" w:rsidRDefault="000029C5" w:rsidP="00E0651E">
          <w:pPr>
            <w:pStyle w:val="TOC2"/>
            <w:tabs>
              <w:tab w:val="right" w:leader="dot" w:pos="9016"/>
            </w:tabs>
            <w:spacing w:line="480" w:lineRule="auto"/>
            <w:rPr>
              <w:rFonts w:asciiTheme="minorHAnsi" w:eastAsiaTheme="minorEastAsia" w:hAnsiTheme="minorHAnsi"/>
              <w:noProof/>
              <w:color w:val="auto"/>
              <w:kern w:val="2"/>
              <w:szCs w:val="24"/>
              <w:lang w:eastAsia="en-IN" w:bidi="gu-IN"/>
              <w14:ligatures w14:val="standardContextual"/>
            </w:rPr>
          </w:pPr>
          <w:hyperlink w:anchor="_Toc237180701" w:history="1">
            <w:r w:rsidRPr="00146A84">
              <w:rPr>
                <w:rStyle w:val="Hyperlink"/>
                <w:noProof/>
                <w:lang w:val="en-US"/>
              </w:rPr>
              <w:t>4.4 Future Skills and Improvement in Performance.</w:t>
            </w:r>
            <w:r>
              <w:rPr>
                <w:noProof/>
                <w:webHidden/>
              </w:rPr>
              <w:tab/>
            </w:r>
            <w:r>
              <w:rPr>
                <w:noProof/>
                <w:webHidden/>
              </w:rPr>
              <w:fldChar w:fldCharType="begin"/>
            </w:r>
            <w:r>
              <w:rPr>
                <w:noProof/>
                <w:webHidden/>
              </w:rPr>
              <w:instrText xml:space="preserve"> PAGEREF _Toc237180701 \h </w:instrText>
            </w:r>
            <w:r>
              <w:rPr>
                <w:noProof/>
                <w:webHidden/>
              </w:rPr>
            </w:r>
            <w:r>
              <w:rPr>
                <w:noProof/>
                <w:webHidden/>
              </w:rPr>
              <w:fldChar w:fldCharType="separate"/>
            </w:r>
            <w:r w:rsidR="003F549A">
              <w:rPr>
                <w:noProof/>
                <w:webHidden/>
              </w:rPr>
              <w:t>11</w:t>
            </w:r>
            <w:r>
              <w:rPr>
                <w:noProof/>
                <w:webHidden/>
              </w:rPr>
              <w:fldChar w:fldCharType="end"/>
            </w:r>
          </w:hyperlink>
        </w:p>
        <w:p w14:paraId="70B0F24C" w14:textId="707C1852" w:rsidR="000029C5" w:rsidRDefault="000029C5" w:rsidP="00E0651E">
          <w:pPr>
            <w:pStyle w:val="TOC1"/>
            <w:tabs>
              <w:tab w:val="right" w:leader="dot" w:pos="9016"/>
            </w:tabs>
            <w:spacing w:line="480" w:lineRule="auto"/>
            <w:rPr>
              <w:rFonts w:asciiTheme="minorHAnsi" w:eastAsiaTheme="minorEastAsia" w:hAnsiTheme="minorHAnsi"/>
              <w:noProof/>
              <w:color w:val="auto"/>
              <w:kern w:val="2"/>
              <w:szCs w:val="24"/>
              <w:lang w:eastAsia="en-IN" w:bidi="gu-IN"/>
              <w14:ligatures w14:val="standardContextual"/>
            </w:rPr>
          </w:pPr>
          <w:hyperlink w:anchor="_Toc237180702" w:history="1">
            <w:r w:rsidRPr="00146A84">
              <w:rPr>
                <w:rStyle w:val="Hyperlink"/>
                <w:noProof/>
              </w:rPr>
              <w:t>References</w:t>
            </w:r>
            <w:r>
              <w:rPr>
                <w:noProof/>
                <w:webHidden/>
              </w:rPr>
              <w:tab/>
            </w:r>
            <w:r>
              <w:rPr>
                <w:noProof/>
                <w:webHidden/>
              </w:rPr>
              <w:fldChar w:fldCharType="begin"/>
            </w:r>
            <w:r>
              <w:rPr>
                <w:noProof/>
                <w:webHidden/>
              </w:rPr>
              <w:instrText xml:space="preserve"> PAGEREF _Toc237180702 \h </w:instrText>
            </w:r>
            <w:r>
              <w:rPr>
                <w:noProof/>
                <w:webHidden/>
              </w:rPr>
            </w:r>
            <w:r>
              <w:rPr>
                <w:noProof/>
                <w:webHidden/>
              </w:rPr>
              <w:fldChar w:fldCharType="separate"/>
            </w:r>
            <w:r w:rsidR="003F549A">
              <w:rPr>
                <w:noProof/>
                <w:webHidden/>
              </w:rPr>
              <w:t>12</w:t>
            </w:r>
            <w:r>
              <w:rPr>
                <w:noProof/>
                <w:webHidden/>
              </w:rPr>
              <w:fldChar w:fldCharType="end"/>
            </w:r>
          </w:hyperlink>
        </w:p>
        <w:p w14:paraId="0E60B2ED" w14:textId="4F4C44E5" w:rsidR="009F5C8C" w:rsidRDefault="009F5C8C" w:rsidP="00E0651E">
          <w:pPr>
            <w:spacing w:line="480" w:lineRule="auto"/>
          </w:pPr>
          <w:r w:rsidRPr="009F5C8C">
            <w:rPr>
              <w:rFonts w:cs="Arial"/>
              <w:b/>
              <w:bCs/>
              <w:noProof/>
              <w:szCs w:val="24"/>
            </w:rPr>
            <w:fldChar w:fldCharType="end"/>
          </w:r>
        </w:p>
      </w:sdtContent>
    </w:sdt>
    <w:p w14:paraId="2CFE7944" w14:textId="77777777" w:rsidR="00D8076D" w:rsidRDefault="00D8076D"/>
    <w:p w14:paraId="69BE5458" w14:textId="77777777" w:rsidR="00D8076D" w:rsidRDefault="00D8076D">
      <w:r>
        <w:br w:type="page"/>
      </w:r>
    </w:p>
    <w:p w14:paraId="53220296" w14:textId="154DF8AE" w:rsidR="00D8076D" w:rsidRDefault="00D8076D" w:rsidP="00D8076D">
      <w:pPr>
        <w:pStyle w:val="Heading1"/>
      </w:pPr>
      <w:bookmarkStart w:id="0" w:name="_Toc237180687"/>
      <w:r>
        <w:lastRenderedPageBreak/>
        <w:t>1</w:t>
      </w:r>
      <w:r w:rsidRPr="004474C3">
        <w:t xml:space="preserve">.0 </w:t>
      </w:r>
      <w:r w:rsidRPr="00D8076D">
        <w:t>Element 1: Sustainable Brand Extension Poster Presentation</w:t>
      </w:r>
      <w:bookmarkEnd w:id="0"/>
    </w:p>
    <w:p w14:paraId="7CC8D6F0" w14:textId="397EDE46" w:rsidR="009F5C8C" w:rsidRDefault="00D8076D">
      <w:pPr>
        <w:sectPr w:rsidR="009F5C8C">
          <w:headerReference w:type="default" r:id="rId8"/>
          <w:pgSz w:w="11906" w:h="16838"/>
          <w:pgMar w:top="1440" w:right="1440" w:bottom="1440" w:left="1440" w:header="708" w:footer="708" w:gutter="0"/>
          <w:cols w:space="708"/>
          <w:docGrid w:linePitch="360"/>
        </w:sectPr>
      </w:pPr>
      <w:r>
        <w:rPr>
          <w:noProof/>
        </w:rPr>
        <w:drawing>
          <wp:inline distT="0" distB="0" distL="0" distR="0" wp14:anchorId="445E7421" wp14:editId="5DBB1DDD">
            <wp:extent cx="5422900" cy="8134350"/>
            <wp:effectExtent l="0" t="0" r="6350" b="0"/>
            <wp:docPr id="167038856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388562"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423735" cy="8135603"/>
                    </a:xfrm>
                    <a:prstGeom prst="rect">
                      <a:avLst/>
                    </a:prstGeom>
                  </pic:spPr>
                </pic:pic>
              </a:graphicData>
            </a:graphic>
          </wp:inline>
        </w:drawing>
      </w:r>
      <w:r w:rsidR="009F5C8C">
        <w:br w:type="page"/>
      </w:r>
    </w:p>
    <w:p w14:paraId="279E23FB" w14:textId="1FF43A9B" w:rsidR="004474C3" w:rsidRPr="004474C3" w:rsidRDefault="004474C3" w:rsidP="009F43ED">
      <w:pPr>
        <w:pStyle w:val="Heading1"/>
      </w:pPr>
      <w:bookmarkStart w:id="1" w:name="_Toc237180688"/>
      <w:r w:rsidRPr="004474C3">
        <w:lastRenderedPageBreak/>
        <w:t>2.0 Element 2: Segmentation, Targeting, Differentiation and Positioning (STDP) Analysis</w:t>
      </w:r>
      <w:bookmarkEnd w:id="1"/>
    </w:p>
    <w:p w14:paraId="78D71538" w14:textId="77777777" w:rsidR="004474C3" w:rsidRDefault="004474C3" w:rsidP="009F43ED">
      <w:pPr>
        <w:pStyle w:val="Heading2"/>
        <w:rPr>
          <w:lang w:val="en-US"/>
        </w:rPr>
      </w:pPr>
      <w:bookmarkStart w:id="2" w:name="_Toc237180689"/>
      <w:r w:rsidRPr="004474C3">
        <w:rPr>
          <w:lang w:val="en-US"/>
        </w:rPr>
        <w:t>2.1 Introduction to STDP</w:t>
      </w:r>
      <w:bookmarkEnd w:id="2"/>
    </w:p>
    <w:p w14:paraId="31F0BED1" w14:textId="77777777" w:rsidR="004474C3" w:rsidRDefault="004474C3" w:rsidP="004474C3">
      <w:pPr>
        <w:spacing w:line="360" w:lineRule="auto"/>
        <w:jc w:val="both"/>
        <w:rPr>
          <w:rFonts w:cs="Arial"/>
          <w:szCs w:val="24"/>
        </w:rPr>
      </w:pPr>
      <w:r w:rsidRPr="004474C3">
        <w:rPr>
          <w:rFonts w:cs="Arial"/>
          <w:szCs w:val="24"/>
        </w:rPr>
        <w:t>Segmentation, targeting, differentiation and positioning (STDP) offer a marketing approach to finding attractive customers and developing a unique market position (Kotler et al., 2020). In the case of Patagonia ReCircle, STDP assists in recognising the sustainability-driven consumers in the UK outdoor market and positioning the offered backpacking tent based on the durability, repairability, and environmental responsibility.</w:t>
      </w:r>
    </w:p>
    <w:p w14:paraId="733133D9" w14:textId="0BCF7CBB" w:rsidR="004474C3" w:rsidRPr="004474C3" w:rsidRDefault="004474C3" w:rsidP="009F43ED">
      <w:pPr>
        <w:pStyle w:val="Heading2"/>
        <w:rPr>
          <w:lang w:val="en-US"/>
        </w:rPr>
      </w:pPr>
      <w:bookmarkStart w:id="3" w:name="_Toc237180690"/>
      <w:r w:rsidRPr="004474C3">
        <w:rPr>
          <w:lang w:val="en-US"/>
        </w:rPr>
        <w:t>2.2 Market Segmentation</w:t>
      </w:r>
      <w:bookmarkEnd w:id="3"/>
    </w:p>
    <w:p w14:paraId="183AA0AC" w14:textId="1C35D836" w:rsidR="005A3C91" w:rsidRDefault="005A3C91" w:rsidP="005A3C91">
      <w:pPr>
        <w:spacing w:line="360" w:lineRule="auto"/>
        <w:jc w:val="both"/>
        <w:rPr>
          <w:rFonts w:cs="Arial"/>
          <w:b/>
          <w:bCs/>
          <w:szCs w:val="24"/>
          <w:lang w:val="en-US"/>
        </w:rPr>
      </w:pPr>
      <w:r w:rsidRPr="004474C3">
        <w:rPr>
          <w:rFonts w:cs="Arial"/>
          <w:b/>
          <w:bCs/>
          <w:szCs w:val="24"/>
          <w:lang w:val="en-US"/>
        </w:rPr>
        <w:t>Geographic Segmentation</w:t>
      </w:r>
    </w:p>
    <w:p w14:paraId="0493C532" w14:textId="77777777" w:rsidR="00C31FB0" w:rsidRDefault="00C31FB0" w:rsidP="005A3C91">
      <w:pPr>
        <w:spacing w:line="360" w:lineRule="auto"/>
        <w:jc w:val="both"/>
        <w:rPr>
          <w:rFonts w:cs="Arial"/>
          <w:szCs w:val="24"/>
        </w:rPr>
      </w:pPr>
      <w:r w:rsidRPr="00C31FB0">
        <w:rPr>
          <w:rFonts w:cs="Arial"/>
          <w:szCs w:val="24"/>
        </w:rPr>
        <w:t>Geographically, ReCircle must be able to cover the UK on the online platform of Patagonia but focus its campaigns in large urban markets and gateways in the outdoor sector. In 2025, VisitBritain registered 103 million domestic overnight visits to all parts of Great Britain with a spending amount of 35.1 billion. London and Manchester had 15.8 million and 5.3 million overnights respectively (VisitBritain, 2025). The Lake/Peak Districts, Scottish Highlands, Wales and Northern Ireland priority activation is a national coverage with an outdoor application.</w:t>
      </w:r>
    </w:p>
    <w:p w14:paraId="53B8852B" w14:textId="58B44869" w:rsidR="004474C3" w:rsidRPr="004474C3" w:rsidRDefault="004474C3" w:rsidP="005A3C91">
      <w:pPr>
        <w:spacing w:line="360" w:lineRule="auto"/>
        <w:jc w:val="both"/>
        <w:rPr>
          <w:rFonts w:cs="Arial"/>
          <w:b/>
          <w:bCs/>
          <w:szCs w:val="24"/>
          <w:lang w:val="en-US"/>
        </w:rPr>
      </w:pPr>
      <w:r w:rsidRPr="004474C3">
        <w:rPr>
          <w:rFonts w:cs="Arial"/>
          <w:b/>
          <w:bCs/>
          <w:szCs w:val="24"/>
          <w:lang w:val="en-US"/>
        </w:rPr>
        <w:t>Demographic Segmentation</w:t>
      </w:r>
    </w:p>
    <w:p w14:paraId="72938FEE" w14:textId="66BE49B4" w:rsidR="00B73116" w:rsidRDefault="00B73116" w:rsidP="004474C3">
      <w:pPr>
        <w:spacing w:line="360" w:lineRule="auto"/>
        <w:jc w:val="both"/>
        <w:rPr>
          <w:rFonts w:cs="Arial"/>
          <w:szCs w:val="24"/>
        </w:rPr>
      </w:pPr>
      <w:r w:rsidRPr="00B73116">
        <w:rPr>
          <w:rFonts w:cs="Arial"/>
          <w:szCs w:val="24"/>
        </w:rPr>
        <w:t>Demographically, ReCircle must appeal to educated professionals and managers aged 25-44 years, middle-and-high-income households, regardless of gender. According to Sport England 2024/25 data, 73.2% of the wealthiest adults and 53.8% of the poorest adults are active and leisure walking is performed by 22.9 million adults (Sport England, 202</w:t>
      </w:r>
      <w:r w:rsidR="00FB3489">
        <w:rPr>
          <w:rFonts w:cs="Arial"/>
          <w:szCs w:val="24"/>
        </w:rPr>
        <w:t>5</w:t>
      </w:r>
      <w:r w:rsidRPr="00B73116">
        <w:rPr>
          <w:rFonts w:cs="Arial"/>
          <w:szCs w:val="24"/>
        </w:rPr>
        <w:t>). This helps justify a premium price to an income-qualified and active customer base capable of affording it as opposed to targeting by the broad age group.</w:t>
      </w:r>
    </w:p>
    <w:p w14:paraId="303D1141" w14:textId="7BE32786" w:rsidR="00E6499A" w:rsidRDefault="00E6499A" w:rsidP="00E6499A">
      <w:pPr>
        <w:spacing w:line="360" w:lineRule="auto"/>
        <w:rPr>
          <w:rFonts w:cs="Arial"/>
          <w:szCs w:val="24"/>
        </w:rPr>
      </w:pPr>
      <w:r w:rsidRPr="00E6499A">
        <w:rPr>
          <w:rFonts w:cs="Arial"/>
          <w:noProof/>
          <w:szCs w:val="24"/>
        </w:rPr>
        <w:lastRenderedPageBreak/>
        <w:drawing>
          <wp:inline distT="0" distB="0" distL="0" distR="0" wp14:anchorId="547046C6" wp14:editId="7A9877BD">
            <wp:extent cx="5731510" cy="2019300"/>
            <wp:effectExtent l="76200" t="76200" r="135890" b="133350"/>
            <wp:docPr id="1947897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897298" name=""/>
                    <pic:cNvPicPr/>
                  </pic:nvPicPr>
                  <pic:blipFill>
                    <a:blip r:embed="rId11"/>
                    <a:stretch>
                      <a:fillRect/>
                    </a:stretch>
                  </pic:blipFill>
                  <pic:spPr>
                    <a:xfrm>
                      <a:off x="0" y="0"/>
                      <a:ext cx="5731510" cy="2019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67722D3" w14:textId="046A433F" w:rsidR="00E6499A" w:rsidRPr="00D65DAF" w:rsidRDefault="00E6499A" w:rsidP="00E6499A">
      <w:pPr>
        <w:spacing w:line="360" w:lineRule="auto"/>
        <w:jc w:val="center"/>
        <w:rPr>
          <w:rFonts w:cs="Arial"/>
          <w:szCs w:val="24"/>
        </w:rPr>
      </w:pPr>
      <w:r w:rsidRPr="00E6499A">
        <w:rPr>
          <w:rFonts w:cs="Arial"/>
          <w:b/>
          <w:bCs/>
          <w:szCs w:val="24"/>
        </w:rPr>
        <w:t>Fig</w:t>
      </w:r>
      <w:r w:rsidR="00B82180">
        <w:rPr>
          <w:rFonts w:cs="Arial"/>
          <w:b/>
          <w:bCs/>
          <w:szCs w:val="24"/>
        </w:rPr>
        <w:t xml:space="preserve"> 01</w:t>
      </w:r>
      <w:r w:rsidRPr="00E6499A">
        <w:rPr>
          <w:rFonts w:cs="Arial"/>
          <w:b/>
          <w:bCs/>
          <w:szCs w:val="24"/>
        </w:rPr>
        <w:t>:</w:t>
      </w:r>
      <w:r w:rsidR="00D65DAF">
        <w:rPr>
          <w:rFonts w:cs="Arial"/>
          <w:b/>
          <w:bCs/>
          <w:szCs w:val="24"/>
        </w:rPr>
        <w:t xml:space="preserve"> </w:t>
      </w:r>
      <w:r w:rsidR="00D65DAF" w:rsidRPr="00D65DAF">
        <w:rPr>
          <w:rFonts w:cs="Arial"/>
          <w:szCs w:val="24"/>
        </w:rPr>
        <w:t xml:space="preserve">Adult Physical Activity by Socio-Economic Group, England </w:t>
      </w:r>
    </w:p>
    <w:p w14:paraId="53B62FFF" w14:textId="6413EE16" w:rsidR="00E6499A" w:rsidRPr="00E6499A" w:rsidRDefault="00E6499A" w:rsidP="00E6499A">
      <w:pPr>
        <w:spacing w:line="360" w:lineRule="auto"/>
        <w:jc w:val="center"/>
        <w:rPr>
          <w:rFonts w:cs="Arial"/>
          <w:b/>
          <w:bCs/>
          <w:szCs w:val="24"/>
        </w:rPr>
      </w:pPr>
      <w:r w:rsidRPr="00E6499A">
        <w:rPr>
          <w:rFonts w:cs="Arial"/>
          <w:b/>
          <w:bCs/>
          <w:szCs w:val="24"/>
        </w:rPr>
        <w:t>Source:</w:t>
      </w:r>
      <w:r w:rsidR="00FB3489">
        <w:rPr>
          <w:rFonts w:cs="Arial"/>
          <w:b/>
          <w:bCs/>
          <w:szCs w:val="24"/>
        </w:rPr>
        <w:t xml:space="preserve"> </w:t>
      </w:r>
      <w:r w:rsidR="00FB3489" w:rsidRPr="00B73116">
        <w:rPr>
          <w:rFonts w:cs="Arial"/>
          <w:szCs w:val="24"/>
        </w:rPr>
        <w:t>(Sport England, 202</w:t>
      </w:r>
      <w:r w:rsidR="00FB3489">
        <w:rPr>
          <w:rFonts w:cs="Arial"/>
          <w:szCs w:val="24"/>
        </w:rPr>
        <w:t>5</w:t>
      </w:r>
      <w:r w:rsidR="00FB3489" w:rsidRPr="00B73116">
        <w:rPr>
          <w:rFonts w:cs="Arial"/>
          <w:szCs w:val="24"/>
        </w:rPr>
        <w:t>)</w:t>
      </w:r>
    </w:p>
    <w:p w14:paraId="0048818D" w14:textId="174AD836" w:rsidR="004474C3" w:rsidRPr="004474C3" w:rsidRDefault="004474C3" w:rsidP="004474C3">
      <w:pPr>
        <w:spacing w:line="360" w:lineRule="auto"/>
        <w:jc w:val="both"/>
        <w:rPr>
          <w:rFonts w:cs="Arial"/>
          <w:b/>
          <w:bCs/>
          <w:szCs w:val="24"/>
          <w:lang w:val="en-US"/>
        </w:rPr>
      </w:pPr>
      <w:r w:rsidRPr="004474C3">
        <w:rPr>
          <w:rFonts w:cs="Arial"/>
          <w:b/>
          <w:bCs/>
          <w:szCs w:val="24"/>
          <w:lang w:val="en-US"/>
        </w:rPr>
        <w:t>Psychographic Segmentation</w:t>
      </w:r>
    </w:p>
    <w:p w14:paraId="463A6732" w14:textId="5BE0471C" w:rsidR="00E46F33" w:rsidRPr="00060ADA" w:rsidRDefault="00C31FB0" w:rsidP="00E46F33">
      <w:pPr>
        <w:spacing w:line="360" w:lineRule="auto"/>
        <w:jc w:val="both"/>
        <w:rPr>
          <w:rFonts w:cs="Arial"/>
          <w:szCs w:val="24"/>
          <w:lang w:val="en-US"/>
        </w:rPr>
      </w:pPr>
      <w:r w:rsidRPr="00C31FB0">
        <w:rPr>
          <w:rFonts w:cs="Arial"/>
          <w:szCs w:val="24"/>
        </w:rPr>
        <w:t xml:space="preserve">Psychographically, ReCircle ought to position itself on nature-conscious consumers who associate outdoor recreation with environmental responsibility, focus more on durability, repair and less replacement. GOV.UK (2025) discovered that 68 </w:t>
      </w:r>
      <w:r w:rsidR="00A735A1">
        <w:rPr>
          <w:rFonts w:cs="Arial"/>
          <w:szCs w:val="24"/>
        </w:rPr>
        <w:t>%</w:t>
      </w:r>
      <w:r w:rsidRPr="00C31FB0">
        <w:rPr>
          <w:rFonts w:cs="Arial"/>
          <w:szCs w:val="24"/>
        </w:rPr>
        <w:t xml:space="preserve"> of adults frequented green or natural areas at least once a week. ONS (2025) discovered that 53% of adults saw climate change and the environment as a crucial issue in the UK, with the number increasing to 57% among women. These sentiments underpin the conservation-based, low-consumption proposal of ReCircle.</w:t>
      </w:r>
    </w:p>
    <w:p w14:paraId="1BAF7D94" w14:textId="00E40257" w:rsidR="00771FAD" w:rsidRDefault="00771FAD" w:rsidP="00E46F33">
      <w:pPr>
        <w:spacing w:line="360" w:lineRule="auto"/>
        <w:jc w:val="center"/>
        <w:rPr>
          <w:rFonts w:cs="Arial"/>
          <w:szCs w:val="24"/>
        </w:rPr>
      </w:pPr>
      <w:r w:rsidRPr="00771FAD">
        <w:rPr>
          <w:rFonts w:cs="Arial"/>
          <w:noProof/>
          <w:szCs w:val="24"/>
        </w:rPr>
        <w:drawing>
          <wp:inline distT="0" distB="0" distL="0" distR="0" wp14:anchorId="18D6387E" wp14:editId="40B6E4FB">
            <wp:extent cx="4200808" cy="2363985"/>
            <wp:effectExtent l="0" t="0" r="0" b="0"/>
            <wp:docPr id="1064811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811561" name=""/>
                    <pic:cNvPicPr/>
                  </pic:nvPicPr>
                  <pic:blipFill>
                    <a:blip r:embed="rId12"/>
                    <a:stretch>
                      <a:fillRect/>
                    </a:stretch>
                  </pic:blipFill>
                  <pic:spPr>
                    <a:xfrm>
                      <a:off x="0" y="0"/>
                      <a:ext cx="4219183" cy="2374325"/>
                    </a:xfrm>
                    <a:prstGeom prst="rect">
                      <a:avLst/>
                    </a:prstGeom>
                  </pic:spPr>
                </pic:pic>
              </a:graphicData>
            </a:graphic>
          </wp:inline>
        </w:drawing>
      </w:r>
    </w:p>
    <w:p w14:paraId="1301E802" w14:textId="20F12A8A" w:rsidR="00E46F33" w:rsidRPr="00433AEE" w:rsidRDefault="00E46F33" w:rsidP="00E46F33">
      <w:pPr>
        <w:spacing w:line="360" w:lineRule="auto"/>
        <w:jc w:val="center"/>
        <w:rPr>
          <w:rFonts w:cs="Arial"/>
          <w:szCs w:val="24"/>
        </w:rPr>
      </w:pPr>
      <w:r w:rsidRPr="00E46F33">
        <w:rPr>
          <w:rFonts w:cs="Arial"/>
          <w:b/>
          <w:bCs/>
          <w:szCs w:val="24"/>
        </w:rPr>
        <w:t>Fig</w:t>
      </w:r>
      <w:r w:rsidR="00B82180">
        <w:rPr>
          <w:rFonts w:cs="Arial"/>
          <w:b/>
          <w:bCs/>
          <w:szCs w:val="24"/>
        </w:rPr>
        <w:t xml:space="preserve"> 02</w:t>
      </w:r>
      <w:r w:rsidRPr="00E46F33">
        <w:rPr>
          <w:rFonts w:cs="Arial"/>
          <w:b/>
          <w:bCs/>
          <w:szCs w:val="24"/>
        </w:rPr>
        <w:t>:</w:t>
      </w:r>
      <w:r w:rsidR="002941E0">
        <w:rPr>
          <w:rFonts w:cs="Arial"/>
          <w:b/>
          <w:bCs/>
          <w:szCs w:val="24"/>
        </w:rPr>
        <w:t xml:space="preserve"> </w:t>
      </w:r>
      <w:r w:rsidR="002941E0" w:rsidRPr="00433AEE">
        <w:rPr>
          <w:rFonts w:cs="Arial"/>
          <w:szCs w:val="24"/>
        </w:rPr>
        <w:t>Environmental Concern by Gender</w:t>
      </w:r>
      <w:r w:rsidR="00433AEE">
        <w:rPr>
          <w:rFonts w:cs="Arial"/>
          <w:szCs w:val="24"/>
        </w:rPr>
        <w:t xml:space="preserve"> </w:t>
      </w:r>
      <w:r w:rsidR="009F43ED">
        <w:rPr>
          <w:rFonts w:cs="Arial"/>
          <w:szCs w:val="24"/>
        </w:rPr>
        <w:t>in</w:t>
      </w:r>
      <w:r w:rsidR="00433AEE">
        <w:rPr>
          <w:rFonts w:cs="Arial"/>
          <w:szCs w:val="24"/>
        </w:rPr>
        <w:t xml:space="preserve"> UK</w:t>
      </w:r>
      <w:r w:rsidR="002941E0" w:rsidRPr="00433AEE">
        <w:rPr>
          <w:rFonts w:cs="Arial"/>
          <w:szCs w:val="24"/>
        </w:rPr>
        <w:t xml:space="preserve"> (2025)</w:t>
      </w:r>
    </w:p>
    <w:p w14:paraId="410EEB20" w14:textId="61CB47D0" w:rsidR="00E46F33" w:rsidRPr="008877FE" w:rsidRDefault="00E46F33" w:rsidP="008877FE">
      <w:pPr>
        <w:spacing w:line="360" w:lineRule="auto"/>
        <w:jc w:val="center"/>
        <w:rPr>
          <w:rFonts w:cs="Arial"/>
          <w:b/>
          <w:bCs/>
          <w:szCs w:val="24"/>
          <w:lang w:val="en-US"/>
        </w:rPr>
      </w:pPr>
      <w:r w:rsidRPr="00E46F33">
        <w:rPr>
          <w:rFonts w:cs="Arial"/>
          <w:b/>
          <w:bCs/>
          <w:szCs w:val="24"/>
        </w:rPr>
        <w:t>Source:</w:t>
      </w:r>
      <w:r w:rsidR="008877FE">
        <w:rPr>
          <w:rFonts w:cs="Arial"/>
          <w:b/>
          <w:bCs/>
          <w:szCs w:val="24"/>
        </w:rPr>
        <w:t xml:space="preserve"> </w:t>
      </w:r>
      <w:r w:rsidR="008877FE" w:rsidRPr="008877FE">
        <w:rPr>
          <w:rFonts w:cs="Arial"/>
          <w:szCs w:val="24"/>
          <w:lang w:val="en-US"/>
        </w:rPr>
        <w:t>(ONS, 2025)</w:t>
      </w:r>
    </w:p>
    <w:p w14:paraId="7A421B23" w14:textId="2D5550F5" w:rsidR="004474C3" w:rsidRPr="004474C3" w:rsidRDefault="004474C3" w:rsidP="004474C3">
      <w:pPr>
        <w:spacing w:line="360" w:lineRule="auto"/>
        <w:jc w:val="both"/>
        <w:rPr>
          <w:rFonts w:cs="Arial"/>
          <w:b/>
          <w:bCs/>
          <w:szCs w:val="24"/>
          <w:lang w:val="en-US"/>
        </w:rPr>
      </w:pPr>
      <w:r w:rsidRPr="004474C3">
        <w:rPr>
          <w:rFonts w:cs="Arial"/>
          <w:b/>
          <w:bCs/>
          <w:szCs w:val="24"/>
          <w:lang w:val="en-US"/>
        </w:rPr>
        <w:lastRenderedPageBreak/>
        <w:t>Behavioural Segmentation</w:t>
      </w:r>
    </w:p>
    <w:p w14:paraId="0565A509" w14:textId="406EE7EC" w:rsidR="009B4DB4" w:rsidRDefault="009B4DB4" w:rsidP="004474C3">
      <w:pPr>
        <w:spacing w:line="360" w:lineRule="auto"/>
        <w:jc w:val="both"/>
        <w:rPr>
          <w:rFonts w:cs="Arial"/>
          <w:szCs w:val="24"/>
        </w:rPr>
      </w:pPr>
      <w:r w:rsidRPr="009B4DB4">
        <w:rPr>
          <w:rFonts w:cs="Arial"/>
          <w:szCs w:val="24"/>
        </w:rPr>
        <w:t>In behavioural terms, ReCircle needs to aim at the repeat backpackers who are after low weight, easy pitching and weather dependability. This was reflected in the survey of the Camping and Caravanning Club (2025)</w:t>
      </w:r>
      <w:r w:rsidR="00F87571">
        <w:rPr>
          <w:rFonts w:cs="Arial"/>
          <w:szCs w:val="24"/>
        </w:rPr>
        <w:t>,</w:t>
      </w:r>
      <w:r w:rsidRPr="009B4DB4">
        <w:rPr>
          <w:rFonts w:cs="Arial"/>
          <w:szCs w:val="24"/>
        </w:rPr>
        <w:t xml:space="preserve"> where more than a third of the respondents camped two-three times on a yearly basis, 31% paid full price and more than 90% would repurchase the same brand of tent. </w:t>
      </w:r>
      <w:proofErr w:type="gramStart"/>
      <w:r w:rsidRPr="009B4DB4">
        <w:rPr>
          <w:rFonts w:cs="Arial"/>
          <w:szCs w:val="24"/>
        </w:rPr>
        <w:t>WRAP (2025)</w:t>
      </w:r>
      <w:r w:rsidR="00F87571">
        <w:rPr>
          <w:rFonts w:cs="Arial"/>
          <w:szCs w:val="24"/>
        </w:rPr>
        <w:t>,</w:t>
      </w:r>
      <w:proofErr w:type="gramEnd"/>
      <w:r w:rsidRPr="009B4DB4">
        <w:rPr>
          <w:rFonts w:cs="Arial"/>
          <w:szCs w:val="24"/>
        </w:rPr>
        <w:t xml:space="preserve"> discovered that 82.2% of repaired items replaced new ones, which proves the argument in </w:t>
      </w:r>
      <w:r w:rsidR="00F87571" w:rsidRPr="009B4DB4">
        <w:rPr>
          <w:rFonts w:cs="Arial"/>
          <w:szCs w:val="24"/>
        </w:rPr>
        <w:t>favour</w:t>
      </w:r>
      <w:r w:rsidRPr="009B4DB4">
        <w:rPr>
          <w:rFonts w:cs="Arial"/>
          <w:szCs w:val="24"/>
        </w:rPr>
        <w:t xml:space="preserve"> of repair, spare-parts and take-back services of </w:t>
      </w:r>
      <w:proofErr w:type="spellStart"/>
      <w:r w:rsidRPr="009B4DB4">
        <w:rPr>
          <w:rFonts w:cs="Arial"/>
          <w:szCs w:val="24"/>
        </w:rPr>
        <w:t>ReCircle</w:t>
      </w:r>
      <w:proofErr w:type="spellEnd"/>
      <w:r w:rsidRPr="009B4DB4">
        <w:rPr>
          <w:rFonts w:cs="Arial"/>
          <w:szCs w:val="24"/>
        </w:rPr>
        <w:t>.</w:t>
      </w:r>
    </w:p>
    <w:p w14:paraId="6D55C733" w14:textId="77777777" w:rsidR="007D20E1" w:rsidRDefault="007D20E1" w:rsidP="004474C3">
      <w:pPr>
        <w:spacing w:line="360" w:lineRule="auto"/>
        <w:jc w:val="both"/>
        <w:rPr>
          <w:rFonts w:cs="Arial"/>
          <w:szCs w:val="24"/>
        </w:rPr>
      </w:pPr>
    </w:p>
    <w:p w14:paraId="180B7469" w14:textId="7F80A5CD" w:rsidR="004474C3" w:rsidRDefault="004474C3" w:rsidP="00E2022A">
      <w:pPr>
        <w:pStyle w:val="Heading2"/>
        <w:rPr>
          <w:lang w:val="en-US"/>
        </w:rPr>
      </w:pPr>
      <w:bookmarkStart w:id="4" w:name="_Toc237180691"/>
      <w:r w:rsidRPr="004474C3">
        <w:rPr>
          <w:lang w:val="en-US"/>
        </w:rPr>
        <w:t>2.3 Target Market and Targeting Strategy</w:t>
      </w:r>
      <w:bookmarkEnd w:id="4"/>
    </w:p>
    <w:p w14:paraId="1CCC064D" w14:textId="07AF4F79" w:rsidR="00D76B1B" w:rsidRPr="004474C3" w:rsidRDefault="00D76B1B" w:rsidP="004474C3">
      <w:pPr>
        <w:spacing w:line="360" w:lineRule="auto"/>
        <w:jc w:val="both"/>
        <w:rPr>
          <w:rFonts w:cs="Arial"/>
          <w:szCs w:val="24"/>
          <w:lang w:val="en-US"/>
        </w:rPr>
      </w:pPr>
      <w:r w:rsidRPr="00D76B1B">
        <w:rPr>
          <w:rFonts w:cs="Arial"/>
          <w:szCs w:val="24"/>
          <w:lang w:val="en-US"/>
        </w:rPr>
        <w:t xml:space="preserve">ReCircle must consider focused targeting at UK 25;45-year-old, middle-to-high-income, frequent backpackers with concerns about reliability, longevity and environmental responsibility. The market is quite large: the UK camping/hiking equipment earned approximately US$0.65 billion in 2025, and two-person tents controlled more than 40% of the market worldwide. Affordable premium is feasible because 23.2% of jobs of employees in the UK were high-paid in 2025 (Fortune Business Insights, 2025; Singh and Singh, 2025). In the article by Fuchs, Bodet and </w:t>
      </w:r>
      <w:proofErr w:type="spellStart"/>
      <w:r w:rsidRPr="00D76B1B">
        <w:rPr>
          <w:rFonts w:cs="Arial"/>
          <w:szCs w:val="24"/>
          <w:lang w:val="en-US"/>
        </w:rPr>
        <w:t>Hovemann</w:t>
      </w:r>
      <w:proofErr w:type="spellEnd"/>
      <w:r w:rsidRPr="00D76B1B">
        <w:rPr>
          <w:rFonts w:cs="Arial"/>
          <w:szCs w:val="24"/>
          <w:lang w:val="en-US"/>
        </w:rPr>
        <w:t xml:space="preserve"> (2024), a separate European sportswear segment with a sustainability focus is found, which justifies a focus on concentration, rather than mass. Importantly, in the study of Czech outdoor customers, </w:t>
      </w:r>
      <w:proofErr w:type="spellStart"/>
      <w:r w:rsidRPr="00D76B1B">
        <w:rPr>
          <w:rFonts w:cs="Arial"/>
          <w:szCs w:val="24"/>
          <w:lang w:val="en-US"/>
        </w:rPr>
        <w:t>Voráček</w:t>
      </w:r>
      <w:proofErr w:type="spellEnd"/>
      <w:r w:rsidRPr="00D76B1B">
        <w:rPr>
          <w:rFonts w:cs="Arial"/>
          <w:szCs w:val="24"/>
          <w:lang w:val="en-US"/>
        </w:rPr>
        <w:t xml:space="preserve"> et al. (2026) identified a durability rating of 8.49/10 and a manufacturers repair rating of 6.67/10, but only a 1019% sustainability premium was accepted. ReCircle must thus focus on customers who purchase performance-based circular value and not the customers who only declare green sentiments.</w:t>
      </w:r>
    </w:p>
    <w:p w14:paraId="0E11C75F" w14:textId="6C207D7D" w:rsidR="007F2128" w:rsidRDefault="005D57BE" w:rsidP="007F2128">
      <w:pPr>
        <w:spacing w:line="360" w:lineRule="auto"/>
        <w:jc w:val="center"/>
        <w:rPr>
          <w:rFonts w:cs="Arial"/>
          <w:szCs w:val="24"/>
        </w:rPr>
      </w:pPr>
      <w:r>
        <w:rPr>
          <w:rFonts w:cs="Arial"/>
          <w:noProof/>
          <w:szCs w:val="24"/>
        </w:rPr>
        <w:lastRenderedPageBreak/>
        <w:drawing>
          <wp:inline distT="0" distB="0" distL="0" distR="0" wp14:anchorId="2A804A1E" wp14:editId="40A82019">
            <wp:extent cx="6116557" cy="2851842"/>
            <wp:effectExtent l="0" t="0" r="0" b="5715"/>
            <wp:docPr id="9859916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87571" cy="2884952"/>
                    </a:xfrm>
                    <a:prstGeom prst="rect">
                      <a:avLst/>
                    </a:prstGeom>
                    <a:noFill/>
                  </pic:spPr>
                </pic:pic>
              </a:graphicData>
            </a:graphic>
          </wp:inline>
        </w:drawing>
      </w:r>
    </w:p>
    <w:p w14:paraId="1A23EE94" w14:textId="09E67609" w:rsidR="005D57BE" w:rsidRDefault="005D57BE" w:rsidP="007F2128">
      <w:pPr>
        <w:spacing w:line="360" w:lineRule="auto"/>
        <w:jc w:val="center"/>
        <w:rPr>
          <w:rFonts w:cs="Arial"/>
          <w:szCs w:val="24"/>
        </w:rPr>
      </w:pPr>
      <w:r w:rsidRPr="00B235C3">
        <w:rPr>
          <w:rFonts w:cs="Arial"/>
          <w:b/>
          <w:bCs/>
          <w:szCs w:val="24"/>
        </w:rPr>
        <w:t>Fig</w:t>
      </w:r>
      <w:r w:rsidR="00B82180">
        <w:rPr>
          <w:rFonts w:cs="Arial"/>
          <w:b/>
          <w:bCs/>
          <w:szCs w:val="24"/>
        </w:rPr>
        <w:t xml:space="preserve"> 03</w:t>
      </w:r>
      <w:r w:rsidRPr="00B235C3">
        <w:rPr>
          <w:rFonts w:cs="Arial"/>
          <w:b/>
          <w:bCs/>
          <w:szCs w:val="24"/>
        </w:rPr>
        <w:t>:</w:t>
      </w:r>
      <w:r w:rsidR="00B235C3">
        <w:rPr>
          <w:rFonts w:cs="Arial"/>
          <w:szCs w:val="24"/>
        </w:rPr>
        <w:t xml:space="preserve"> </w:t>
      </w:r>
      <w:r w:rsidR="00B235C3" w:rsidRPr="00B235C3">
        <w:rPr>
          <w:rFonts w:cs="Arial"/>
          <w:szCs w:val="24"/>
        </w:rPr>
        <w:t>Global Camping and Hiking Equipment Market Growth, 2025–2034</w:t>
      </w:r>
    </w:p>
    <w:p w14:paraId="741303B0" w14:textId="281F462F" w:rsidR="005D57BE" w:rsidRPr="00B235C3" w:rsidRDefault="005D57BE" w:rsidP="007F2128">
      <w:pPr>
        <w:spacing w:line="360" w:lineRule="auto"/>
        <w:jc w:val="center"/>
        <w:rPr>
          <w:rFonts w:cs="Arial"/>
          <w:b/>
          <w:bCs/>
          <w:szCs w:val="24"/>
        </w:rPr>
      </w:pPr>
      <w:r w:rsidRPr="00B235C3">
        <w:rPr>
          <w:rFonts w:cs="Arial"/>
          <w:b/>
          <w:bCs/>
          <w:szCs w:val="24"/>
        </w:rPr>
        <w:t>Source:</w:t>
      </w:r>
      <w:r w:rsidR="00312661" w:rsidRPr="00312661">
        <w:rPr>
          <w:rFonts w:cs="Arial"/>
          <w:szCs w:val="24"/>
          <w:lang w:val="en-US"/>
        </w:rPr>
        <w:t xml:space="preserve"> </w:t>
      </w:r>
      <w:r w:rsidR="00312661">
        <w:rPr>
          <w:rFonts w:cs="Arial"/>
          <w:szCs w:val="24"/>
          <w:lang w:val="en-US"/>
        </w:rPr>
        <w:t>(</w:t>
      </w:r>
      <w:r w:rsidR="00312661" w:rsidRPr="00EA2DFA">
        <w:rPr>
          <w:rFonts w:cs="Arial"/>
          <w:szCs w:val="24"/>
          <w:lang w:val="en-US"/>
        </w:rPr>
        <w:t>Fortune Business Insights, 202</w:t>
      </w:r>
      <w:r w:rsidR="00312661">
        <w:rPr>
          <w:rFonts w:cs="Arial"/>
          <w:szCs w:val="24"/>
          <w:lang w:val="en-US"/>
        </w:rPr>
        <w:t>5)</w:t>
      </w:r>
    </w:p>
    <w:p w14:paraId="4356B5DF" w14:textId="46739914" w:rsidR="004474C3" w:rsidRPr="004474C3" w:rsidRDefault="004474C3" w:rsidP="00E2022A">
      <w:pPr>
        <w:pStyle w:val="Heading2"/>
        <w:rPr>
          <w:lang w:val="en-US"/>
        </w:rPr>
      </w:pPr>
      <w:bookmarkStart w:id="5" w:name="_Toc237180692"/>
      <w:r w:rsidRPr="004474C3">
        <w:rPr>
          <w:lang w:val="en-US"/>
        </w:rPr>
        <w:t>2.4 Differentiation Strategy</w:t>
      </w:r>
      <w:bookmarkEnd w:id="5"/>
    </w:p>
    <w:p w14:paraId="0EB1A870" w14:textId="77777777" w:rsidR="0003497D" w:rsidRDefault="0003497D" w:rsidP="004474C3">
      <w:pPr>
        <w:spacing w:line="360" w:lineRule="auto"/>
        <w:jc w:val="both"/>
        <w:rPr>
          <w:rFonts w:cs="Arial"/>
          <w:szCs w:val="24"/>
        </w:rPr>
      </w:pPr>
      <w:r w:rsidRPr="0003497D">
        <w:rPr>
          <w:rFonts w:cs="Arial"/>
          <w:szCs w:val="24"/>
        </w:rPr>
        <w:t>ReCircle would integrate recycled ripstop with repairability with replaceable zip, clips, guylines and groundsheets, guaranteed spares and take-back. NEMO (2026) offers recycled OSMO fabrics and parts, while Big Agnes (2024), takes back tents, making features imitable. The distinction is based on the combination of durability and circular services with the environmental credibility of Patagonia, as seen in its 166 B Impact Score (B Lab, 2023). According to Ruiz-Pastor and Mesa (2023), the drivers of repairability include parts availability and disassembly.</w:t>
      </w:r>
    </w:p>
    <w:p w14:paraId="2A968557" w14:textId="77777777" w:rsidR="007D20E1" w:rsidRDefault="007D20E1">
      <w:pPr>
        <w:rPr>
          <w:rFonts w:eastAsiaTheme="majorEastAsia" w:cstheme="majorBidi"/>
          <w:b/>
          <w:szCs w:val="32"/>
          <w:lang w:val="en-US"/>
        </w:rPr>
      </w:pPr>
      <w:bookmarkStart w:id="6" w:name="_Toc237180693"/>
      <w:r>
        <w:rPr>
          <w:lang w:val="en-US"/>
        </w:rPr>
        <w:br w:type="page"/>
      </w:r>
    </w:p>
    <w:p w14:paraId="694730AF" w14:textId="0CE43A20" w:rsidR="004474C3" w:rsidRDefault="004474C3" w:rsidP="00E2022A">
      <w:pPr>
        <w:pStyle w:val="Heading2"/>
        <w:rPr>
          <w:lang w:val="en-US"/>
        </w:rPr>
      </w:pPr>
      <w:r w:rsidRPr="004474C3">
        <w:rPr>
          <w:lang w:val="en-US"/>
        </w:rPr>
        <w:lastRenderedPageBreak/>
        <w:t>2.5 Positioning Strategy</w:t>
      </w:r>
      <w:bookmarkEnd w:id="6"/>
    </w:p>
    <w:p w14:paraId="75046E63" w14:textId="3DE90DB7" w:rsidR="004060D4" w:rsidRDefault="001261C5" w:rsidP="001261C5">
      <w:pPr>
        <w:spacing w:line="360" w:lineRule="auto"/>
        <w:jc w:val="center"/>
        <w:rPr>
          <w:rFonts w:cs="Arial"/>
          <w:b/>
          <w:bCs/>
          <w:szCs w:val="24"/>
          <w:lang w:val="en-US"/>
        </w:rPr>
      </w:pPr>
      <w:r w:rsidRPr="001261C5">
        <w:rPr>
          <w:rFonts w:cs="Arial"/>
          <w:b/>
          <w:bCs/>
          <w:noProof/>
          <w:szCs w:val="24"/>
          <w:lang w:val="en-US"/>
        </w:rPr>
        <w:drawing>
          <wp:inline distT="0" distB="0" distL="0" distR="0" wp14:anchorId="30BFEFD0" wp14:editId="5BEAE147">
            <wp:extent cx="6033982" cy="2992924"/>
            <wp:effectExtent l="76200" t="76200" r="138430" b="131445"/>
            <wp:docPr id="18117771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777184" name=""/>
                    <pic:cNvPicPr/>
                  </pic:nvPicPr>
                  <pic:blipFill>
                    <a:blip r:embed="rId14"/>
                    <a:stretch>
                      <a:fillRect/>
                    </a:stretch>
                  </pic:blipFill>
                  <pic:spPr>
                    <a:xfrm>
                      <a:off x="0" y="0"/>
                      <a:ext cx="6055108" cy="300340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BBA0FEF" w14:textId="6F26167C" w:rsidR="001261C5" w:rsidRDefault="001261C5" w:rsidP="001261C5">
      <w:pPr>
        <w:spacing w:line="360" w:lineRule="auto"/>
        <w:jc w:val="center"/>
        <w:rPr>
          <w:rFonts w:cs="Arial"/>
          <w:b/>
          <w:bCs/>
          <w:szCs w:val="24"/>
          <w:lang w:val="en-US"/>
        </w:rPr>
      </w:pPr>
      <w:r>
        <w:rPr>
          <w:rFonts w:cs="Arial"/>
          <w:b/>
          <w:bCs/>
          <w:szCs w:val="24"/>
          <w:lang w:val="en-US"/>
        </w:rPr>
        <w:t>Fig</w:t>
      </w:r>
      <w:r w:rsidR="00B82180">
        <w:rPr>
          <w:rFonts w:cs="Arial"/>
          <w:b/>
          <w:bCs/>
          <w:szCs w:val="24"/>
          <w:lang w:val="en-US"/>
        </w:rPr>
        <w:t xml:space="preserve"> 04</w:t>
      </w:r>
      <w:r>
        <w:rPr>
          <w:rFonts w:cs="Arial"/>
          <w:b/>
          <w:bCs/>
          <w:szCs w:val="24"/>
          <w:lang w:val="en-US"/>
        </w:rPr>
        <w:t>:</w:t>
      </w:r>
      <w:r w:rsidR="00CE72E4">
        <w:rPr>
          <w:rFonts w:cs="Arial"/>
          <w:b/>
          <w:bCs/>
          <w:szCs w:val="24"/>
          <w:lang w:val="en-US"/>
        </w:rPr>
        <w:t xml:space="preserve"> </w:t>
      </w:r>
      <w:r w:rsidR="00CE72E4" w:rsidRPr="00CE72E4">
        <w:rPr>
          <w:rFonts w:cs="Arial"/>
          <w:szCs w:val="24"/>
        </w:rPr>
        <w:t>Patagonia ReCircle UK Tent Market Positioning Map</w:t>
      </w:r>
    </w:p>
    <w:p w14:paraId="1389A9A4" w14:textId="369616F8" w:rsidR="001261C5" w:rsidRPr="004474C3" w:rsidRDefault="001261C5" w:rsidP="001261C5">
      <w:pPr>
        <w:spacing w:line="360" w:lineRule="auto"/>
        <w:jc w:val="center"/>
        <w:rPr>
          <w:rFonts w:cs="Arial"/>
          <w:b/>
          <w:bCs/>
          <w:szCs w:val="24"/>
          <w:lang w:val="en-US"/>
        </w:rPr>
      </w:pPr>
      <w:r>
        <w:rPr>
          <w:rFonts w:cs="Arial"/>
          <w:b/>
          <w:bCs/>
          <w:szCs w:val="24"/>
          <w:lang w:val="en-US"/>
        </w:rPr>
        <w:t xml:space="preserve">Source: </w:t>
      </w:r>
      <w:r w:rsidRPr="004270FF">
        <w:rPr>
          <w:rFonts w:cs="Arial"/>
          <w:szCs w:val="24"/>
          <w:lang w:val="en-US"/>
        </w:rPr>
        <w:t>(Self-Created)</w:t>
      </w:r>
    </w:p>
    <w:p w14:paraId="5ED71DEB" w14:textId="77777777" w:rsidR="00502917" w:rsidRDefault="00014E96" w:rsidP="00E44500">
      <w:pPr>
        <w:spacing w:line="360" w:lineRule="auto"/>
        <w:jc w:val="both"/>
        <w:rPr>
          <w:rFonts w:cs="Arial"/>
          <w:szCs w:val="24"/>
        </w:rPr>
      </w:pPr>
      <w:r w:rsidRPr="00014E96">
        <w:rPr>
          <w:rFonts w:cs="Arial"/>
          <w:szCs w:val="24"/>
        </w:rPr>
        <w:t>The figure above puts ReCircle in the high circularity, premium category, between Decathlon and competing with NEMO, MSR and Big Agnes on technical merit. Nemo has 100% recycled OSMO yarns, and Vango has repairs, which means that Patagonia will have to compete on the basis of whole-life value, rather than just sustainability claims (Nemo, 2025; Vango, 2026).</w:t>
      </w:r>
      <w:r>
        <w:rPr>
          <w:rFonts w:cs="Arial"/>
          <w:szCs w:val="24"/>
        </w:rPr>
        <w:t xml:space="preserve"> </w:t>
      </w:r>
      <w:r w:rsidR="00E44500" w:rsidRPr="00E44500">
        <w:rPr>
          <w:rFonts w:cs="Arial"/>
          <w:szCs w:val="24"/>
        </w:rPr>
        <w:t>The positioning statement is “The repairable, take-back-ready two-person tent for UK backpackers expecting premium performance without disposable ownership.”</w:t>
      </w:r>
    </w:p>
    <w:p w14:paraId="0C7077F1" w14:textId="77777777" w:rsidR="00502917" w:rsidRDefault="00502917">
      <w:pPr>
        <w:rPr>
          <w:rFonts w:cs="Arial"/>
          <w:szCs w:val="24"/>
        </w:rPr>
      </w:pPr>
      <w:r>
        <w:rPr>
          <w:rFonts w:cs="Arial"/>
          <w:szCs w:val="24"/>
        </w:rPr>
        <w:br w:type="page"/>
      </w:r>
    </w:p>
    <w:p w14:paraId="6CE30F62" w14:textId="77777777" w:rsidR="00347C13" w:rsidRDefault="00502917" w:rsidP="00347C13">
      <w:pPr>
        <w:pStyle w:val="Heading1"/>
      </w:pPr>
      <w:bookmarkStart w:id="7" w:name="_Toc237180694"/>
      <w:r>
        <w:lastRenderedPageBreak/>
        <w:t>3.0 Element 3:</w:t>
      </w:r>
      <w:r w:rsidR="00347C13" w:rsidRPr="00347C13">
        <w:t xml:space="preserve"> Marketing Mix Strategy</w:t>
      </w:r>
      <w:bookmarkEnd w:id="7"/>
    </w:p>
    <w:p w14:paraId="69CD878E" w14:textId="4FA8ECDF" w:rsidR="00AB25D7" w:rsidRPr="00AB25D7" w:rsidRDefault="00AB25D7" w:rsidP="00E2022A">
      <w:pPr>
        <w:pStyle w:val="Heading2"/>
        <w:rPr>
          <w:lang w:val="en-US"/>
        </w:rPr>
      </w:pPr>
      <w:bookmarkStart w:id="8" w:name="_Toc237180695"/>
      <w:r w:rsidRPr="00AB25D7">
        <w:rPr>
          <w:lang w:val="en-US"/>
        </w:rPr>
        <w:t>3.1 Introduction to the Marketing Mix</w:t>
      </w:r>
      <w:bookmarkEnd w:id="8"/>
      <w:r w:rsidRPr="00AB25D7">
        <w:rPr>
          <w:lang w:val="en-US"/>
        </w:rPr>
        <w:t xml:space="preserve"> </w:t>
      </w:r>
    </w:p>
    <w:p w14:paraId="7EB6E996" w14:textId="77777777" w:rsidR="00CF3B7C" w:rsidRDefault="00CF3B7C" w:rsidP="00F55D1B">
      <w:pPr>
        <w:spacing w:line="360" w:lineRule="auto"/>
        <w:jc w:val="both"/>
      </w:pPr>
      <w:r w:rsidRPr="00CF3B7C">
        <w:t>The extended marketing mix integrates product, price, place, promotion, people, process and physical evidence to coordinate value creation (Booms and Bitner, 1981). It is appropriate for ReCircle because the physical tent is supported by repair, take-back and after-sales services. Collectively, the seven elements reinforce Patagonia’s premium, durable and circular positioning.</w:t>
      </w:r>
    </w:p>
    <w:p w14:paraId="2941DEE2" w14:textId="1300A2E5" w:rsidR="00730735" w:rsidRDefault="001271D1" w:rsidP="001271D1">
      <w:pPr>
        <w:spacing w:line="360" w:lineRule="auto"/>
        <w:jc w:val="center"/>
      </w:pPr>
      <w:r>
        <w:rPr>
          <w:noProof/>
        </w:rPr>
        <w:drawing>
          <wp:inline distT="0" distB="0" distL="0" distR="0" wp14:anchorId="282B7A5C" wp14:editId="5FF60BF5">
            <wp:extent cx="2943225" cy="2466760"/>
            <wp:effectExtent l="0" t="0" r="0" b="0"/>
            <wp:docPr id="242226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51884" cy="2474017"/>
                    </a:xfrm>
                    <a:prstGeom prst="rect">
                      <a:avLst/>
                    </a:prstGeom>
                    <a:noFill/>
                    <a:ln>
                      <a:noFill/>
                    </a:ln>
                  </pic:spPr>
                </pic:pic>
              </a:graphicData>
            </a:graphic>
          </wp:inline>
        </w:drawing>
      </w:r>
    </w:p>
    <w:p w14:paraId="0F9EEC4F" w14:textId="71C782B3" w:rsidR="001271D1" w:rsidRPr="001271D1" w:rsidRDefault="001271D1" w:rsidP="001271D1">
      <w:pPr>
        <w:spacing w:line="360" w:lineRule="auto"/>
        <w:jc w:val="center"/>
        <w:rPr>
          <w:b/>
          <w:bCs/>
        </w:rPr>
      </w:pPr>
      <w:r w:rsidRPr="001271D1">
        <w:rPr>
          <w:b/>
          <w:bCs/>
        </w:rPr>
        <w:t>Fig</w:t>
      </w:r>
      <w:r w:rsidR="00B82180">
        <w:rPr>
          <w:b/>
          <w:bCs/>
        </w:rPr>
        <w:t xml:space="preserve"> 05</w:t>
      </w:r>
      <w:r w:rsidRPr="001271D1">
        <w:rPr>
          <w:b/>
          <w:bCs/>
        </w:rPr>
        <w:t>:</w:t>
      </w:r>
      <w:r>
        <w:rPr>
          <w:b/>
          <w:bCs/>
        </w:rPr>
        <w:t xml:space="preserve"> </w:t>
      </w:r>
      <w:r w:rsidRPr="001271D1">
        <w:t>7P’s Marketing Mix</w:t>
      </w:r>
    </w:p>
    <w:p w14:paraId="0D7B8F56" w14:textId="5DA918CB" w:rsidR="001271D1" w:rsidRPr="00B82180" w:rsidRDefault="001271D1" w:rsidP="00B82180">
      <w:pPr>
        <w:spacing w:line="360" w:lineRule="auto"/>
        <w:jc w:val="center"/>
        <w:rPr>
          <w:b/>
          <w:bCs/>
          <w:lang w:val="en-US"/>
        </w:rPr>
      </w:pPr>
      <w:r w:rsidRPr="001271D1">
        <w:rPr>
          <w:b/>
          <w:bCs/>
        </w:rPr>
        <w:t>Source:</w:t>
      </w:r>
      <w:r w:rsidR="00B82180">
        <w:rPr>
          <w:b/>
          <w:bCs/>
        </w:rPr>
        <w:t xml:space="preserve"> </w:t>
      </w:r>
      <w:r w:rsidR="00B82180" w:rsidRPr="00B82180">
        <w:rPr>
          <w:lang w:val="en-US"/>
        </w:rPr>
        <w:t>(</w:t>
      </w:r>
      <w:proofErr w:type="spellStart"/>
      <w:r w:rsidR="00B82180" w:rsidRPr="00B82180">
        <w:rPr>
          <w:lang w:val="en-US"/>
        </w:rPr>
        <w:t>SkillsYouNeed</w:t>
      </w:r>
      <w:proofErr w:type="spellEnd"/>
      <w:r w:rsidR="00B82180" w:rsidRPr="00B82180">
        <w:rPr>
          <w:lang w:val="en-US"/>
        </w:rPr>
        <w:t>, 2022)</w:t>
      </w:r>
    </w:p>
    <w:p w14:paraId="3BEA36A7" w14:textId="0264C4CF" w:rsidR="00F35FCA" w:rsidRPr="004323C0" w:rsidRDefault="004323C0" w:rsidP="00E2022A">
      <w:pPr>
        <w:pStyle w:val="Heading2"/>
      </w:pPr>
      <w:bookmarkStart w:id="9" w:name="_Toc237180696"/>
      <w:r w:rsidRPr="004323C0">
        <w:t xml:space="preserve">3.2 </w:t>
      </w:r>
      <w:r w:rsidR="00F35FCA" w:rsidRPr="004323C0">
        <w:t xml:space="preserve">Application of </w:t>
      </w:r>
      <w:r w:rsidRPr="004323C0">
        <w:t>7Ps</w:t>
      </w:r>
      <w:bookmarkEnd w:id="9"/>
    </w:p>
    <w:p w14:paraId="19549399" w14:textId="190CE7D8" w:rsidR="00AB25D7" w:rsidRPr="00AB25D7" w:rsidRDefault="00AB25D7" w:rsidP="00AB25D7">
      <w:pPr>
        <w:rPr>
          <w:b/>
          <w:bCs/>
          <w:lang w:val="en-US"/>
        </w:rPr>
      </w:pPr>
      <w:r w:rsidRPr="00AB25D7">
        <w:rPr>
          <w:b/>
          <w:bCs/>
          <w:lang w:val="en-US"/>
        </w:rPr>
        <w:t xml:space="preserve">Product Strategy </w:t>
      </w:r>
    </w:p>
    <w:p w14:paraId="4C7BEF0E" w14:textId="1E89D797" w:rsidR="00384C38" w:rsidRDefault="00384C38" w:rsidP="00384C38">
      <w:pPr>
        <w:spacing w:line="360" w:lineRule="auto"/>
        <w:jc w:val="both"/>
      </w:pPr>
      <w:r w:rsidRPr="00384C38">
        <w:t xml:space="preserve">On a fundamental level, ReCircle </w:t>
      </w:r>
      <w:r w:rsidR="0089405F">
        <w:t xml:space="preserve">will </w:t>
      </w:r>
      <w:r w:rsidRPr="00384C38">
        <w:t>offer low impact shelter that allows the UK backpackers to travel light and not to consider tents as a one-off disposable item. The reality on the ground is a two-person backpacking tent made of recycled technical ripstop, aluminium poles and tried waterproof and wind-resistant fabrics. High-wear, such as the zips, clips, guylines and groundsheet, should be replaceable, and not built into the clothing. The augmented product would have a field-repair kit, spare parts, warranty-covered repairs, take-back to recover and recycle parts, and FSC-compliant recyclable packaging. Repair instructions with QRs ought to be transparent and not bulky with manuals and packaging. The extension service is already credible as Patagonia Worn Wear infrastructure has over 100 repair guides (Patagonia, 2025</w:t>
      </w:r>
      <w:r w:rsidR="000D2B6B">
        <w:t>b</w:t>
      </w:r>
      <w:r w:rsidRPr="00384C38">
        <w:t xml:space="preserve">). Differentiation is limited by competition, however. Hubba </w:t>
      </w:r>
      <w:proofErr w:type="spellStart"/>
      <w:r w:rsidRPr="00384C38">
        <w:t>Hubba</w:t>
      </w:r>
      <w:proofErr w:type="spellEnd"/>
      <w:r w:rsidRPr="00384C38">
        <w:t xml:space="preserve"> LT by MSR weighs </w:t>
      </w:r>
      <w:r w:rsidRPr="00384C38">
        <w:lastRenderedPageBreak/>
        <w:t xml:space="preserve">1.36 kg (MSR, 2026); Big Agnes states that the Copper Spur UL fabric is 25 </w:t>
      </w:r>
      <w:r w:rsidR="00A735A1">
        <w:t>%</w:t>
      </w:r>
      <w:r w:rsidRPr="00384C38">
        <w:t xml:space="preserve"> more water resistant and 50 </w:t>
      </w:r>
      <w:r w:rsidR="00A735A1">
        <w:t>%</w:t>
      </w:r>
      <w:r w:rsidRPr="00384C38">
        <w:t xml:space="preserve"> stronger than other fabrics (Big Agnes, 2026); NEMO announces 11 products made of Endless Promise are fully recyclable (Nemo, 2024). Thus, recycled material and Patagonia branding are not able to offset poor field performance. Co-creation of customer value can be achieved with facilitated repair (</w:t>
      </w:r>
      <w:proofErr w:type="spellStart"/>
      <w:r w:rsidRPr="00384C38">
        <w:t>Bayraktaroğlu</w:t>
      </w:r>
      <w:proofErr w:type="spellEnd"/>
      <w:r w:rsidRPr="00384C38">
        <w:t xml:space="preserve"> and </w:t>
      </w:r>
      <w:proofErr w:type="spellStart"/>
      <w:r w:rsidRPr="00384C38">
        <w:t>İdemen</w:t>
      </w:r>
      <w:proofErr w:type="spellEnd"/>
      <w:r w:rsidRPr="00384C38">
        <w:t>, 2025). ReCircle must integrate quantifiable weather resistance and longevity with readily available component replacement, extended spares and plausible end of life recovery, and make sustainability functional lifetime worth.</w:t>
      </w:r>
    </w:p>
    <w:p w14:paraId="6D8FD3DE" w14:textId="6AC691F4" w:rsidR="00AB25D7" w:rsidRDefault="00AB25D7" w:rsidP="00AB25D7">
      <w:pPr>
        <w:rPr>
          <w:b/>
          <w:bCs/>
          <w:lang w:val="en-US"/>
        </w:rPr>
      </w:pPr>
      <w:r w:rsidRPr="00AB25D7">
        <w:rPr>
          <w:b/>
          <w:bCs/>
          <w:lang w:val="en-US"/>
        </w:rPr>
        <w:t>Price Strateg</w:t>
      </w:r>
      <w:r w:rsidR="0089405F">
        <w:rPr>
          <w:b/>
          <w:bCs/>
          <w:lang w:val="en-US"/>
        </w:rPr>
        <w:t>y</w:t>
      </w:r>
    </w:p>
    <w:p w14:paraId="75669A81" w14:textId="66C22C4B" w:rsidR="0089405F" w:rsidRPr="00AB25D7" w:rsidRDefault="00253801" w:rsidP="00253801">
      <w:pPr>
        <w:spacing w:line="360" w:lineRule="auto"/>
        <w:jc w:val="both"/>
        <w:rPr>
          <w:b/>
          <w:bCs/>
          <w:lang w:val="en-US"/>
        </w:rPr>
      </w:pPr>
      <w:r w:rsidRPr="00253801">
        <w:t xml:space="preserve">ReCircle must embrace premium pricing based on value by capitalising on the brand equity of Patagonia and the reduced lifetime replacement cost developed by repairability. UK prices are £384.99 for NEMO Hornet OSMO 2P, £475.95 for MSR Hubba </w:t>
      </w:r>
      <w:proofErr w:type="spellStart"/>
      <w:r w:rsidRPr="00253801">
        <w:t>Hubba</w:t>
      </w:r>
      <w:proofErr w:type="spellEnd"/>
      <w:r w:rsidRPr="00253801">
        <w:t xml:space="preserve"> LT2 and £494.95 for Big Agnes Copper Spur UL2 (Nemo, 2026; EMS, 2026). However, the sustainability premium is only 9.7% sustainability by consumers and price can increase the attitude-behaviour gap ((PWC, 2024; Munro et al., 2023). Premium quality cues would be undermined and repair services would be under-invested in through penetration pricing. Consequently, the optimal UK launch price is 499 which is a competitive parity, lifetime value and readiness to pay.</w:t>
      </w:r>
    </w:p>
    <w:p w14:paraId="79234137" w14:textId="1BF38084" w:rsidR="00AB25D7" w:rsidRDefault="00AB25D7" w:rsidP="00AB25D7">
      <w:pPr>
        <w:rPr>
          <w:b/>
          <w:bCs/>
          <w:lang w:val="en-US"/>
        </w:rPr>
      </w:pPr>
      <w:r w:rsidRPr="00AB25D7">
        <w:rPr>
          <w:b/>
          <w:bCs/>
          <w:lang w:val="en-US"/>
        </w:rPr>
        <w:t>Place Strategy</w:t>
      </w:r>
    </w:p>
    <w:p w14:paraId="0FA774E2" w14:textId="77777777" w:rsidR="00212CD1" w:rsidRDefault="00212CD1" w:rsidP="00212CD1">
      <w:pPr>
        <w:spacing w:line="360" w:lineRule="auto"/>
        <w:jc w:val="both"/>
      </w:pPr>
      <w:r w:rsidRPr="00212CD1">
        <w:t>ReCircle needs to employ selective distribution in omnichannel where the main direct channel will be the site of Patagonia UK and the trial of the product will be possible in the Manchester and Bristol stores. Both stores are listed there along with authorised dealers (Patagonia, 2025a). Specialized partners such as Ellis Brigham and Cotswold Outdoor already have Patagonia, which helps to reach London and outdoor gateways (Patagonia, 2026). Wales and Scotland: Nationwide e-commerce needs to embrace Wales and Scotland (and non-urban customers) extending the city-to-nature geography of Element 2. Prepaid returns and retailer collection should be used to repair and take-back European repair centres (Patagonia, 2025b). Premium positioning and control would be undermined by intensive mass distribution.</w:t>
      </w:r>
    </w:p>
    <w:p w14:paraId="1D502200" w14:textId="77777777" w:rsidR="00B45485" w:rsidRDefault="00B45485">
      <w:pPr>
        <w:rPr>
          <w:b/>
          <w:bCs/>
          <w:lang w:val="en-US"/>
        </w:rPr>
      </w:pPr>
      <w:r>
        <w:rPr>
          <w:b/>
          <w:bCs/>
          <w:lang w:val="en-US"/>
        </w:rPr>
        <w:br w:type="page"/>
      </w:r>
    </w:p>
    <w:p w14:paraId="6AAD6D01" w14:textId="48591A3B" w:rsidR="00AB25D7" w:rsidRDefault="00AB25D7" w:rsidP="00AB25D7">
      <w:pPr>
        <w:rPr>
          <w:b/>
          <w:bCs/>
          <w:lang w:val="en-US"/>
        </w:rPr>
      </w:pPr>
      <w:r w:rsidRPr="00AB25D7">
        <w:rPr>
          <w:b/>
          <w:bCs/>
          <w:lang w:val="en-US"/>
        </w:rPr>
        <w:lastRenderedPageBreak/>
        <w:t xml:space="preserve">Promotion Strategy </w:t>
      </w:r>
    </w:p>
    <w:p w14:paraId="3E95891D" w14:textId="77777777" w:rsidR="00457EA3" w:rsidRDefault="00457EA3" w:rsidP="00457EA3">
      <w:pPr>
        <w:spacing w:line="360" w:lineRule="auto"/>
        <w:jc w:val="both"/>
      </w:pPr>
      <w:r w:rsidRPr="00457EA3">
        <w:t>ReCircle through its Integrated Marketing Communications (IMC) is supposed to align social media, email and Patagonia Stories/Films to evidence-based keep the tent in use (Purwati and Ariyani, 2025). Instead of repeating its sustainability arguments, expert-backpacker partnerships with backpacking communities should post field-test and tear-to-repair videos and include time taken to repair, components replaced and content recycled. Credible UGC is more helpful to the audience, and owners should be invited to record repairs and kilometres travelled, as user-generated content (UGC) (Zhuang et al., 2023). Open repair shops during the 1922 November 2026 Kendal Mountain Festival and Eryri or Cairngorm trail centres and amplified by Patagonia-sponsored grassroots environmental organisations (Patagonia, 2023). Traceable material, repair and take-back evidence should be published on paid media. This safeguards credibility since the UK advertising regulations stipulate the environmental claims to support product lifecycle and specify restrictions (ASA, 2025).</w:t>
      </w:r>
    </w:p>
    <w:p w14:paraId="61E1F7C1" w14:textId="751593C1" w:rsidR="00AB25D7" w:rsidRPr="00AB25D7" w:rsidRDefault="00AB25D7" w:rsidP="00AB25D7">
      <w:pPr>
        <w:rPr>
          <w:b/>
          <w:bCs/>
          <w:lang w:val="en-US"/>
        </w:rPr>
      </w:pPr>
      <w:r w:rsidRPr="00AB25D7">
        <w:rPr>
          <w:b/>
          <w:bCs/>
          <w:lang w:val="en-US"/>
        </w:rPr>
        <w:t xml:space="preserve">People </w:t>
      </w:r>
    </w:p>
    <w:p w14:paraId="3852E92E" w14:textId="54A99BFC" w:rsidR="00E31A68" w:rsidRDefault="00E31A68" w:rsidP="00E31A68">
      <w:pPr>
        <w:spacing w:line="360" w:lineRule="auto"/>
        <w:jc w:val="both"/>
      </w:pPr>
      <w:r w:rsidRPr="00E31A68">
        <w:t xml:space="preserve">ReCircle’s people strategy should make frontline expertise part of the product, not a sales accessory. Patagonia retail employees and selected outdoor-retailer staff should complete ReCircle certification covering pitching, weatherproofing, component identification, recycled-material evidence, repair triage and take-back eligibility. This is practical because Ellis Brigham Manchester already offers customers demonstrations of two-person tents (Ellis Brigham, 2026). </w:t>
      </w:r>
      <w:r w:rsidR="007870E0" w:rsidRPr="007870E0">
        <w:t>Repair technicians are to diagnose the need to repair the damage in the field or to replace parts or bring the case to the workshop, whereas customer-service staff members are to triage using photos and reserve the right route. The customers are expected to walk out with proven abilities in drying, seams, patching and component replacement. The relevance of training lies in the fact that retail knowledge can be more adaptive due to intentional learning (Taylor et al., 2026), and green training can enhance the environmental behaviour of employees (</w:t>
      </w:r>
      <w:proofErr w:type="spellStart"/>
      <w:r w:rsidR="007870E0" w:rsidRPr="007870E0">
        <w:t>Renaningtyas</w:t>
      </w:r>
      <w:proofErr w:type="spellEnd"/>
      <w:r w:rsidR="007870E0" w:rsidRPr="007870E0">
        <w:t xml:space="preserve"> and Kasmir, 2026). </w:t>
      </w:r>
      <w:proofErr w:type="spellStart"/>
      <w:r w:rsidR="007870E0" w:rsidRPr="007870E0">
        <w:t>Inequally</w:t>
      </w:r>
      <w:proofErr w:type="spellEnd"/>
      <w:r w:rsidR="007870E0" w:rsidRPr="007870E0">
        <w:t xml:space="preserve"> trained staff may falsify technical or circular claims and this will directly impact ReCircle credibility.</w:t>
      </w:r>
    </w:p>
    <w:p w14:paraId="15762143" w14:textId="5176AC31" w:rsidR="00AB25D7" w:rsidRDefault="00AB25D7" w:rsidP="00AB25D7">
      <w:pPr>
        <w:rPr>
          <w:b/>
          <w:bCs/>
          <w:lang w:val="en-US"/>
        </w:rPr>
      </w:pPr>
      <w:r w:rsidRPr="00AB25D7">
        <w:rPr>
          <w:b/>
          <w:bCs/>
          <w:lang w:val="en-US"/>
        </w:rPr>
        <w:t xml:space="preserve">Process </w:t>
      </w:r>
    </w:p>
    <w:p w14:paraId="06AA5F75" w14:textId="19ABED29" w:rsidR="001A2CBE" w:rsidRPr="00AB25D7" w:rsidRDefault="00AC50E4" w:rsidP="008324F3">
      <w:pPr>
        <w:spacing w:line="360" w:lineRule="auto"/>
        <w:jc w:val="both"/>
        <w:rPr>
          <w:lang w:val="en-US"/>
        </w:rPr>
      </w:pPr>
      <w:r w:rsidRPr="00AC50E4">
        <w:t xml:space="preserve">Circularity should be a single tracked journey of ReCircle. A record linked to a QR is recorded at the point of purchase to capture materials and warranty and during usage </w:t>
      </w:r>
      <w:r w:rsidRPr="00AC50E4">
        <w:lastRenderedPageBreak/>
        <w:t>provides maintenance instructions and order-spares. The portal should be photographed in the portal to triage 48 hours, warranty and repair booking. The repair-request review is 2-5 working days at Patagonia (Patagonia, 2025b</w:t>
      </w:r>
      <w:proofErr w:type="gramStart"/>
      <w:r w:rsidRPr="00AC50E4">
        <w:t>).</w:t>
      </w:r>
      <w:r w:rsidR="008324F3" w:rsidRPr="008324F3">
        <w:t>ReCircle</w:t>
      </w:r>
      <w:proofErr w:type="gramEnd"/>
      <w:r w:rsidR="008324F3" w:rsidRPr="008324F3">
        <w:t xml:space="preserve"> should set a ten-day repair service target with tracking. Irreparable tents receive prepaid take-back, then inspection for reuse, parts harvesting or fibre recycling. Long waits and poor repair information reduce repair convenience (</w:t>
      </w:r>
      <w:proofErr w:type="spellStart"/>
      <w:r w:rsidR="008324F3" w:rsidRPr="008324F3">
        <w:t>Güsser-Fachbach</w:t>
      </w:r>
      <w:proofErr w:type="spellEnd"/>
      <w:r w:rsidR="008324F3" w:rsidRPr="008324F3">
        <w:t xml:space="preserve"> et al., 2023). Consequently, reverse logistics must be simpler than replacement, or circular intent risks becoming disposal.</w:t>
      </w:r>
    </w:p>
    <w:p w14:paraId="62380684" w14:textId="03AD33A4" w:rsidR="00AB25D7" w:rsidRPr="00AB25D7" w:rsidRDefault="00AB25D7" w:rsidP="00AB25D7">
      <w:pPr>
        <w:rPr>
          <w:b/>
          <w:bCs/>
          <w:lang w:val="en-US"/>
        </w:rPr>
      </w:pPr>
      <w:r w:rsidRPr="00AB25D7">
        <w:rPr>
          <w:b/>
          <w:bCs/>
          <w:lang w:val="en-US"/>
        </w:rPr>
        <w:t>Physical Evidence</w:t>
      </w:r>
    </w:p>
    <w:p w14:paraId="4C6EFBC9" w14:textId="2C07578B" w:rsidR="00597E9B" w:rsidRDefault="00CE6F92" w:rsidP="00CE6F92">
      <w:pPr>
        <w:spacing w:line="360" w:lineRule="auto"/>
        <w:jc w:val="both"/>
        <w:rPr>
          <w:lang w:val="en-US"/>
        </w:rPr>
      </w:pPr>
      <w:r w:rsidRPr="00CE6F92">
        <w:rPr>
          <w:lang w:val="en-US"/>
        </w:rPr>
        <w:t xml:space="preserve">The tangible evidence of ReCircle is supposed to be circular. It must have Global Recycled Standard certification on its ripstop and the </w:t>
      </w:r>
      <w:r w:rsidR="00A735A1">
        <w:rPr>
          <w:lang w:val="en-US"/>
        </w:rPr>
        <w:t>%</w:t>
      </w:r>
      <w:r w:rsidRPr="00CE6F92">
        <w:rPr>
          <w:lang w:val="en-US"/>
        </w:rPr>
        <w:t>age of recycled content and the material origin should be marked. GRS uses third-party certification and chain-of-custody verification (Textile Exchange, 2026). The repair kit, component labels, warranty card and QR code to repairability information, spare-part instructions and material provenance must be included in packaging. ReCircle displays in stores should include a fixed tent displaying a repair next to recovered zips, poles and fabric used in take-back units and recorded recovery results. Long life should be solidified with reusable packaging. The perceived greenwashing and purchase risk can be reduced by certification and transparent supply-chain evidence that increase consumer trust (Damberg et al., 2024).</w:t>
      </w:r>
    </w:p>
    <w:p w14:paraId="1492B780" w14:textId="77777777" w:rsidR="00597E9B" w:rsidRDefault="00597E9B">
      <w:pPr>
        <w:rPr>
          <w:lang w:val="en-US"/>
        </w:rPr>
      </w:pPr>
      <w:r>
        <w:rPr>
          <w:lang w:val="en-US"/>
        </w:rPr>
        <w:br w:type="page"/>
      </w:r>
    </w:p>
    <w:p w14:paraId="7F57641C" w14:textId="77777777" w:rsidR="00966070" w:rsidRDefault="00597E9B" w:rsidP="00966070">
      <w:pPr>
        <w:pStyle w:val="Heading1"/>
      </w:pPr>
      <w:bookmarkStart w:id="10" w:name="_Toc237180697"/>
      <w:r>
        <w:lastRenderedPageBreak/>
        <w:t>4.0 Element 4:</w:t>
      </w:r>
      <w:r w:rsidR="00541023" w:rsidRPr="00541023">
        <w:t xml:space="preserve"> Reflection</w:t>
      </w:r>
      <w:bookmarkEnd w:id="10"/>
    </w:p>
    <w:p w14:paraId="2B7971AE" w14:textId="66A5A735" w:rsidR="008370EC" w:rsidRPr="008370EC" w:rsidRDefault="008370EC" w:rsidP="009F5C8C">
      <w:pPr>
        <w:pStyle w:val="Heading2"/>
        <w:rPr>
          <w:lang w:val="en-US"/>
        </w:rPr>
      </w:pPr>
      <w:bookmarkStart w:id="11" w:name="_Toc237180698"/>
      <w:r w:rsidRPr="008370EC">
        <w:rPr>
          <w:lang w:val="en-US"/>
        </w:rPr>
        <w:t xml:space="preserve">4.1 </w:t>
      </w:r>
      <w:r w:rsidR="00E73CB3" w:rsidRPr="00E73CB3">
        <w:rPr>
          <w:lang w:val="en-US"/>
        </w:rPr>
        <w:t>Reflection on Developing the Sustainable Brand Extension Strategy</w:t>
      </w:r>
      <w:r w:rsidRPr="008370EC">
        <w:rPr>
          <w:lang w:val="en-US"/>
        </w:rPr>
        <w:t>.</w:t>
      </w:r>
      <w:bookmarkEnd w:id="11"/>
    </w:p>
    <w:p w14:paraId="6D0AD8EE" w14:textId="77777777" w:rsidR="008370EC" w:rsidRPr="00E73CB3" w:rsidRDefault="008370EC" w:rsidP="008370EC">
      <w:pPr>
        <w:spacing w:line="360" w:lineRule="auto"/>
        <w:jc w:val="both"/>
        <w:rPr>
          <w:lang w:val="en-US"/>
        </w:rPr>
      </w:pPr>
      <w:r w:rsidRPr="00E73CB3">
        <w:rPr>
          <w:lang w:val="en-US"/>
        </w:rPr>
        <w:t>Creating ReCircle transformed my perspective of sustainable marketing by encouraging environmental goodness to creating a business-appropriate value system. First, I considered waste materials as the primary benefit. The application of STDP and 7Ps helped me to learn that the values of Patagonia become only meaningful when the tent also provides lightweight performance, durability, repair access and easy take-back. The decision of pricing at £499 was tough as I had to strike a balance between premium equity and price sensitivity with customers and rival tents. My belief that positive environmental attitudes necessarily would become purchases was also disputed by research since sustainable consumption is a contextual and behavioural constraint (Syed et al., 2024). I thus came to know how to back up certifications with material certification, repair evidence and traceability. This is important as perceived greenwashing may lead to confusion and brand distrust and brand loyalty (Daou et al., 2025).</w:t>
      </w:r>
    </w:p>
    <w:p w14:paraId="54310F8E" w14:textId="7674C534" w:rsidR="008370EC" w:rsidRPr="008370EC" w:rsidRDefault="008370EC" w:rsidP="009F5C8C">
      <w:pPr>
        <w:pStyle w:val="Heading2"/>
        <w:rPr>
          <w:lang w:val="en-US"/>
        </w:rPr>
      </w:pPr>
      <w:bookmarkStart w:id="12" w:name="_Toc237180699"/>
      <w:r w:rsidRPr="008370EC">
        <w:rPr>
          <w:lang w:val="en-US"/>
        </w:rPr>
        <w:t xml:space="preserve">4.2 </w:t>
      </w:r>
      <w:r w:rsidR="00E73CB3" w:rsidRPr="00E73CB3">
        <w:rPr>
          <w:lang w:val="en-US"/>
        </w:rPr>
        <w:t>Preparing and Delivering the Poster Presentation</w:t>
      </w:r>
      <w:bookmarkEnd w:id="12"/>
    </w:p>
    <w:p w14:paraId="792EA668" w14:textId="77777777" w:rsidR="008370EC" w:rsidRPr="008370EC" w:rsidRDefault="008370EC" w:rsidP="008370EC">
      <w:pPr>
        <w:spacing w:line="360" w:lineRule="auto"/>
        <w:jc w:val="both"/>
        <w:rPr>
          <w:b/>
          <w:bCs/>
          <w:lang w:val="en-US"/>
        </w:rPr>
      </w:pPr>
      <w:r w:rsidRPr="008370EC">
        <w:rPr>
          <w:lang w:val="en-US"/>
        </w:rPr>
        <w:t>Working on the poster compelled me to separate the information that was related to decision-making and the information that was only interesting. Space scarcity implied summarizing segmentation and 7ps research in brief statements, chosen statistics and graphics. The positioning map was effective as it conveyed the premium, high-repairability position of ReCircle as compared to NEMO, MSR, Big Agnes, Vango and Decathlon in less time than prose. Arranging the poster based on STDP, positioning and marketing mix enabled the argument to be followed more easily. I had been the most effective during the delivery explaining the decisions like the price of 499 and replaceable parts. Nonetheless, timing pressure revealed that I should have less time to transition and more accurate responses in defending assumptions.</w:t>
      </w:r>
    </w:p>
    <w:p w14:paraId="0DB2CC3C" w14:textId="0992E8E5" w:rsidR="008370EC" w:rsidRPr="008370EC" w:rsidRDefault="008370EC" w:rsidP="009F5C8C">
      <w:pPr>
        <w:pStyle w:val="Heading2"/>
        <w:rPr>
          <w:lang w:val="en-US"/>
        </w:rPr>
      </w:pPr>
      <w:bookmarkStart w:id="13" w:name="_Toc237180700"/>
      <w:r w:rsidRPr="008370EC">
        <w:rPr>
          <w:lang w:val="en-US"/>
        </w:rPr>
        <w:t xml:space="preserve">4.3 </w:t>
      </w:r>
      <w:r w:rsidR="00E73CB3" w:rsidRPr="00E73CB3">
        <w:rPr>
          <w:lang w:val="en-US"/>
        </w:rPr>
        <w:t>Skills, Knowledge and Personal and Professional Development</w:t>
      </w:r>
      <w:bookmarkEnd w:id="13"/>
    </w:p>
    <w:p w14:paraId="1F51D55E" w14:textId="77777777" w:rsidR="008370EC" w:rsidRPr="008370EC" w:rsidRDefault="008370EC" w:rsidP="008370EC">
      <w:pPr>
        <w:spacing w:line="360" w:lineRule="auto"/>
        <w:jc w:val="both"/>
        <w:rPr>
          <w:lang w:val="en-US"/>
        </w:rPr>
      </w:pPr>
      <w:r w:rsidRPr="008370EC">
        <w:rPr>
          <w:lang w:val="en-US"/>
        </w:rPr>
        <w:t xml:space="preserve">The project enhanced my skills in determining whether evidence backs a marketing decision or merely providing citations. I also gained market-research, competitor-analysis and data-interpretation expertise through the evaluation of customer features, prices and circular-service propositions. The use of STDP and the 7Ps helped me improve my strategic thinking since every choice was to support the target and positioning. I was also more critical of the claims of the circular-economy, in particular </w:t>
      </w:r>
      <w:r w:rsidRPr="008370EC">
        <w:rPr>
          <w:lang w:val="en-US"/>
        </w:rPr>
        <w:lastRenderedPageBreak/>
        <w:t>the distinction between recyclable design and a system that can be repaired, returned and recovered. In academics, I have been able to develop in writing, reference and source assessment at Harvard. In professional terms, these capabilities are transferred to brand management, product marketing and sustainability positions where marketers need to transform evidence into justifiable recommendations and present them in a visual and verbal manner.</w:t>
      </w:r>
    </w:p>
    <w:p w14:paraId="21733A23" w14:textId="77777777" w:rsidR="008370EC" w:rsidRPr="008370EC" w:rsidRDefault="008370EC" w:rsidP="009F5C8C">
      <w:pPr>
        <w:pStyle w:val="Heading2"/>
        <w:rPr>
          <w:lang w:val="en-US"/>
        </w:rPr>
      </w:pPr>
      <w:bookmarkStart w:id="14" w:name="_Toc237180701"/>
      <w:r w:rsidRPr="008370EC">
        <w:rPr>
          <w:lang w:val="en-US"/>
        </w:rPr>
        <w:t>4.4 Future Skills and Improvement in Performance.</w:t>
      </w:r>
      <w:bookmarkEnd w:id="14"/>
    </w:p>
    <w:p w14:paraId="4DCBB997" w14:textId="5C8A1306" w:rsidR="0087077D" w:rsidRPr="008370EC" w:rsidRDefault="008370EC" w:rsidP="008370EC">
      <w:pPr>
        <w:spacing w:line="360" w:lineRule="auto"/>
        <w:jc w:val="both"/>
      </w:pPr>
      <w:r w:rsidRPr="008370EC">
        <w:rPr>
          <w:lang w:val="en-US"/>
        </w:rPr>
        <w:t>My initial step in primary research in a future project would be surveying the UK backpackers and interviewing the users to evaluate willingness to pay, expectations of repairing, and convenience of taking back. I would develop a competitor database of specifications, warranties, repair services and prices, model unit cost, margin and price sensitivity and then suggest the launch price. I would develop an evidence register which connects sustainability assertions to certification or evidence. In the case of the poster, I would delete the text of lower priority, experiment with the readability with colleagues and practice within the time constraint. I would prepare questions about pricing, feasibility, competitors and greenwashing and practice evidence-based answers.</w:t>
      </w:r>
      <w:r w:rsidR="0087077D" w:rsidRPr="008370EC">
        <w:br w:type="page"/>
      </w:r>
    </w:p>
    <w:p w14:paraId="4693BED2" w14:textId="79846560" w:rsidR="004474C3" w:rsidRDefault="0087077D" w:rsidP="00274FDD">
      <w:pPr>
        <w:pStyle w:val="Heading1"/>
      </w:pPr>
      <w:bookmarkStart w:id="15" w:name="_Toc237180702"/>
      <w:r>
        <w:lastRenderedPageBreak/>
        <w:t>References</w:t>
      </w:r>
      <w:bookmarkEnd w:id="15"/>
    </w:p>
    <w:p w14:paraId="6D76F6D7" w14:textId="77777777" w:rsidR="009F5C8C" w:rsidRPr="00BC03A7" w:rsidRDefault="009F5C8C" w:rsidP="00BC03A7">
      <w:pPr>
        <w:spacing w:line="360" w:lineRule="auto"/>
        <w:jc w:val="both"/>
        <w:rPr>
          <w:rFonts w:cs="Arial"/>
          <w:szCs w:val="24"/>
        </w:rPr>
      </w:pPr>
      <w:proofErr w:type="spellStart"/>
      <w:r w:rsidRPr="00BC03A7">
        <w:rPr>
          <w:rFonts w:cs="Arial"/>
          <w:szCs w:val="24"/>
        </w:rPr>
        <w:t>Apostolova</w:t>
      </w:r>
      <w:proofErr w:type="spellEnd"/>
      <w:r w:rsidRPr="00BC03A7">
        <w:rPr>
          <w:rFonts w:cs="Arial"/>
          <w:szCs w:val="24"/>
        </w:rPr>
        <w:t>, V., Simeone, L. and Laursen, L.N., 2025. Service Design for Repair Practices in the Circular Economy: A Systematic Review Approach. </w:t>
      </w:r>
      <w:r w:rsidRPr="00BC03A7">
        <w:rPr>
          <w:rFonts w:cs="Arial"/>
          <w:i/>
          <w:iCs/>
          <w:szCs w:val="24"/>
        </w:rPr>
        <w:t>World</w:t>
      </w:r>
      <w:r w:rsidRPr="00BC03A7">
        <w:rPr>
          <w:rFonts w:cs="Arial"/>
          <w:szCs w:val="24"/>
        </w:rPr>
        <w:t>, </w:t>
      </w:r>
      <w:r w:rsidRPr="00BC03A7">
        <w:rPr>
          <w:rFonts w:cs="Arial"/>
          <w:i/>
          <w:iCs/>
          <w:szCs w:val="24"/>
        </w:rPr>
        <w:t>6</w:t>
      </w:r>
      <w:r w:rsidRPr="00BC03A7">
        <w:rPr>
          <w:rFonts w:cs="Arial"/>
          <w:szCs w:val="24"/>
        </w:rPr>
        <w:t>(4), p.154.</w:t>
      </w:r>
    </w:p>
    <w:p w14:paraId="07E877AA" w14:textId="659DB22B" w:rsidR="009F5C8C" w:rsidRPr="00BC03A7" w:rsidRDefault="009F5C8C" w:rsidP="00BC03A7">
      <w:pPr>
        <w:spacing w:line="360" w:lineRule="auto"/>
        <w:jc w:val="both"/>
        <w:rPr>
          <w:rFonts w:cs="Arial"/>
          <w:szCs w:val="24"/>
          <w:lang w:val="en-US"/>
        </w:rPr>
      </w:pPr>
      <w:r w:rsidRPr="00BC03A7">
        <w:rPr>
          <w:rFonts w:cs="Arial"/>
          <w:szCs w:val="24"/>
          <w:lang w:val="en-US"/>
        </w:rPr>
        <w:t xml:space="preserve">ASA (2025). </w:t>
      </w:r>
      <w:r w:rsidRPr="00BC03A7">
        <w:rPr>
          <w:rFonts w:cs="Arial"/>
          <w:i/>
          <w:iCs/>
          <w:szCs w:val="24"/>
          <w:lang w:val="en-US"/>
        </w:rPr>
        <w:t>Environmental claims: General “green” claims</w:t>
      </w:r>
      <w:r w:rsidRPr="00BC03A7">
        <w:rPr>
          <w:rFonts w:cs="Arial"/>
          <w:szCs w:val="24"/>
          <w:lang w:val="en-US"/>
        </w:rPr>
        <w:t xml:space="preserve">. [online] </w:t>
      </w:r>
      <w:r w:rsidRPr="00BC03A7">
        <w:rPr>
          <w:rFonts w:cs="Arial"/>
          <w:i/>
          <w:iCs/>
          <w:szCs w:val="24"/>
          <w:lang w:val="en-US"/>
        </w:rPr>
        <w:t>www.asa.org.uk</w:t>
      </w:r>
      <w:r w:rsidRPr="00BC03A7">
        <w:rPr>
          <w:rFonts w:cs="Arial"/>
          <w:szCs w:val="24"/>
          <w:lang w:val="en-US"/>
        </w:rPr>
        <w:t>. Available at: https://www.asa.org.uk/advice-online/environmental-claims-general-green-claims.html [Accessed 4 Aug. 2026].</w:t>
      </w:r>
    </w:p>
    <w:p w14:paraId="7C437B69" w14:textId="0BD54CA5" w:rsidR="009F5C8C" w:rsidRPr="00BC03A7" w:rsidRDefault="009F5C8C" w:rsidP="00BC03A7">
      <w:pPr>
        <w:spacing w:line="360" w:lineRule="auto"/>
        <w:jc w:val="both"/>
        <w:rPr>
          <w:rFonts w:cs="Arial"/>
          <w:szCs w:val="24"/>
          <w:lang w:val="en-US"/>
        </w:rPr>
      </w:pPr>
      <w:r w:rsidRPr="00BC03A7">
        <w:rPr>
          <w:rFonts w:cs="Arial"/>
          <w:szCs w:val="24"/>
          <w:lang w:val="en-US"/>
        </w:rPr>
        <w:t xml:space="preserve">B Lab (2023). </w:t>
      </w:r>
      <w:r w:rsidRPr="00BC03A7">
        <w:rPr>
          <w:rFonts w:cs="Arial"/>
          <w:i/>
          <w:iCs/>
          <w:szCs w:val="24"/>
          <w:lang w:val="en-US"/>
        </w:rPr>
        <w:t>Patagonia works - certified B corporation - B lab global</w:t>
      </w:r>
      <w:r w:rsidRPr="00BC03A7">
        <w:rPr>
          <w:rFonts w:cs="Arial"/>
          <w:szCs w:val="24"/>
          <w:lang w:val="en-US"/>
        </w:rPr>
        <w:t xml:space="preserve">. [online] </w:t>
      </w:r>
      <w:r w:rsidRPr="00BC03A7">
        <w:rPr>
          <w:rFonts w:cs="Arial"/>
          <w:i/>
          <w:iCs/>
          <w:szCs w:val="24"/>
          <w:lang w:val="en-US"/>
        </w:rPr>
        <w:t>www.bcorporation.net</w:t>
      </w:r>
      <w:r w:rsidRPr="00BC03A7">
        <w:rPr>
          <w:rFonts w:cs="Arial"/>
          <w:szCs w:val="24"/>
          <w:lang w:val="en-US"/>
        </w:rPr>
        <w:t>. Available at: https://www.bcorporation.net/en-us/find-a-b-corp/company/patagonia-inc [Accessed 3 Aug. 2026].</w:t>
      </w:r>
    </w:p>
    <w:p w14:paraId="43E2765D" w14:textId="77777777" w:rsidR="009F5C8C" w:rsidRPr="00BC03A7" w:rsidRDefault="009F5C8C" w:rsidP="00BC03A7">
      <w:pPr>
        <w:spacing w:line="360" w:lineRule="auto"/>
        <w:jc w:val="both"/>
        <w:rPr>
          <w:rFonts w:cs="Arial"/>
          <w:szCs w:val="24"/>
          <w:lang w:val="en-US"/>
        </w:rPr>
      </w:pPr>
      <w:r w:rsidRPr="00BC03A7">
        <w:rPr>
          <w:rFonts w:cs="Arial"/>
          <w:szCs w:val="24"/>
          <w:lang w:val="en-US"/>
        </w:rPr>
        <w:t xml:space="preserve">Big Agnes (2024). </w:t>
      </w:r>
      <w:r w:rsidRPr="00BC03A7">
        <w:rPr>
          <w:rFonts w:cs="Arial"/>
          <w:i/>
          <w:iCs/>
          <w:szCs w:val="24"/>
          <w:lang w:val="en-US"/>
        </w:rPr>
        <w:t>Retiring used gear</w:t>
      </w:r>
      <w:r w:rsidRPr="00BC03A7">
        <w:rPr>
          <w:rFonts w:cs="Arial"/>
          <w:szCs w:val="24"/>
          <w:lang w:val="en-US"/>
        </w:rPr>
        <w:t>. [online] Big Agnes. Available at: https://www.bigagnes.com/blogs/support/retiring-your-gear [Accessed 6 Aug. 2026].</w:t>
      </w:r>
    </w:p>
    <w:p w14:paraId="61E39424" w14:textId="7DF0DA1C" w:rsidR="009F5C8C" w:rsidRPr="00BC03A7" w:rsidRDefault="009F5C8C" w:rsidP="00BC03A7">
      <w:pPr>
        <w:spacing w:line="360" w:lineRule="auto"/>
        <w:jc w:val="both"/>
        <w:rPr>
          <w:rFonts w:cs="Arial"/>
          <w:szCs w:val="24"/>
          <w:lang w:val="en-US"/>
        </w:rPr>
      </w:pPr>
      <w:r w:rsidRPr="00BC03A7">
        <w:rPr>
          <w:rFonts w:cs="Arial"/>
          <w:szCs w:val="24"/>
          <w:lang w:val="en-US"/>
        </w:rPr>
        <w:t xml:space="preserve">Big Agnes (2026). </w:t>
      </w:r>
      <w:r w:rsidRPr="00BC03A7">
        <w:rPr>
          <w:rFonts w:cs="Arial"/>
          <w:i/>
          <w:iCs/>
          <w:szCs w:val="24"/>
          <w:lang w:val="en-US"/>
        </w:rPr>
        <w:t>Copper spur UL2</w:t>
      </w:r>
      <w:r w:rsidRPr="00BC03A7">
        <w:rPr>
          <w:rFonts w:cs="Arial"/>
          <w:szCs w:val="24"/>
          <w:lang w:val="en-US"/>
        </w:rPr>
        <w:t>. [online] Big Agnes. Available at: https://www.bigagnes.com/products/copper-spur-ul-two [Accessed 1 Aug. 2026].</w:t>
      </w:r>
    </w:p>
    <w:p w14:paraId="72B7186B" w14:textId="77777777" w:rsidR="009F5C8C" w:rsidRPr="00BC03A7" w:rsidRDefault="009F5C8C" w:rsidP="00BC03A7">
      <w:pPr>
        <w:spacing w:line="360" w:lineRule="auto"/>
        <w:jc w:val="both"/>
        <w:rPr>
          <w:rFonts w:cs="Arial"/>
          <w:szCs w:val="24"/>
          <w:lang w:val="en-US"/>
        </w:rPr>
      </w:pPr>
      <w:r w:rsidRPr="00BC03A7">
        <w:rPr>
          <w:rFonts w:cs="Arial"/>
          <w:szCs w:val="24"/>
          <w:lang w:val="en-US"/>
        </w:rPr>
        <w:t xml:space="preserve">Damberg, S., Saari, U.A., Fritz, M., </w:t>
      </w:r>
      <w:proofErr w:type="spellStart"/>
      <w:r w:rsidRPr="00BC03A7">
        <w:rPr>
          <w:rFonts w:cs="Arial"/>
          <w:szCs w:val="24"/>
          <w:lang w:val="en-US"/>
        </w:rPr>
        <w:t>Dlugoborskyte</w:t>
      </w:r>
      <w:proofErr w:type="spellEnd"/>
      <w:r w:rsidRPr="00BC03A7">
        <w:rPr>
          <w:rFonts w:cs="Arial"/>
          <w:szCs w:val="24"/>
          <w:lang w:val="en-US"/>
        </w:rPr>
        <w:t xml:space="preserve">, V. and Božič, K. (2024). Consumers” purchase behavior of </w:t>
      </w:r>
      <w:proofErr w:type="gramStart"/>
      <w:r w:rsidRPr="00BC03A7">
        <w:rPr>
          <w:rFonts w:cs="Arial"/>
          <w:szCs w:val="24"/>
          <w:lang w:val="en-US"/>
        </w:rPr>
        <w:t>cradle to cradle</w:t>
      </w:r>
      <w:proofErr w:type="gramEnd"/>
      <w:r w:rsidRPr="00BC03A7">
        <w:rPr>
          <w:rFonts w:cs="Arial"/>
          <w:szCs w:val="24"/>
          <w:lang w:val="en-US"/>
        </w:rPr>
        <w:t xml:space="preserve"> certified® products—The role of trust and supply chain transparency. </w:t>
      </w:r>
      <w:r w:rsidRPr="00BC03A7">
        <w:rPr>
          <w:rFonts w:cs="Arial"/>
          <w:i/>
          <w:iCs/>
          <w:szCs w:val="24"/>
          <w:lang w:val="en-US"/>
        </w:rPr>
        <w:t>Business Strategy and the Environment</w:t>
      </w:r>
      <w:r w:rsidRPr="00BC03A7">
        <w:rPr>
          <w:rFonts w:cs="Arial"/>
          <w:szCs w:val="24"/>
          <w:lang w:val="en-US"/>
        </w:rPr>
        <w:t>, 33(8). doi:10.1002/bse.3919.</w:t>
      </w:r>
    </w:p>
    <w:p w14:paraId="7530BDEC" w14:textId="77777777" w:rsidR="009F5C8C" w:rsidRPr="00BC03A7" w:rsidRDefault="009F5C8C" w:rsidP="00BC03A7">
      <w:pPr>
        <w:spacing w:line="360" w:lineRule="auto"/>
        <w:jc w:val="both"/>
        <w:rPr>
          <w:rFonts w:cs="Arial"/>
          <w:szCs w:val="24"/>
          <w:lang w:val="en-US"/>
        </w:rPr>
      </w:pPr>
      <w:r w:rsidRPr="00BC03A7">
        <w:rPr>
          <w:rFonts w:cs="Arial"/>
          <w:szCs w:val="24"/>
          <w:lang w:val="en-US"/>
        </w:rPr>
        <w:t xml:space="preserve">Daou, L., Sayegh, E., Atallah, E., Maalouf, A. and Sarkis, N. (2025). Greenwashing as a barrier to sustainable marketing: Expectation disconfirmation, confusion, and brand–consumer relationships. </w:t>
      </w:r>
      <w:r w:rsidRPr="00BC03A7">
        <w:rPr>
          <w:rFonts w:cs="Arial"/>
          <w:i/>
          <w:iCs/>
          <w:szCs w:val="24"/>
          <w:lang w:val="en-US"/>
        </w:rPr>
        <w:t>Sustainability</w:t>
      </w:r>
      <w:r w:rsidRPr="00BC03A7">
        <w:rPr>
          <w:rFonts w:cs="Arial"/>
          <w:szCs w:val="24"/>
          <w:lang w:val="en-US"/>
        </w:rPr>
        <w:t>, [online] 17(22), p.9979. doi:10.3390/su17229979.</w:t>
      </w:r>
    </w:p>
    <w:p w14:paraId="69F30D14" w14:textId="77777777" w:rsidR="009F5C8C" w:rsidRPr="00BC03A7" w:rsidRDefault="009F5C8C" w:rsidP="00BC03A7">
      <w:pPr>
        <w:spacing w:line="360" w:lineRule="auto"/>
        <w:jc w:val="both"/>
        <w:rPr>
          <w:rFonts w:cs="Arial"/>
          <w:szCs w:val="24"/>
          <w:lang w:val="en-US"/>
        </w:rPr>
      </w:pPr>
      <w:r w:rsidRPr="00BC03A7">
        <w:rPr>
          <w:rFonts w:cs="Arial"/>
          <w:szCs w:val="24"/>
          <w:lang w:val="en-US"/>
        </w:rPr>
        <w:t xml:space="preserve">Ellis Brigham (2026). </w:t>
      </w:r>
      <w:r w:rsidRPr="00BC03A7">
        <w:rPr>
          <w:rFonts w:cs="Arial"/>
          <w:i/>
          <w:iCs/>
          <w:szCs w:val="24"/>
          <w:lang w:val="en-US"/>
        </w:rPr>
        <w:t>Ellis Brigham Manchester</w:t>
      </w:r>
      <w:r w:rsidRPr="00BC03A7">
        <w:rPr>
          <w:rFonts w:cs="Arial"/>
          <w:szCs w:val="24"/>
          <w:lang w:val="en-US"/>
        </w:rPr>
        <w:t xml:space="preserve">. [online] </w:t>
      </w:r>
      <w:proofErr w:type="spellStart"/>
      <w:r w:rsidRPr="00BC03A7">
        <w:rPr>
          <w:rFonts w:cs="Arial"/>
          <w:szCs w:val="24"/>
          <w:lang w:val="en-US"/>
        </w:rPr>
        <w:t>ellis_brigham</w:t>
      </w:r>
      <w:proofErr w:type="spellEnd"/>
      <w:r w:rsidRPr="00BC03A7">
        <w:rPr>
          <w:rFonts w:cs="Arial"/>
          <w:szCs w:val="24"/>
          <w:lang w:val="en-US"/>
        </w:rPr>
        <w:t>. Available at: https://www.ellis-brigham.com/stores/manchester [Accessed 6 Aug. 2026].</w:t>
      </w:r>
    </w:p>
    <w:p w14:paraId="2C49AC55" w14:textId="53D12B48" w:rsidR="009F5C8C" w:rsidRPr="00BC03A7" w:rsidRDefault="009F5C8C" w:rsidP="00BC03A7">
      <w:pPr>
        <w:spacing w:line="360" w:lineRule="auto"/>
        <w:jc w:val="both"/>
        <w:rPr>
          <w:rFonts w:cs="Arial"/>
          <w:szCs w:val="24"/>
          <w:lang w:val="en-US"/>
        </w:rPr>
      </w:pPr>
      <w:r w:rsidRPr="00BC03A7">
        <w:rPr>
          <w:rFonts w:cs="Arial"/>
          <w:szCs w:val="24"/>
          <w:lang w:val="en-US"/>
        </w:rPr>
        <w:t xml:space="preserve">EMS (2026). </w:t>
      </w:r>
      <w:r w:rsidRPr="00BC03A7">
        <w:rPr>
          <w:rFonts w:cs="Arial"/>
          <w:i/>
          <w:iCs/>
          <w:szCs w:val="24"/>
          <w:lang w:val="en-US"/>
        </w:rPr>
        <w:t xml:space="preserve">MSR Hubba </w:t>
      </w:r>
      <w:proofErr w:type="spellStart"/>
      <w:r w:rsidRPr="00BC03A7">
        <w:rPr>
          <w:rFonts w:cs="Arial"/>
          <w:i/>
          <w:iCs/>
          <w:szCs w:val="24"/>
          <w:lang w:val="en-US"/>
        </w:rPr>
        <w:t>Hubba</w:t>
      </w:r>
      <w:proofErr w:type="spellEnd"/>
      <w:r w:rsidRPr="00BC03A7">
        <w:rPr>
          <w:rFonts w:cs="Arial"/>
          <w:i/>
          <w:iCs/>
          <w:szCs w:val="24"/>
          <w:lang w:val="en-US"/>
        </w:rPr>
        <w:t xml:space="preserve"> LT 2-Person backpacking tent</w:t>
      </w:r>
      <w:r w:rsidRPr="00BC03A7">
        <w:rPr>
          <w:rFonts w:cs="Arial"/>
          <w:szCs w:val="24"/>
          <w:lang w:val="en-US"/>
        </w:rPr>
        <w:t>. [online] Elitemountainsupplies.co.uk. Available at: https://www.elitemountainsupplies.co.uk/camping-trekking-c4/tents-bivi-c15/msr-tents-c63/msr-hubba-hubba-lt-2-person-backpacking-tent-p1376ayh_access=OFRUIx4a3Qm28A1f [Accessed 2 Aug. 2026].</w:t>
      </w:r>
    </w:p>
    <w:p w14:paraId="2164FA38" w14:textId="45B8A506" w:rsidR="009F5C8C" w:rsidRPr="00BC03A7" w:rsidRDefault="009F5C8C" w:rsidP="00BC03A7">
      <w:pPr>
        <w:spacing w:line="360" w:lineRule="auto"/>
        <w:jc w:val="both"/>
        <w:rPr>
          <w:rFonts w:cs="Arial"/>
          <w:szCs w:val="24"/>
          <w:lang w:val="en-US"/>
        </w:rPr>
      </w:pPr>
      <w:r w:rsidRPr="00BC03A7">
        <w:rPr>
          <w:rFonts w:cs="Arial"/>
          <w:szCs w:val="24"/>
          <w:lang w:val="en-US"/>
        </w:rPr>
        <w:lastRenderedPageBreak/>
        <w:t xml:space="preserve">Fortune Business Insights. (2026). </w:t>
      </w:r>
      <w:r w:rsidRPr="00BC03A7">
        <w:rPr>
          <w:rFonts w:cs="Arial"/>
          <w:i/>
          <w:iCs/>
          <w:szCs w:val="24"/>
          <w:lang w:val="en-US"/>
        </w:rPr>
        <w:t>Camping and hiking equipment market size, share [2026-2034]</w:t>
      </w:r>
      <w:r w:rsidRPr="00BC03A7">
        <w:rPr>
          <w:rFonts w:cs="Arial"/>
          <w:szCs w:val="24"/>
          <w:lang w:val="en-US"/>
        </w:rPr>
        <w:t xml:space="preserve">. [online] </w:t>
      </w:r>
      <w:r w:rsidRPr="00BC03A7">
        <w:rPr>
          <w:rFonts w:cs="Arial"/>
          <w:i/>
          <w:iCs/>
          <w:szCs w:val="24"/>
          <w:lang w:val="en-US"/>
        </w:rPr>
        <w:t>Fortunebusinessinsights.com</w:t>
      </w:r>
      <w:r w:rsidRPr="00BC03A7">
        <w:rPr>
          <w:rFonts w:cs="Arial"/>
          <w:szCs w:val="24"/>
          <w:lang w:val="en-US"/>
        </w:rPr>
        <w:t>. Available at: https://www.fortunebusinessinsights.com/camping-and-hiking-equipment-market-115954 [Accessed 3 Aug. 2026].</w:t>
      </w:r>
    </w:p>
    <w:p w14:paraId="39DFF8CE" w14:textId="25BE2E53" w:rsidR="009F5C8C" w:rsidRPr="00BC03A7" w:rsidRDefault="009F5C8C" w:rsidP="00BC03A7">
      <w:pPr>
        <w:spacing w:line="360" w:lineRule="auto"/>
        <w:jc w:val="both"/>
        <w:rPr>
          <w:rFonts w:cs="Arial"/>
          <w:szCs w:val="24"/>
          <w:lang w:val="en-US"/>
        </w:rPr>
      </w:pPr>
      <w:r w:rsidRPr="00BC03A7">
        <w:rPr>
          <w:rFonts w:cs="Arial"/>
          <w:szCs w:val="24"/>
          <w:lang w:val="en-US"/>
        </w:rPr>
        <w:t xml:space="preserve">GOV.UK (2025). </w:t>
      </w:r>
      <w:r w:rsidRPr="00BC03A7">
        <w:rPr>
          <w:rFonts w:cs="Arial"/>
          <w:i/>
          <w:iCs/>
          <w:szCs w:val="24"/>
          <w:lang w:val="en-US"/>
        </w:rPr>
        <w:t>Adults” year 5 annual report (</w:t>
      </w:r>
      <w:proofErr w:type="spellStart"/>
      <w:r w:rsidRPr="00BC03A7">
        <w:rPr>
          <w:rFonts w:cs="Arial"/>
          <w:i/>
          <w:iCs/>
          <w:szCs w:val="24"/>
          <w:lang w:val="en-US"/>
        </w:rPr>
        <w:t>april</w:t>
      </w:r>
      <w:proofErr w:type="spellEnd"/>
      <w:r w:rsidRPr="00BC03A7">
        <w:rPr>
          <w:rFonts w:cs="Arial"/>
          <w:i/>
          <w:iCs/>
          <w:szCs w:val="24"/>
          <w:lang w:val="en-US"/>
        </w:rPr>
        <w:t xml:space="preserve"> 2024 - march 2025)</w:t>
      </w:r>
      <w:r w:rsidRPr="00BC03A7">
        <w:rPr>
          <w:rFonts w:cs="Arial"/>
          <w:szCs w:val="24"/>
          <w:lang w:val="en-US"/>
        </w:rPr>
        <w:t xml:space="preserve">. [online] </w:t>
      </w:r>
      <w:r w:rsidRPr="00BC03A7">
        <w:rPr>
          <w:rFonts w:cs="Arial"/>
          <w:i/>
          <w:iCs/>
          <w:szCs w:val="24"/>
          <w:lang w:val="en-US"/>
        </w:rPr>
        <w:t>GOV.UK</w:t>
      </w:r>
      <w:r w:rsidRPr="00BC03A7">
        <w:rPr>
          <w:rFonts w:cs="Arial"/>
          <w:szCs w:val="24"/>
          <w:lang w:val="en-US"/>
        </w:rPr>
        <w:t>. Available at: https://www.gov.uk/government/statistics/the-people-and-nature-surveys-for-england-adults-data-y5q4-january-2025-march-2025/adults-year-5-annual-report-april-2024-march-2025 [Accessed 2 Aug. 2026].</w:t>
      </w:r>
    </w:p>
    <w:p w14:paraId="6058D518" w14:textId="77777777" w:rsidR="009F5C8C" w:rsidRPr="00BC03A7" w:rsidRDefault="009F5C8C" w:rsidP="00BC03A7">
      <w:pPr>
        <w:spacing w:line="360" w:lineRule="auto"/>
        <w:jc w:val="both"/>
        <w:rPr>
          <w:rFonts w:cs="Arial"/>
          <w:szCs w:val="24"/>
          <w:lang w:val="en-US"/>
        </w:rPr>
      </w:pPr>
      <w:proofErr w:type="spellStart"/>
      <w:r w:rsidRPr="00BC03A7">
        <w:rPr>
          <w:rFonts w:cs="Arial"/>
          <w:szCs w:val="24"/>
          <w:lang w:val="en-US"/>
        </w:rPr>
        <w:t>Güsser-Fachbach</w:t>
      </w:r>
      <w:proofErr w:type="spellEnd"/>
      <w:r w:rsidRPr="00BC03A7">
        <w:rPr>
          <w:rFonts w:cs="Arial"/>
          <w:szCs w:val="24"/>
          <w:lang w:val="en-US"/>
        </w:rPr>
        <w:t xml:space="preserve">, I., Lechner, G., Ramos, T.B. and Reimann, M. (2023). Repair service convenience in a circular economy: The perspective of customers and repair companies. </w:t>
      </w:r>
      <w:r w:rsidRPr="00BC03A7">
        <w:rPr>
          <w:rFonts w:cs="Arial"/>
          <w:i/>
          <w:iCs/>
          <w:szCs w:val="24"/>
          <w:lang w:val="en-US"/>
        </w:rPr>
        <w:t>Journal of Cleaner Production</w:t>
      </w:r>
      <w:r w:rsidRPr="00BC03A7">
        <w:rPr>
          <w:rFonts w:cs="Arial"/>
          <w:szCs w:val="24"/>
          <w:lang w:val="en-US"/>
        </w:rPr>
        <w:t xml:space="preserve">, [online] 415, p.137763. </w:t>
      </w:r>
      <w:proofErr w:type="gramStart"/>
      <w:r w:rsidRPr="00BC03A7">
        <w:rPr>
          <w:rFonts w:cs="Arial"/>
          <w:szCs w:val="24"/>
          <w:lang w:val="en-US"/>
        </w:rPr>
        <w:t>doi:10.1016/j.jclepro</w:t>
      </w:r>
      <w:proofErr w:type="gramEnd"/>
      <w:r w:rsidRPr="00BC03A7">
        <w:rPr>
          <w:rFonts w:cs="Arial"/>
          <w:szCs w:val="24"/>
          <w:lang w:val="en-US"/>
        </w:rPr>
        <w:t>.2023.137763.</w:t>
      </w:r>
    </w:p>
    <w:p w14:paraId="4AF3E6E4" w14:textId="0DF9C20C" w:rsidR="009F5C8C" w:rsidRPr="00BC03A7" w:rsidRDefault="009F5C8C" w:rsidP="00BC03A7">
      <w:pPr>
        <w:spacing w:line="360" w:lineRule="auto"/>
        <w:jc w:val="both"/>
        <w:rPr>
          <w:rFonts w:cs="Arial"/>
          <w:szCs w:val="24"/>
          <w:lang w:val="en-US"/>
        </w:rPr>
      </w:pPr>
      <w:r w:rsidRPr="00BC03A7">
        <w:rPr>
          <w:rFonts w:cs="Arial"/>
          <w:szCs w:val="24"/>
          <w:lang w:val="en-US"/>
        </w:rPr>
        <w:t xml:space="preserve">MSR (2026). </w:t>
      </w:r>
      <w:r w:rsidRPr="00BC03A7">
        <w:rPr>
          <w:rFonts w:cs="Arial"/>
          <w:i/>
          <w:iCs/>
          <w:szCs w:val="24"/>
          <w:lang w:val="en-US"/>
        </w:rPr>
        <w:t xml:space="preserve">Hubba </w:t>
      </w:r>
      <w:proofErr w:type="spellStart"/>
      <w:r w:rsidRPr="00BC03A7">
        <w:rPr>
          <w:rFonts w:cs="Arial"/>
          <w:i/>
          <w:iCs/>
          <w:szCs w:val="24"/>
          <w:lang w:val="en-US"/>
        </w:rPr>
        <w:t>Hubba</w:t>
      </w:r>
      <w:proofErr w:type="spellEnd"/>
      <w:r w:rsidRPr="00BC03A7">
        <w:rPr>
          <w:rFonts w:cs="Arial"/>
          <w:i/>
          <w:iCs/>
          <w:szCs w:val="24"/>
          <w:lang w:val="en-US"/>
        </w:rPr>
        <w:t xml:space="preserve"> LT 2 tent | 2-Person backpacking tent | MSR</w:t>
      </w:r>
      <w:r w:rsidRPr="00BC03A7">
        <w:rPr>
          <w:rFonts w:cs="Arial"/>
          <w:szCs w:val="24"/>
          <w:lang w:val="en-US"/>
        </w:rPr>
        <w:t xml:space="preserve">. [online] </w:t>
      </w:r>
      <w:r w:rsidRPr="00BC03A7">
        <w:rPr>
          <w:rFonts w:cs="Arial"/>
          <w:i/>
          <w:iCs/>
          <w:szCs w:val="24"/>
          <w:lang w:val="en-US"/>
        </w:rPr>
        <w:t>Cascade Designs</w:t>
      </w:r>
      <w:r w:rsidRPr="00BC03A7">
        <w:rPr>
          <w:rFonts w:cs="Arial"/>
          <w:szCs w:val="24"/>
          <w:lang w:val="en-US"/>
        </w:rPr>
        <w:t>. Available at: https://cascadedesigns.com/products/hubba-hubba-lt-2-person-tent [Accessed 3 Aug. 2026].</w:t>
      </w:r>
    </w:p>
    <w:p w14:paraId="09ED8542" w14:textId="77777777" w:rsidR="009F5C8C" w:rsidRPr="00BC03A7" w:rsidRDefault="009F5C8C" w:rsidP="00BC03A7">
      <w:pPr>
        <w:spacing w:line="360" w:lineRule="auto"/>
        <w:jc w:val="both"/>
        <w:rPr>
          <w:rFonts w:cs="Arial"/>
          <w:szCs w:val="24"/>
          <w:lang w:val="en-US"/>
        </w:rPr>
      </w:pPr>
      <w:r w:rsidRPr="00BC03A7">
        <w:rPr>
          <w:rFonts w:cs="Arial"/>
          <w:szCs w:val="24"/>
          <w:lang w:val="en-US"/>
        </w:rPr>
        <w:t xml:space="preserve">Munro, P., Kapitan, S. and </w:t>
      </w:r>
      <w:proofErr w:type="spellStart"/>
      <w:r w:rsidRPr="00BC03A7">
        <w:rPr>
          <w:rFonts w:cs="Arial"/>
          <w:szCs w:val="24"/>
          <w:lang w:val="en-US"/>
        </w:rPr>
        <w:t>Wooliscroft</w:t>
      </w:r>
      <w:proofErr w:type="spellEnd"/>
      <w:r w:rsidRPr="00BC03A7">
        <w:rPr>
          <w:rFonts w:cs="Arial"/>
          <w:szCs w:val="24"/>
          <w:lang w:val="en-US"/>
        </w:rPr>
        <w:t xml:space="preserve">, B. (2023). The sustainable attitude-behavior gap dynamic when shopping at the supermarket: A systematic literature review and framework for future research. </w:t>
      </w:r>
      <w:r w:rsidRPr="00BC03A7">
        <w:rPr>
          <w:rFonts w:cs="Arial"/>
          <w:i/>
          <w:iCs/>
          <w:szCs w:val="24"/>
          <w:lang w:val="en-US"/>
        </w:rPr>
        <w:t>Journal of Cleaner Production</w:t>
      </w:r>
      <w:r w:rsidRPr="00BC03A7">
        <w:rPr>
          <w:rFonts w:cs="Arial"/>
          <w:szCs w:val="24"/>
          <w:lang w:val="en-US"/>
        </w:rPr>
        <w:t xml:space="preserve">, [online] 426, p.138740. </w:t>
      </w:r>
      <w:proofErr w:type="gramStart"/>
      <w:r w:rsidRPr="00BC03A7">
        <w:rPr>
          <w:rFonts w:cs="Arial"/>
          <w:szCs w:val="24"/>
          <w:lang w:val="en-US"/>
        </w:rPr>
        <w:t>doi:10.1016/j.jclepro</w:t>
      </w:r>
      <w:proofErr w:type="gramEnd"/>
      <w:r w:rsidRPr="00BC03A7">
        <w:rPr>
          <w:rFonts w:cs="Arial"/>
          <w:szCs w:val="24"/>
          <w:lang w:val="en-US"/>
        </w:rPr>
        <w:t>.2023.138740.</w:t>
      </w:r>
    </w:p>
    <w:p w14:paraId="781DF2F0" w14:textId="77777777" w:rsidR="009F5C8C" w:rsidRPr="00BC03A7" w:rsidRDefault="009F5C8C" w:rsidP="00BC03A7">
      <w:pPr>
        <w:spacing w:line="360" w:lineRule="auto"/>
        <w:jc w:val="both"/>
        <w:rPr>
          <w:rFonts w:cs="Arial"/>
          <w:szCs w:val="24"/>
          <w:lang w:val="en-US"/>
        </w:rPr>
      </w:pPr>
      <w:r w:rsidRPr="00BC03A7">
        <w:rPr>
          <w:rFonts w:cs="Arial"/>
          <w:szCs w:val="24"/>
          <w:lang w:val="en-US"/>
        </w:rPr>
        <w:t xml:space="preserve">Nemo (2024). </w:t>
      </w:r>
      <w:r w:rsidRPr="00BC03A7">
        <w:rPr>
          <w:rFonts w:cs="Arial"/>
          <w:i/>
          <w:iCs/>
          <w:szCs w:val="24"/>
          <w:lang w:val="en-US"/>
        </w:rPr>
        <w:t>Sustainability</w:t>
      </w:r>
      <w:r w:rsidRPr="00BC03A7">
        <w:rPr>
          <w:rFonts w:cs="Arial"/>
          <w:szCs w:val="24"/>
          <w:lang w:val="en-US"/>
        </w:rPr>
        <w:t xml:space="preserve">. [online] </w:t>
      </w:r>
      <w:r w:rsidRPr="00BC03A7">
        <w:rPr>
          <w:rFonts w:cs="Arial"/>
          <w:i/>
          <w:iCs/>
          <w:szCs w:val="24"/>
          <w:lang w:val="en-US"/>
        </w:rPr>
        <w:t>Nemoequipment.com</w:t>
      </w:r>
      <w:r w:rsidRPr="00BC03A7">
        <w:rPr>
          <w:rFonts w:cs="Arial"/>
          <w:szCs w:val="24"/>
          <w:lang w:val="en-US"/>
        </w:rPr>
        <w:t>. Available at: https://www.nemoequipment.com/pages/sustainability [Accessed 6 Aug. 2026].</w:t>
      </w:r>
    </w:p>
    <w:p w14:paraId="2FFDE9B5" w14:textId="77777777" w:rsidR="009F5C8C" w:rsidRPr="00BC03A7" w:rsidRDefault="009F5C8C" w:rsidP="00BC03A7">
      <w:pPr>
        <w:spacing w:line="360" w:lineRule="auto"/>
        <w:jc w:val="both"/>
        <w:rPr>
          <w:rFonts w:cs="Arial"/>
          <w:szCs w:val="24"/>
          <w:lang w:val="en-US"/>
        </w:rPr>
      </w:pPr>
      <w:r w:rsidRPr="00BC03A7">
        <w:rPr>
          <w:rFonts w:cs="Arial"/>
          <w:szCs w:val="24"/>
          <w:lang w:val="en-US"/>
        </w:rPr>
        <w:t xml:space="preserve">Nemo (2025). </w:t>
      </w:r>
      <w:r w:rsidRPr="00BC03A7">
        <w:rPr>
          <w:rFonts w:cs="Arial"/>
          <w:i/>
          <w:iCs/>
          <w:szCs w:val="24"/>
          <w:lang w:val="en-US"/>
        </w:rPr>
        <w:t>OSMO</w:t>
      </w:r>
      <w:r w:rsidRPr="00BC03A7">
        <w:rPr>
          <w:rFonts w:cs="Arial"/>
          <w:i/>
          <w:iCs/>
          <w:szCs w:val="24"/>
          <w:vertAlign w:val="superscript"/>
          <w:lang w:val="en-US"/>
        </w:rPr>
        <w:t>TM</w:t>
      </w:r>
      <w:r w:rsidRPr="00BC03A7">
        <w:rPr>
          <w:rFonts w:cs="Arial"/>
          <w:i/>
          <w:iCs/>
          <w:szCs w:val="24"/>
          <w:lang w:val="en-US"/>
        </w:rPr>
        <w:t xml:space="preserve"> fabric technology</w:t>
      </w:r>
      <w:r w:rsidRPr="00BC03A7">
        <w:rPr>
          <w:rFonts w:cs="Arial"/>
          <w:szCs w:val="24"/>
          <w:lang w:val="en-US"/>
        </w:rPr>
        <w:t xml:space="preserve">. [online] </w:t>
      </w:r>
      <w:r w:rsidRPr="00BC03A7">
        <w:rPr>
          <w:rFonts w:cs="Arial"/>
          <w:i/>
          <w:iCs/>
          <w:szCs w:val="24"/>
          <w:lang w:val="en-US"/>
        </w:rPr>
        <w:t>Nemoequipment.com</w:t>
      </w:r>
      <w:r w:rsidRPr="00BC03A7">
        <w:rPr>
          <w:rFonts w:cs="Arial"/>
          <w:szCs w:val="24"/>
          <w:lang w:val="en-US"/>
        </w:rPr>
        <w:t>. Available at: https://www.nemoequipment.com/pages/osmo-fabric-technology [Accessed 6 Aug. 2026].</w:t>
      </w:r>
    </w:p>
    <w:p w14:paraId="3AFB9CCC" w14:textId="77777777" w:rsidR="009F5C8C" w:rsidRPr="00BC03A7" w:rsidRDefault="009F5C8C" w:rsidP="00BC03A7">
      <w:pPr>
        <w:spacing w:line="360" w:lineRule="auto"/>
        <w:jc w:val="both"/>
        <w:rPr>
          <w:rFonts w:cs="Arial"/>
          <w:szCs w:val="24"/>
          <w:lang w:val="en-US"/>
        </w:rPr>
      </w:pPr>
      <w:r w:rsidRPr="00BC03A7">
        <w:rPr>
          <w:rFonts w:cs="Arial"/>
          <w:szCs w:val="24"/>
          <w:lang w:val="en-US"/>
        </w:rPr>
        <w:t xml:space="preserve">Nemo (2026). </w:t>
      </w:r>
      <w:r w:rsidRPr="00BC03A7">
        <w:rPr>
          <w:rFonts w:cs="Arial"/>
          <w:i/>
          <w:iCs/>
          <w:szCs w:val="24"/>
          <w:lang w:val="en-US"/>
        </w:rPr>
        <w:t>Hornet OSMO 2p tent</w:t>
      </w:r>
      <w:r w:rsidRPr="00BC03A7">
        <w:rPr>
          <w:rFonts w:cs="Arial"/>
          <w:szCs w:val="24"/>
          <w:lang w:val="en-US"/>
        </w:rPr>
        <w:t>. [online] Ultralight Outdoor Gear. Available at: https://ultralightoutdoorgear.co.uk/nemo-hornet-osmo-2p-tent [Accessed 6 Aug. 2026].</w:t>
      </w:r>
    </w:p>
    <w:p w14:paraId="61BB01FE" w14:textId="77777777" w:rsidR="009F5C8C" w:rsidRPr="00BC03A7" w:rsidRDefault="009F5C8C" w:rsidP="00BC03A7">
      <w:pPr>
        <w:spacing w:line="360" w:lineRule="auto"/>
        <w:jc w:val="both"/>
        <w:rPr>
          <w:rFonts w:cs="Arial"/>
          <w:szCs w:val="24"/>
          <w:lang w:val="en-US"/>
        </w:rPr>
      </w:pPr>
      <w:r w:rsidRPr="00BC03A7">
        <w:rPr>
          <w:rFonts w:cs="Arial"/>
          <w:szCs w:val="24"/>
          <w:lang w:val="en-US"/>
        </w:rPr>
        <w:t xml:space="preserve">NEMO (2026). </w:t>
      </w:r>
      <w:r w:rsidRPr="00BC03A7">
        <w:rPr>
          <w:rFonts w:cs="Arial"/>
          <w:i/>
          <w:iCs/>
          <w:szCs w:val="24"/>
          <w:lang w:val="en-US"/>
        </w:rPr>
        <w:t>Repairs</w:t>
      </w:r>
      <w:r w:rsidRPr="00BC03A7">
        <w:rPr>
          <w:rFonts w:cs="Arial"/>
          <w:szCs w:val="24"/>
          <w:lang w:val="en-US"/>
        </w:rPr>
        <w:t>. [online] Nemoequipment.com. Available at: https://www.nemoequipment.com/pages/repairs [Accessed 6 Aug. 2026].</w:t>
      </w:r>
    </w:p>
    <w:p w14:paraId="5E485CD7" w14:textId="77777777" w:rsidR="009F5C8C" w:rsidRPr="00BC03A7" w:rsidRDefault="009F5C8C" w:rsidP="00BC03A7">
      <w:pPr>
        <w:spacing w:line="360" w:lineRule="auto"/>
        <w:jc w:val="both"/>
        <w:rPr>
          <w:rFonts w:cs="Arial"/>
          <w:szCs w:val="24"/>
          <w:lang w:val="en-US"/>
        </w:rPr>
      </w:pPr>
      <w:r w:rsidRPr="00BC03A7">
        <w:rPr>
          <w:rFonts w:cs="Arial"/>
          <w:szCs w:val="24"/>
          <w:lang w:val="en-US"/>
        </w:rPr>
        <w:lastRenderedPageBreak/>
        <w:t xml:space="preserve">ONS (2025). </w:t>
      </w:r>
      <w:r w:rsidRPr="00BC03A7">
        <w:rPr>
          <w:rFonts w:cs="Arial"/>
          <w:i/>
          <w:iCs/>
          <w:szCs w:val="24"/>
          <w:lang w:val="en-US"/>
        </w:rPr>
        <w:t>Public opinions and social trends, Great Britain</w:t>
      </w:r>
      <w:r w:rsidRPr="00BC03A7">
        <w:rPr>
          <w:rFonts w:cs="Arial"/>
          <w:szCs w:val="24"/>
          <w:lang w:val="en-US"/>
        </w:rPr>
        <w:t xml:space="preserve">. [online] </w:t>
      </w:r>
      <w:r w:rsidRPr="00BC03A7">
        <w:rPr>
          <w:rFonts w:cs="Arial"/>
          <w:i/>
          <w:iCs/>
          <w:szCs w:val="24"/>
          <w:lang w:val="en-US"/>
        </w:rPr>
        <w:t>Ons.gov.uk</w:t>
      </w:r>
      <w:r w:rsidRPr="00BC03A7">
        <w:rPr>
          <w:rFonts w:cs="Arial"/>
          <w:szCs w:val="24"/>
          <w:lang w:val="en-US"/>
        </w:rPr>
        <w:t>. Office for National Statistics. Available at: https://www.ons.gov.uk/peoplepopulationandcommunity/wellbeing/bulletins/publicopinionsandsocialtrendsgreatbritain/may2025 [Accessed 6 Aug. 2026].</w:t>
      </w:r>
    </w:p>
    <w:p w14:paraId="191E8FB5" w14:textId="77777777" w:rsidR="009F5C8C" w:rsidRPr="00BC03A7" w:rsidRDefault="009F5C8C" w:rsidP="00BC03A7">
      <w:pPr>
        <w:spacing w:line="360" w:lineRule="auto"/>
        <w:jc w:val="both"/>
        <w:rPr>
          <w:rFonts w:cs="Arial"/>
          <w:szCs w:val="24"/>
          <w:lang w:val="en-US"/>
        </w:rPr>
      </w:pPr>
      <w:r w:rsidRPr="00BC03A7">
        <w:rPr>
          <w:rFonts w:cs="Arial"/>
          <w:szCs w:val="24"/>
          <w:lang w:val="en-US"/>
        </w:rPr>
        <w:t xml:space="preserve">Patagonia (2023). </w:t>
      </w:r>
      <w:r w:rsidRPr="00BC03A7">
        <w:rPr>
          <w:rFonts w:cs="Arial"/>
          <w:i/>
          <w:iCs/>
          <w:szCs w:val="24"/>
          <w:lang w:val="en-US"/>
        </w:rPr>
        <w:t>How we fund - Patagonia</w:t>
      </w:r>
      <w:r w:rsidRPr="00BC03A7">
        <w:rPr>
          <w:rFonts w:cs="Arial"/>
          <w:szCs w:val="24"/>
          <w:lang w:val="en-US"/>
        </w:rPr>
        <w:t xml:space="preserve">. [online] </w:t>
      </w:r>
      <w:r w:rsidRPr="00BC03A7">
        <w:rPr>
          <w:rFonts w:cs="Arial"/>
          <w:i/>
          <w:iCs/>
          <w:szCs w:val="24"/>
          <w:lang w:val="en-US"/>
        </w:rPr>
        <w:t>eu.patagonia.com</w:t>
      </w:r>
      <w:r w:rsidRPr="00BC03A7">
        <w:rPr>
          <w:rFonts w:cs="Arial"/>
          <w:szCs w:val="24"/>
          <w:lang w:val="en-US"/>
        </w:rPr>
        <w:t>. Available at: https://eu.patagonia.com/gb/en/how-we-fund/ [Accessed 6 Aug. 2026].</w:t>
      </w:r>
    </w:p>
    <w:p w14:paraId="447BBFF0" w14:textId="77777777" w:rsidR="009F5C8C" w:rsidRPr="00BC03A7" w:rsidRDefault="009F5C8C" w:rsidP="00BC03A7">
      <w:pPr>
        <w:spacing w:line="360" w:lineRule="auto"/>
        <w:jc w:val="both"/>
        <w:rPr>
          <w:rFonts w:cs="Arial"/>
          <w:szCs w:val="24"/>
          <w:lang w:val="en-US"/>
        </w:rPr>
      </w:pPr>
      <w:r w:rsidRPr="00BC03A7">
        <w:rPr>
          <w:rFonts w:cs="Arial"/>
          <w:szCs w:val="24"/>
          <w:lang w:val="en-US"/>
        </w:rPr>
        <w:t xml:space="preserve">Patagonia (2025a). </w:t>
      </w:r>
      <w:r w:rsidRPr="00BC03A7">
        <w:rPr>
          <w:rFonts w:cs="Arial"/>
          <w:i/>
          <w:iCs/>
          <w:szCs w:val="24"/>
          <w:lang w:val="en-US"/>
        </w:rPr>
        <w:t>Patagonia store locator: Find a Patagonia store near you</w:t>
      </w:r>
      <w:r w:rsidRPr="00BC03A7">
        <w:rPr>
          <w:rFonts w:cs="Arial"/>
          <w:szCs w:val="24"/>
          <w:lang w:val="en-US"/>
        </w:rPr>
        <w:t xml:space="preserve">. [online] </w:t>
      </w:r>
      <w:r w:rsidRPr="00BC03A7">
        <w:rPr>
          <w:rFonts w:cs="Arial"/>
          <w:i/>
          <w:iCs/>
          <w:szCs w:val="24"/>
          <w:lang w:val="en-US"/>
        </w:rPr>
        <w:t>eu.patagonia.com</w:t>
      </w:r>
      <w:r w:rsidRPr="00BC03A7">
        <w:rPr>
          <w:rFonts w:cs="Arial"/>
          <w:szCs w:val="24"/>
          <w:lang w:val="en-US"/>
        </w:rPr>
        <w:t>. Available at: https://eu.patagonia.com/gb/en/store-locator/ [Accessed 6 Aug. 2026].</w:t>
      </w:r>
    </w:p>
    <w:p w14:paraId="5A7F21F8" w14:textId="77777777" w:rsidR="009F5C8C" w:rsidRPr="00BC03A7" w:rsidRDefault="009F5C8C" w:rsidP="00BC03A7">
      <w:pPr>
        <w:spacing w:line="360" w:lineRule="auto"/>
        <w:jc w:val="both"/>
        <w:rPr>
          <w:rFonts w:cs="Arial"/>
          <w:szCs w:val="24"/>
          <w:lang w:val="en-US"/>
        </w:rPr>
      </w:pPr>
      <w:r w:rsidRPr="00BC03A7">
        <w:rPr>
          <w:rFonts w:cs="Arial"/>
          <w:szCs w:val="24"/>
          <w:lang w:val="en-US"/>
        </w:rPr>
        <w:t xml:space="preserve">Patagonia (2025b). </w:t>
      </w:r>
      <w:r w:rsidRPr="00BC03A7">
        <w:rPr>
          <w:rFonts w:cs="Arial"/>
          <w:i/>
          <w:iCs/>
          <w:szCs w:val="24"/>
          <w:lang w:val="en-US"/>
        </w:rPr>
        <w:t>Repairs</w:t>
      </w:r>
      <w:r w:rsidRPr="00BC03A7">
        <w:rPr>
          <w:rFonts w:cs="Arial"/>
          <w:szCs w:val="24"/>
          <w:lang w:val="en-US"/>
        </w:rPr>
        <w:t xml:space="preserve">. [online] </w:t>
      </w:r>
      <w:r w:rsidRPr="00BC03A7">
        <w:rPr>
          <w:rFonts w:cs="Arial"/>
          <w:i/>
          <w:iCs/>
          <w:szCs w:val="24"/>
          <w:lang w:val="en-US"/>
        </w:rPr>
        <w:t>Patagonia Worn Wear</w:t>
      </w:r>
      <w:r w:rsidRPr="00BC03A7">
        <w:rPr>
          <w:rFonts w:cs="Arial"/>
          <w:szCs w:val="24"/>
          <w:lang w:val="en-US"/>
        </w:rPr>
        <w:t>. Available at: https://wornwear.patagonia.com/pages/repairs [Accessed 6 Aug. 2026].</w:t>
      </w:r>
    </w:p>
    <w:p w14:paraId="5A470162" w14:textId="77777777" w:rsidR="009F5C8C" w:rsidRPr="00BC03A7" w:rsidRDefault="009F5C8C" w:rsidP="00BC03A7">
      <w:pPr>
        <w:spacing w:line="360" w:lineRule="auto"/>
        <w:jc w:val="both"/>
        <w:rPr>
          <w:rFonts w:cs="Arial"/>
          <w:szCs w:val="24"/>
          <w:lang w:val="en-US"/>
        </w:rPr>
      </w:pPr>
      <w:r w:rsidRPr="00BC03A7">
        <w:rPr>
          <w:rFonts w:cs="Arial"/>
          <w:szCs w:val="24"/>
          <w:lang w:val="en-US"/>
        </w:rPr>
        <w:t xml:space="preserve">Patagonia (2026). </w:t>
      </w:r>
      <w:r w:rsidRPr="00BC03A7">
        <w:rPr>
          <w:rFonts w:cs="Arial"/>
          <w:i/>
          <w:iCs/>
          <w:szCs w:val="24"/>
          <w:lang w:val="en-US"/>
        </w:rPr>
        <w:t>Patagonia clothing, equipment &amp; accessories</w:t>
      </w:r>
      <w:r w:rsidRPr="00BC03A7">
        <w:rPr>
          <w:rFonts w:cs="Arial"/>
          <w:szCs w:val="24"/>
          <w:lang w:val="en-US"/>
        </w:rPr>
        <w:t xml:space="preserve">. [online] </w:t>
      </w:r>
      <w:proofErr w:type="spellStart"/>
      <w:r w:rsidRPr="00BC03A7">
        <w:rPr>
          <w:rFonts w:cs="Arial"/>
          <w:szCs w:val="24"/>
          <w:lang w:val="en-US"/>
        </w:rPr>
        <w:t>ellis_brigham</w:t>
      </w:r>
      <w:proofErr w:type="spellEnd"/>
      <w:r w:rsidRPr="00BC03A7">
        <w:rPr>
          <w:rFonts w:cs="Arial"/>
          <w:szCs w:val="24"/>
          <w:lang w:val="en-US"/>
        </w:rPr>
        <w:t>. Available at: https://www.ellis-brigham.com/brands/patagonia [Accessed 6 Aug. 2026].</w:t>
      </w:r>
    </w:p>
    <w:p w14:paraId="710CE1B8" w14:textId="77777777" w:rsidR="009F5C8C" w:rsidRPr="00BC03A7" w:rsidRDefault="009F5C8C" w:rsidP="00BC03A7">
      <w:pPr>
        <w:spacing w:line="360" w:lineRule="auto"/>
        <w:jc w:val="both"/>
        <w:rPr>
          <w:rFonts w:cs="Arial"/>
          <w:szCs w:val="24"/>
          <w:lang w:val="en-US"/>
        </w:rPr>
      </w:pPr>
      <w:r w:rsidRPr="00BC03A7">
        <w:rPr>
          <w:rFonts w:cs="Arial"/>
          <w:szCs w:val="24"/>
          <w:lang w:val="en-US"/>
        </w:rPr>
        <w:t xml:space="preserve">Purwati, A. and Ariyani, N. (2025). Integrated Marketing Communication in building brand equity in the Social Media Era. </w:t>
      </w:r>
      <w:proofErr w:type="spellStart"/>
      <w:r w:rsidRPr="00BC03A7">
        <w:rPr>
          <w:rFonts w:cs="Arial"/>
          <w:i/>
          <w:iCs/>
          <w:szCs w:val="24"/>
          <w:lang w:val="en-US"/>
        </w:rPr>
        <w:t>Ilomata</w:t>
      </w:r>
      <w:proofErr w:type="spellEnd"/>
      <w:r w:rsidRPr="00BC03A7">
        <w:rPr>
          <w:rFonts w:cs="Arial"/>
          <w:i/>
          <w:iCs/>
          <w:szCs w:val="24"/>
          <w:lang w:val="en-US"/>
        </w:rPr>
        <w:t xml:space="preserve"> International Journal of Social Science</w:t>
      </w:r>
      <w:r w:rsidRPr="00BC03A7">
        <w:rPr>
          <w:rFonts w:cs="Arial"/>
          <w:szCs w:val="24"/>
          <w:lang w:val="en-US"/>
        </w:rPr>
        <w:t>, 6(2), pp.610–629. doi:10.61194/</w:t>
      </w:r>
      <w:proofErr w:type="gramStart"/>
      <w:r w:rsidRPr="00BC03A7">
        <w:rPr>
          <w:rFonts w:cs="Arial"/>
          <w:szCs w:val="24"/>
          <w:lang w:val="en-US"/>
        </w:rPr>
        <w:t>ijss.v</w:t>
      </w:r>
      <w:proofErr w:type="gramEnd"/>
      <w:r w:rsidRPr="00BC03A7">
        <w:rPr>
          <w:rFonts w:cs="Arial"/>
          <w:szCs w:val="24"/>
          <w:lang w:val="en-US"/>
        </w:rPr>
        <w:t>6i2.1686.</w:t>
      </w:r>
    </w:p>
    <w:p w14:paraId="163C36DF" w14:textId="77777777" w:rsidR="009F5C8C" w:rsidRPr="00BC03A7" w:rsidRDefault="009F5C8C" w:rsidP="00BC03A7">
      <w:pPr>
        <w:spacing w:line="360" w:lineRule="auto"/>
        <w:jc w:val="both"/>
        <w:rPr>
          <w:rFonts w:cs="Arial"/>
          <w:szCs w:val="24"/>
          <w:lang w:val="en-US"/>
        </w:rPr>
      </w:pPr>
      <w:r w:rsidRPr="00BC03A7">
        <w:rPr>
          <w:rFonts w:cs="Arial"/>
          <w:szCs w:val="24"/>
          <w:lang w:val="en-US"/>
        </w:rPr>
        <w:t xml:space="preserve">PWC (2024). </w:t>
      </w:r>
      <w:r w:rsidRPr="00BC03A7">
        <w:rPr>
          <w:rFonts w:cs="Arial"/>
          <w:i/>
          <w:iCs/>
          <w:szCs w:val="24"/>
          <w:lang w:val="en-US"/>
        </w:rPr>
        <w:t>Consumers willing to pay 9.7% sustainability premium, even as cost-of-living and inflationary concerns weigh: PwC 2024 voice of the consumer survey</w:t>
      </w:r>
      <w:r w:rsidRPr="00BC03A7">
        <w:rPr>
          <w:rFonts w:cs="Arial"/>
          <w:szCs w:val="24"/>
          <w:lang w:val="en-US"/>
        </w:rPr>
        <w:t xml:space="preserve">. [online] </w:t>
      </w:r>
      <w:r w:rsidRPr="00BC03A7">
        <w:rPr>
          <w:rFonts w:cs="Arial"/>
          <w:i/>
          <w:iCs/>
          <w:szCs w:val="24"/>
          <w:lang w:val="en-US"/>
        </w:rPr>
        <w:t>PwC</w:t>
      </w:r>
      <w:r w:rsidRPr="00BC03A7">
        <w:rPr>
          <w:rFonts w:cs="Arial"/>
          <w:szCs w:val="24"/>
          <w:lang w:val="en-US"/>
        </w:rPr>
        <w:t>. Available at: https://www.pwc.com/gx/en/news-room/press-releases/2024/pwc-2024-voice-of-consumer-survey.html [Accessed 6 Aug. 2026].</w:t>
      </w:r>
    </w:p>
    <w:p w14:paraId="1F11D990" w14:textId="77777777" w:rsidR="009F5C8C" w:rsidRPr="00BC03A7" w:rsidRDefault="009F5C8C" w:rsidP="00BC03A7">
      <w:pPr>
        <w:spacing w:line="360" w:lineRule="auto"/>
        <w:jc w:val="both"/>
        <w:rPr>
          <w:rFonts w:cs="Arial"/>
          <w:szCs w:val="24"/>
        </w:rPr>
      </w:pPr>
      <w:proofErr w:type="spellStart"/>
      <w:r w:rsidRPr="00BC03A7">
        <w:rPr>
          <w:rFonts w:cs="Arial"/>
          <w:szCs w:val="24"/>
        </w:rPr>
        <w:t>Renaningtyas</w:t>
      </w:r>
      <w:proofErr w:type="spellEnd"/>
      <w:r w:rsidRPr="00BC03A7">
        <w:rPr>
          <w:rFonts w:cs="Arial"/>
          <w:szCs w:val="24"/>
        </w:rPr>
        <w:t xml:space="preserve">, A.P. and Kasmir, K., 2026. Green Culture and Training on Employee Green </w:t>
      </w:r>
      <w:proofErr w:type="spellStart"/>
      <w:r w:rsidRPr="00BC03A7">
        <w:rPr>
          <w:rFonts w:cs="Arial"/>
          <w:szCs w:val="24"/>
        </w:rPr>
        <w:t>Behavior</w:t>
      </w:r>
      <w:proofErr w:type="spellEnd"/>
      <w:r w:rsidRPr="00BC03A7">
        <w:rPr>
          <w:rFonts w:cs="Arial"/>
          <w:szCs w:val="24"/>
        </w:rPr>
        <w:t>: The Mediating Environmental Awareness Role. </w:t>
      </w:r>
      <w:r w:rsidRPr="00BC03A7">
        <w:rPr>
          <w:rFonts w:cs="Arial"/>
          <w:i/>
          <w:iCs/>
          <w:szCs w:val="24"/>
        </w:rPr>
        <w:t>Journal of Sustainable Economic and Business</w:t>
      </w:r>
      <w:r w:rsidRPr="00BC03A7">
        <w:rPr>
          <w:rFonts w:cs="Arial"/>
          <w:szCs w:val="24"/>
        </w:rPr>
        <w:t>, </w:t>
      </w:r>
      <w:r w:rsidRPr="00BC03A7">
        <w:rPr>
          <w:rFonts w:cs="Arial"/>
          <w:i/>
          <w:iCs/>
          <w:szCs w:val="24"/>
        </w:rPr>
        <w:t>3</w:t>
      </w:r>
      <w:r w:rsidRPr="00BC03A7">
        <w:rPr>
          <w:rFonts w:cs="Arial"/>
          <w:szCs w:val="24"/>
        </w:rPr>
        <w:t>(2), pp.371-383.</w:t>
      </w:r>
    </w:p>
    <w:p w14:paraId="0AD426E8" w14:textId="77777777" w:rsidR="009F5C8C" w:rsidRPr="00BC03A7" w:rsidRDefault="009F5C8C" w:rsidP="00BC03A7">
      <w:pPr>
        <w:spacing w:line="360" w:lineRule="auto"/>
        <w:jc w:val="both"/>
        <w:rPr>
          <w:rFonts w:cs="Arial"/>
          <w:szCs w:val="24"/>
        </w:rPr>
      </w:pPr>
      <w:r w:rsidRPr="00BC03A7">
        <w:rPr>
          <w:rFonts w:cs="Arial"/>
          <w:szCs w:val="24"/>
        </w:rPr>
        <w:t>Ruiz-Pastor, L. and Mesa, J.A., 2023. Proposing an integrated indicator to measure product repairability. </w:t>
      </w:r>
      <w:r w:rsidRPr="00BC03A7">
        <w:rPr>
          <w:rFonts w:cs="Arial"/>
          <w:i/>
          <w:iCs/>
          <w:szCs w:val="24"/>
        </w:rPr>
        <w:t>Journal of Cleaner Production</w:t>
      </w:r>
      <w:r w:rsidRPr="00BC03A7">
        <w:rPr>
          <w:rFonts w:cs="Arial"/>
          <w:szCs w:val="24"/>
        </w:rPr>
        <w:t>, </w:t>
      </w:r>
      <w:r w:rsidRPr="00BC03A7">
        <w:rPr>
          <w:rFonts w:cs="Arial"/>
          <w:i/>
          <w:iCs/>
          <w:szCs w:val="24"/>
        </w:rPr>
        <w:t>395</w:t>
      </w:r>
      <w:r w:rsidRPr="00BC03A7">
        <w:rPr>
          <w:rFonts w:cs="Arial"/>
          <w:szCs w:val="24"/>
        </w:rPr>
        <w:t>, p.136434.</w:t>
      </w:r>
    </w:p>
    <w:p w14:paraId="07E55199" w14:textId="77777777" w:rsidR="009F5C8C" w:rsidRPr="00BC03A7" w:rsidRDefault="009F5C8C" w:rsidP="00BC03A7">
      <w:pPr>
        <w:spacing w:line="360" w:lineRule="auto"/>
        <w:jc w:val="both"/>
        <w:rPr>
          <w:rFonts w:cs="Arial"/>
          <w:szCs w:val="24"/>
          <w:lang w:val="en-US"/>
        </w:rPr>
      </w:pPr>
      <w:r w:rsidRPr="00BC03A7">
        <w:rPr>
          <w:rFonts w:cs="Arial"/>
          <w:szCs w:val="24"/>
          <w:lang w:val="en-US"/>
        </w:rPr>
        <w:t xml:space="preserve">Singh, S. and Singh, A. (2025). </w:t>
      </w:r>
      <w:r w:rsidRPr="00BC03A7">
        <w:rPr>
          <w:rFonts w:cs="Arial"/>
          <w:i/>
          <w:iCs/>
          <w:szCs w:val="24"/>
          <w:lang w:val="en-US"/>
        </w:rPr>
        <w:t>Camping tent market - by product type (dome tents, tunnel tents, geodesic tents, others), by capacity (</w:t>
      </w:r>
      <w:proofErr w:type="gramStart"/>
      <w:r w:rsidRPr="00BC03A7">
        <w:rPr>
          <w:rFonts w:cs="Arial"/>
          <w:i/>
          <w:iCs/>
          <w:szCs w:val="24"/>
          <w:lang w:val="en-US"/>
        </w:rPr>
        <w:t>2 person</w:t>
      </w:r>
      <w:proofErr w:type="gramEnd"/>
      <w:r w:rsidRPr="00BC03A7">
        <w:rPr>
          <w:rFonts w:cs="Arial"/>
          <w:i/>
          <w:iCs/>
          <w:szCs w:val="24"/>
          <w:lang w:val="en-US"/>
        </w:rPr>
        <w:t>, 3-4 person, solo), by price range, by usage, by end-use, by distribution channel, forecast 2024 - 2032</w:t>
      </w:r>
      <w:r w:rsidRPr="00BC03A7">
        <w:rPr>
          <w:rFonts w:cs="Arial"/>
          <w:szCs w:val="24"/>
          <w:lang w:val="en-US"/>
        </w:rPr>
        <w:t xml:space="preserve">. [online] </w:t>
      </w:r>
      <w:r w:rsidRPr="00BC03A7">
        <w:rPr>
          <w:rFonts w:cs="Arial"/>
          <w:i/>
          <w:iCs/>
          <w:szCs w:val="24"/>
          <w:lang w:val="en-US"/>
        </w:rPr>
        <w:lastRenderedPageBreak/>
        <w:t>Global Market Insights Inc.</w:t>
      </w:r>
      <w:r w:rsidRPr="00BC03A7">
        <w:rPr>
          <w:rFonts w:cs="Arial"/>
          <w:szCs w:val="24"/>
          <w:lang w:val="en-US"/>
        </w:rPr>
        <w:t xml:space="preserve"> Available at: https://www.gminsights.com/industry-analysis/camping-tent-market [Accessed 6 Aug. 2026].</w:t>
      </w:r>
    </w:p>
    <w:p w14:paraId="037820B8" w14:textId="77777777" w:rsidR="009F5C8C" w:rsidRPr="00BC03A7" w:rsidRDefault="009F5C8C" w:rsidP="00BC03A7">
      <w:pPr>
        <w:spacing w:line="360" w:lineRule="auto"/>
        <w:jc w:val="both"/>
        <w:rPr>
          <w:rFonts w:cs="Arial"/>
          <w:szCs w:val="24"/>
          <w:lang w:val="en-US"/>
        </w:rPr>
      </w:pPr>
      <w:proofErr w:type="spellStart"/>
      <w:r w:rsidRPr="00BC03A7">
        <w:rPr>
          <w:rFonts w:cs="Arial"/>
          <w:szCs w:val="24"/>
          <w:lang w:val="en-US"/>
        </w:rPr>
        <w:t>SkillsYouNeed</w:t>
      </w:r>
      <w:proofErr w:type="spellEnd"/>
      <w:r w:rsidRPr="00BC03A7">
        <w:rPr>
          <w:rFonts w:cs="Arial"/>
          <w:szCs w:val="24"/>
          <w:lang w:val="en-US"/>
        </w:rPr>
        <w:t xml:space="preserve"> (2022). </w:t>
      </w:r>
      <w:r w:rsidRPr="00BC03A7">
        <w:rPr>
          <w:rFonts w:cs="Arial"/>
          <w:i/>
          <w:iCs/>
          <w:szCs w:val="24"/>
          <w:lang w:val="en-US"/>
        </w:rPr>
        <w:t xml:space="preserve">The 7 </w:t>
      </w:r>
      <w:proofErr w:type="spellStart"/>
      <w:r w:rsidRPr="00BC03A7">
        <w:rPr>
          <w:rFonts w:cs="Arial"/>
          <w:i/>
          <w:iCs/>
          <w:szCs w:val="24"/>
          <w:lang w:val="en-US"/>
        </w:rPr>
        <w:t>pS</w:t>
      </w:r>
      <w:proofErr w:type="spellEnd"/>
      <w:r w:rsidRPr="00BC03A7">
        <w:rPr>
          <w:rFonts w:cs="Arial"/>
          <w:i/>
          <w:iCs/>
          <w:szCs w:val="24"/>
          <w:lang w:val="en-US"/>
        </w:rPr>
        <w:t xml:space="preserve"> of marketing mix | </w:t>
      </w:r>
      <w:proofErr w:type="spellStart"/>
      <w:r w:rsidRPr="00BC03A7">
        <w:rPr>
          <w:rFonts w:cs="Arial"/>
          <w:i/>
          <w:iCs/>
          <w:szCs w:val="24"/>
          <w:lang w:val="en-US"/>
        </w:rPr>
        <w:t>SkillsYouNeed</w:t>
      </w:r>
      <w:proofErr w:type="spellEnd"/>
      <w:r w:rsidRPr="00BC03A7">
        <w:rPr>
          <w:rFonts w:cs="Arial"/>
          <w:szCs w:val="24"/>
          <w:lang w:val="en-US"/>
        </w:rPr>
        <w:t xml:space="preserve">. [online] </w:t>
      </w:r>
      <w:r w:rsidRPr="00BC03A7">
        <w:rPr>
          <w:rFonts w:cs="Arial"/>
          <w:i/>
          <w:iCs/>
          <w:szCs w:val="24"/>
          <w:lang w:val="en-US"/>
        </w:rPr>
        <w:t>Skillsyouneed.com</w:t>
      </w:r>
      <w:r w:rsidRPr="00BC03A7">
        <w:rPr>
          <w:rFonts w:cs="Arial"/>
          <w:szCs w:val="24"/>
          <w:lang w:val="en-US"/>
        </w:rPr>
        <w:t>. Available at: https://www.skillsyouneed.com/lead/7-marketing-ps.html [Accessed 6 Aug. 2026].</w:t>
      </w:r>
    </w:p>
    <w:p w14:paraId="328BE6EC" w14:textId="77777777" w:rsidR="009F5C8C" w:rsidRPr="00BC03A7" w:rsidRDefault="009F5C8C" w:rsidP="00BC03A7">
      <w:pPr>
        <w:spacing w:line="360" w:lineRule="auto"/>
        <w:jc w:val="both"/>
        <w:rPr>
          <w:rFonts w:cs="Arial"/>
          <w:szCs w:val="24"/>
        </w:rPr>
      </w:pPr>
      <w:r w:rsidRPr="00BC03A7">
        <w:rPr>
          <w:rFonts w:cs="Arial"/>
          <w:szCs w:val="24"/>
        </w:rPr>
        <w:t xml:space="preserve">Sport England (2025) </w:t>
      </w:r>
      <w:r w:rsidRPr="00BC03A7">
        <w:rPr>
          <w:rFonts w:cs="Arial"/>
          <w:i/>
          <w:iCs/>
          <w:szCs w:val="24"/>
        </w:rPr>
        <w:t>Active Lives Adult Survey November 2024–25 Report</w:t>
      </w:r>
      <w:r w:rsidRPr="00BC03A7">
        <w:rPr>
          <w:rFonts w:cs="Arial"/>
          <w:szCs w:val="24"/>
        </w:rPr>
        <w:t xml:space="preserve">. Available at: </w:t>
      </w:r>
      <w:hyperlink r:id="rId16" w:history="1">
        <w:r w:rsidRPr="00BC03A7">
          <w:rPr>
            <w:rStyle w:val="Hyperlink"/>
            <w:rFonts w:cs="Arial"/>
            <w:szCs w:val="24"/>
          </w:rPr>
          <w:t>https://sportengland-production-files.s3.eu-west-2.amazonaws.com/s3fs-public/2026-04/Active%20Lives%20Adult%20Survey%20November%202024-25%20Report_.pdf</w:t>
        </w:r>
      </w:hyperlink>
    </w:p>
    <w:p w14:paraId="3C26A86D" w14:textId="77777777" w:rsidR="009F5C8C" w:rsidRPr="00BC03A7" w:rsidRDefault="009F5C8C" w:rsidP="00BC03A7">
      <w:pPr>
        <w:spacing w:line="360" w:lineRule="auto"/>
        <w:jc w:val="both"/>
        <w:rPr>
          <w:rFonts w:cs="Arial"/>
          <w:szCs w:val="24"/>
          <w:lang w:val="en-US"/>
        </w:rPr>
      </w:pPr>
      <w:r w:rsidRPr="00BC03A7">
        <w:rPr>
          <w:rFonts w:cs="Arial"/>
          <w:szCs w:val="24"/>
          <w:lang w:val="en-US"/>
        </w:rPr>
        <w:t xml:space="preserve">Syed, S., Acquaye, A., Khalfan, M.M., </w:t>
      </w:r>
      <w:proofErr w:type="spellStart"/>
      <w:r w:rsidRPr="00BC03A7">
        <w:rPr>
          <w:rFonts w:cs="Arial"/>
          <w:szCs w:val="24"/>
          <w:lang w:val="en-US"/>
        </w:rPr>
        <w:t>Obuobisa</w:t>
      </w:r>
      <w:proofErr w:type="spellEnd"/>
      <w:r w:rsidRPr="00BC03A7">
        <w:rPr>
          <w:rFonts w:cs="Arial"/>
          <w:szCs w:val="24"/>
          <w:lang w:val="en-US"/>
        </w:rPr>
        <w:t xml:space="preserve">-Darko, T. and Yamoah, F.A. (2024). Decoding sustainable consumption behavior: A systematic review of theories and models and provision of a guidance framework. </w:t>
      </w:r>
      <w:r w:rsidRPr="00BC03A7">
        <w:rPr>
          <w:rFonts w:cs="Arial"/>
          <w:i/>
          <w:iCs/>
          <w:szCs w:val="24"/>
          <w:lang w:val="en-US"/>
        </w:rPr>
        <w:t>Resources Conservation &amp; Recycling Advances</w:t>
      </w:r>
      <w:r w:rsidRPr="00BC03A7">
        <w:rPr>
          <w:rFonts w:cs="Arial"/>
          <w:szCs w:val="24"/>
          <w:lang w:val="en-US"/>
        </w:rPr>
        <w:t xml:space="preserve">, [online] 23(23), pp.200232–200232. </w:t>
      </w:r>
      <w:proofErr w:type="gramStart"/>
      <w:r w:rsidRPr="00BC03A7">
        <w:rPr>
          <w:rFonts w:cs="Arial"/>
          <w:szCs w:val="24"/>
          <w:lang w:val="en-US"/>
        </w:rPr>
        <w:t>doi:10.1016/j.rcradv</w:t>
      </w:r>
      <w:proofErr w:type="gramEnd"/>
      <w:r w:rsidRPr="00BC03A7">
        <w:rPr>
          <w:rFonts w:cs="Arial"/>
          <w:szCs w:val="24"/>
          <w:lang w:val="en-US"/>
        </w:rPr>
        <w:t>.2024.200232.</w:t>
      </w:r>
    </w:p>
    <w:p w14:paraId="32183C62" w14:textId="77777777" w:rsidR="009F5C8C" w:rsidRPr="00BC03A7" w:rsidRDefault="009F5C8C" w:rsidP="00BC03A7">
      <w:pPr>
        <w:spacing w:line="360" w:lineRule="auto"/>
        <w:jc w:val="both"/>
        <w:rPr>
          <w:rFonts w:cs="Arial"/>
          <w:szCs w:val="24"/>
          <w:lang w:val="en-US"/>
        </w:rPr>
      </w:pPr>
      <w:r w:rsidRPr="00BC03A7">
        <w:rPr>
          <w:rFonts w:cs="Arial"/>
          <w:szCs w:val="24"/>
          <w:lang w:val="en-US"/>
        </w:rPr>
        <w:t xml:space="preserve">Taylor, A., </w:t>
      </w:r>
      <w:proofErr w:type="spellStart"/>
      <w:r w:rsidRPr="00BC03A7">
        <w:rPr>
          <w:rFonts w:cs="Arial"/>
          <w:szCs w:val="24"/>
          <w:lang w:val="en-US"/>
        </w:rPr>
        <w:t>Jossberger</w:t>
      </w:r>
      <w:proofErr w:type="spellEnd"/>
      <w:r w:rsidRPr="00BC03A7">
        <w:rPr>
          <w:rFonts w:cs="Arial"/>
          <w:szCs w:val="24"/>
          <w:lang w:val="en-US"/>
        </w:rPr>
        <w:t xml:space="preserve">, H. and Gruber, H. (2026). Examining expertise differences in retail sales: A script-based analysis of customer interactions. </w:t>
      </w:r>
      <w:r w:rsidRPr="00BC03A7">
        <w:rPr>
          <w:rFonts w:cs="Arial"/>
          <w:i/>
          <w:iCs/>
          <w:szCs w:val="24"/>
          <w:lang w:val="en-US"/>
        </w:rPr>
        <w:t>Vocations and Learning</w:t>
      </w:r>
      <w:r w:rsidRPr="00BC03A7">
        <w:rPr>
          <w:rFonts w:cs="Arial"/>
          <w:szCs w:val="24"/>
          <w:lang w:val="en-US"/>
        </w:rPr>
        <w:t>, 19(1). doi:10.1007/s12186-026-09393-w.</w:t>
      </w:r>
    </w:p>
    <w:p w14:paraId="66D14CD2" w14:textId="467C938B" w:rsidR="009F5C8C" w:rsidRPr="00BC03A7" w:rsidRDefault="009F5C8C" w:rsidP="00BC03A7">
      <w:pPr>
        <w:spacing w:line="360" w:lineRule="auto"/>
        <w:jc w:val="both"/>
        <w:rPr>
          <w:rFonts w:cs="Arial"/>
          <w:szCs w:val="24"/>
          <w:lang w:val="en-US"/>
        </w:rPr>
      </w:pPr>
      <w:r w:rsidRPr="00BC03A7">
        <w:rPr>
          <w:rFonts w:cs="Arial"/>
          <w:szCs w:val="24"/>
          <w:lang w:val="en-US"/>
        </w:rPr>
        <w:t xml:space="preserve">Textile Exchange (2025). </w:t>
      </w:r>
      <w:r w:rsidRPr="00BC03A7">
        <w:rPr>
          <w:rFonts w:cs="Arial"/>
          <w:i/>
          <w:iCs/>
          <w:szCs w:val="24"/>
          <w:lang w:val="en-US"/>
        </w:rPr>
        <w:t>Recycled claim standard (RCS) + global recycled standard (GRS) - textile exchange</w:t>
      </w:r>
      <w:r w:rsidRPr="00BC03A7">
        <w:rPr>
          <w:rFonts w:cs="Arial"/>
          <w:szCs w:val="24"/>
          <w:lang w:val="en-US"/>
        </w:rPr>
        <w:t xml:space="preserve">. [online] </w:t>
      </w:r>
      <w:r w:rsidRPr="00BC03A7">
        <w:rPr>
          <w:rFonts w:cs="Arial"/>
          <w:i/>
          <w:iCs/>
          <w:szCs w:val="24"/>
          <w:lang w:val="en-US"/>
        </w:rPr>
        <w:t>Textile Exchange</w:t>
      </w:r>
      <w:r w:rsidRPr="00BC03A7">
        <w:rPr>
          <w:rFonts w:cs="Arial"/>
          <w:szCs w:val="24"/>
          <w:lang w:val="en-US"/>
        </w:rPr>
        <w:t>. Available at: https://textileexchange.org/recycled-claim-global-recycled-standard [Accessed 1 Aug. 2026].</w:t>
      </w:r>
    </w:p>
    <w:p w14:paraId="067D1099" w14:textId="47D1AD34" w:rsidR="009F5C8C" w:rsidRPr="00BC03A7" w:rsidRDefault="009F5C8C" w:rsidP="00BC03A7">
      <w:pPr>
        <w:spacing w:line="360" w:lineRule="auto"/>
        <w:jc w:val="both"/>
        <w:rPr>
          <w:rFonts w:cs="Arial"/>
          <w:szCs w:val="24"/>
          <w:lang w:val="en-US"/>
        </w:rPr>
      </w:pPr>
      <w:r w:rsidRPr="00BC03A7">
        <w:rPr>
          <w:rFonts w:cs="Arial"/>
          <w:szCs w:val="24"/>
          <w:lang w:val="en-US"/>
        </w:rPr>
        <w:t xml:space="preserve">The Camping and Caravanning Club (2025). </w:t>
      </w:r>
      <w:r w:rsidRPr="00BC03A7">
        <w:rPr>
          <w:rFonts w:cs="Arial"/>
          <w:i/>
          <w:iCs/>
          <w:szCs w:val="24"/>
          <w:lang w:val="en-US"/>
        </w:rPr>
        <w:t>Tent Owner Satisfaction Awards - The Camping and Caravanning Club</w:t>
      </w:r>
      <w:r w:rsidRPr="00BC03A7">
        <w:rPr>
          <w:rFonts w:cs="Arial"/>
          <w:szCs w:val="24"/>
          <w:lang w:val="en-US"/>
        </w:rPr>
        <w:t xml:space="preserve">. [online] </w:t>
      </w:r>
      <w:proofErr w:type="spellStart"/>
      <w:r w:rsidRPr="00BC03A7">
        <w:rPr>
          <w:rFonts w:cs="Arial"/>
          <w:szCs w:val="24"/>
          <w:lang w:val="en-US"/>
        </w:rPr>
        <w:t>campandcaravan</w:t>
      </w:r>
      <w:proofErr w:type="spellEnd"/>
      <w:r w:rsidRPr="00BC03A7">
        <w:rPr>
          <w:rFonts w:cs="Arial"/>
          <w:szCs w:val="24"/>
          <w:lang w:val="en-US"/>
        </w:rPr>
        <w:t>. Available at: https://www.campingandcaravanningclub.co.uk/advice/equipment/tent-owner-satisfaction-awards [Accessed 2 Aug. 2026].</w:t>
      </w:r>
    </w:p>
    <w:p w14:paraId="06F27E2D" w14:textId="77777777" w:rsidR="009F5C8C" w:rsidRPr="00BC03A7" w:rsidRDefault="009F5C8C" w:rsidP="00BC03A7">
      <w:pPr>
        <w:spacing w:line="360" w:lineRule="auto"/>
        <w:jc w:val="both"/>
        <w:rPr>
          <w:rFonts w:cs="Arial"/>
          <w:szCs w:val="24"/>
          <w:lang w:val="en-US"/>
        </w:rPr>
      </w:pPr>
      <w:r w:rsidRPr="00BC03A7">
        <w:rPr>
          <w:rFonts w:cs="Arial"/>
          <w:szCs w:val="24"/>
          <w:lang w:val="en-US"/>
        </w:rPr>
        <w:t xml:space="preserve">Vango (2026). </w:t>
      </w:r>
      <w:r w:rsidRPr="00BC03A7">
        <w:rPr>
          <w:rFonts w:cs="Arial"/>
          <w:i/>
          <w:iCs/>
          <w:szCs w:val="24"/>
          <w:lang w:val="en-US"/>
        </w:rPr>
        <w:t xml:space="preserve">Earth day with </w:t>
      </w:r>
      <w:proofErr w:type="spellStart"/>
      <w:r w:rsidRPr="00BC03A7">
        <w:rPr>
          <w:rFonts w:cs="Arial"/>
          <w:i/>
          <w:iCs/>
          <w:szCs w:val="24"/>
          <w:lang w:val="en-US"/>
        </w:rPr>
        <w:t>vango</w:t>
      </w:r>
      <w:proofErr w:type="spellEnd"/>
      <w:r w:rsidRPr="00BC03A7">
        <w:rPr>
          <w:rFonts w:cs="Arial"/>
          <w:szCs w:val="24"/>
          <w:lang w:val="en-US"/>
        </w:rPr>
        <w:t>. [online] Vango.co.uk. Available at: https://www.vango.co.uk/blog/earth-day-with-vango [Accessed 6 Aug. 2026].</w:t>
      </w:r>
    </w:p>
    <w:p w14:paraId="1FDF277E" w14:textId="32872DF1" w:rsidR="009F5C8C" w:rsidRPr="00BC03A7" w:rsidRDefault="009F5C8C" w:rsidP="00BC03A7">
      <w:pPr>
        <w:spacing w:line="360" w:lineRule="auto"/>
        <w:jc w:val="both"/>
        <w:rPr>
          <w:rFonts w:cs="Arial"/>
          <w:szCs w:val="24"/>
        </w:rPr>
      </w:pPr>
      <w:r w:rsidRPr="00BC03A7">
        <w:rPr>
          <w:rFonts w:cs="Arial"/>
          <w:szCs w:val="24"/>
        </w:rPr>
        <w:t xml:space="preserve">VisitBritain (2025) </w:t>
      </w:r>
      <w:r w:rsidRPr="00BC03A7">
        <w:rPr>
          <w:rFonts w:cs="Arial"/>
          <w:i/>
          <w:iCs/>
          <w:szCs w:val="24"/>
        </w:rPr>
        <w:t>England domestic tourism: regional and subregional data</w:t>
      </w:r>
      <w:r w:rsidRPr="00BC03A7">
        <w:rPr>
          <w:rFonts w:cs="Arial"/>
          <w:szCs w:val="24"/>
        </w:rPr>
        <w:t xml:space="preserve">. Available at: </w:t>
      </w:r>
      <w:hyperlink r:id="rId17" w:tgtFrame="_new" w:history="1">
        <w:r w:rsidRPr="00BC03A7">
          <w:rPr>
            <w:rStyle w:val="Hyperlink"/>
            <w:rFonts w:cs="Arial"/>
            <w:szCs w:val="24"/>
          </w:rPr>
          <w:t>https://www.visitbritain.org/research-insights/england-domestic-tourism-regional-and-subregional-data</w:t>
        </w:r>
      </w:hyperlink>
      <w:r w:rsidRPr="00BC03A7">
        <w:rPr>
          <w:rFonts w:cs="Arial"/>
          <w:szCs w:val="24"/>
        </w:rPr>
        <w:t xml:space="preserve"> (Accessed: 1 August 2026).</w:t>
      </w:r>
    </w:p>
    <w:p w14:paraId="4EFAC784" w14:textId="77777777" w:rsidR="009F5C8C" w:rsidRPr="00BC03A7" w:rsidRDefault="009F5C8C" w:rsidP="00BC03A7">
      <w:pPr>
        <w:spacing w:line="360" w:lineRule="auto"/>
        <w:jc w:val="both"/>
        <w:rPr>
          <w:rFonts w:cs="Arial"/>
          <w:szCs w:val="24"/>
          <w:lang w:val="en-US"/>
        </w:rPr>
      </w:pPr>
      <w:r w:rsidRPr="00BC03A7">
        <w:rPr>
          <w:rFonts w:cs="Arial"/>
          <w:szCs w:val="24"/>
          <w:lang w:val="en-US"/>
        </w:rPr>
        <w:lastRenderedPageBreak/>
        <w:t xml:space="preserve">WRAP (2025). </w:t>
      </w:r>
      <w:r w:rsidRPr="00BC03A7">
        <w:rPr>
          <w:rFonts w:cs="Arial"/>
          <w:i/>
          <w:iCs/>
          <w:szCs w:val="24"/>
          <w:lang w:val="en-US"/>
        </w:rPr>
        <w:t>Fast fashion could be left on the peg as preloved and repair displace new sales</w:t>
      </w:r>
      <w:r w:rsidRPr="00BC03A7">
        <w:rPr>
          <w:rFonts w:cs="Arial"/>
          <w:szCs w:val="24"/>
          <w:lang w:val="en-US"/>
        </w:rPr>
        <w:t xml:space="preserve">. [online] </w:t>
      </w:r>
      <w:r w:rsidRPr="00BC03A7">
        <w:rPr>
          <w:rFonts w:cs="Arial"/>
          <w:i/>
          <w:iCs/>
          <w:szCs w:val="24"/>
          <w:lang w:val="en-US"/>
        </w:rPr>
        <w:t>WRAP</w:t>
      </w:r>
      <w:r w:rsidRPr="00BC03A7">
        <w:rPr>
          <w:rFonts w:cs="Arial"/>
          <w:szCs w:val="24"/>
          <w:lang w:val="en-US"/>
        </w:rPr>
        <w:t>. Available at: https://www.wrap.ngo/media-centre/press-releases/fast-fashion-could-be-left-peg-preloved-and-repair-displace-new-sales [Accessed 6 Aug. 2026].</w:t>
      </w:r>
    </w:p>
    <w:p w14:paraId="05C4FC62" w14:textId="77777777" w:rsidR="009F5C8C" w:rsidRPr="00BC03A7" w:rsidRDefault="009F5C8C" w:rsidP="00BC03A7">
      <w:pPr>
        <w:spacing w:line="360" w:lineRule="auto"/>
        <w:jc w:val="both"/>
        <w:rPr>
          <w:rFonts w:cs="Arial"/>
          <w:szCs w:val="24"/>
          <w:lang w:val="en-US"/>
        </w:rPr>
      </w:pPr>
      <w:r w:rsidRPr="00BC03A7">
        <w:rPr>
          <w:rFonts w:cs="Arial"/>
          <w:szCs w:val="24"/>
          <w:lang w:val="en-US"/>
        </w:rPr>
        <w:t xml:space="preserve">Zhuang, W., Zeng, Q., Zhang, Y., Liu, C. and Fan, W. (2023). What makes user-generated content more helpful on social media platforms? Insights from creator interactivity perspective. </w:t>
      </w:r>
      <w:r w:rsidRPr="00BC03A7">
        <w:rPr>
          <w:rFonts w:cs="Arial"/>
          <w:i/>
          <w:iCs/>
          <w:szCs w:val="24"/>
          <w:lang w:val="en-US"/>
        </w:rPr>
        <w:t>Information Processing &amp; Management</w:t>
      </w:r>
      <w:r w:rsidRPr="00BC03A7">
        <w:rPr>
          <w:rFonts w:cs="Arial"/>
          <w:szCs w:val="24"/>
          <w:lang w:val="en-US"/>
        </w:rPr>
        <w:t xml:space="preserve">, [online] 60(2), p.103201. </w:t>
      </w:r>
      <w:proofErr w:type="gramStart"/>
      <w:r w:rsidRPr="00BC03A7">
        <w:rPr>
          <w:rFonts w:cs="Arial"/>
          <w:szCs w:val="24"/>
          <w:lang w:val="en-US"/>
        </w:rPr>
        <w:t>doi:10.1016/j.ipm</w:t>
      </w:r>
      <w:proofErr w:type="gramEnd"/>
      <w:r w:rsidRPr="00BC03A7">
        <w:rPr>
          <w:rFonts w:cs="Arial"/>
          <w:szCs w:val="24"/>
          <w:lang w:val="en-US"/>
        </w:rPr>
        <w:t>.2022.103201.</w:t>
      </w:r>
    </w:p>
    <w:p w14:paraId="5E256105" w14:textId="256D81B4" w:rsidR="007253F4" w:rsidRPr="004474C3" w:rsidRDefault="007253F4" w:rsidP="005F2822">
      <w:pPr>
        <w:spacing w:line="360" w:lineRule="auto"/>
        <w:jc w:val="both"/>
        <w:rPr>
          <w:rFonts w:cs="Arial"/>
          <w:szCs w:val="24"/>
          <w:lang w:val="en-US"/>
        </w:rPr>
      </w:pPr>
    </w:p>
    <w:sectPr w:rsidR="007253F4" w:rsidRPr="004474C3" w:rsidSect="009F5C8C">
      <w:footerReference w:type="default" r:id="rId1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F1DA0" w14:textId="77777777" w:rsidR="00083AA1" w:rsidRDefault="00083AA1" w:rsidP="009F5C8C">
      <w:pPr>
        <w:spacing w:after="0" w:line="240" w:lineRule="auto"/>
      </w:pPr>
      <w:r>
        <w:separator/>
      </w:r>
    </w:p>
  </w:endnote>
  <w:endnote w:type="continuationSeparator" w:id="0">
    <w:p w14:paraId="4861370E" w14:textId="77777777" w:rsidR="00083AA1" w:rsidRDefault="00083AA1" w:rsidP="009F5C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masis MT Pro">
    <w:charset w:val="00"/>
    <w:family w:val="roman"/>
    <w:pitch w:val="variable"/>
    <w:sig w:usb0="A00000A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5243249"/>
      <w:docPartObj>
        <w:docPartGallery w:val="Page Numbers (Bottom of Page)"/>
        <w:docPartUnique/>
      </w:docPartObj>
    </w:sdtPr>
    <w:sdtEndPr>
      <w:rPr>
        <w:color w:val="7F7F7F" w:themeColor="background1" w:themeShade="7F"/>
        <w:spacing w:val="60"/>
      </w:rPr>
    </w:sdtEndPr>
    <w:sdtContent>
      <w:p w14:paraId="28418CB7" w14:textId="592A3D9A" w:rsidR="009F5C8C" w:rsidRDefault="009F5C8C">
        <w:pPr>
          <w:pStyle w:val="Footer"/>
          <w:pBdr>
            <w:top w:val="single" w:sz="4" w:space="1" w:color="D9D9D9" w:themeColor="background1" w:themeShade="D9"/>
          </w:pBdr>
          <w:jc w:val="right"/>
        </w:pPr>
        <w:r w:rsidRPr="009F5C8C">
          <w:rPr>
            <w:rFonts w:cs="Arial"/>
            <w:szCs w:val="24"/>
          </w:rPr>
          <w:fldChar w:fldCharType="begin"/>
        </w:r>
        <w:r w:rsidRPr="009F5C8C">
          <w:rPr>
            <w:rFonts w:cs="Arial"/>
            <w:szCs w:val="24"/>
          </w:rPr>
          <w:instrText xml:space="preserve"> PAGE   \* MERGEFORMAT </w:instrText>
        </w:r>
        <w:r w:rsidRPr="009F5C8C">
          <w:rPr>
            <w:rFonts w:cs="Arial"/>
            <w:szCs w:val="24"/>
          </w:rPr>
          <w:fldChar w:fldCharType="separate"/>
        </w:r>
        <w:r w:rsidRPr="009F5C8C">
          <w:rPr>
            <w:rFonts w:cs="Arial"/>
            <w:noProof/>
            <w:szCs w:val="24"/>
          </w:rPr>
          <w:t>2</w:t>
        </w:r>
        <w:r w:rsidRPr="009F5C8C">
          <w:rPr>
            <w:rFonts w:cs="Arial"/>
            <w:noProof/>
            <w:szCs w:val="24"/>
          </w:rPr>
          <w:fldChar w:fldCharType="end"/>
        </w:r>
        <w:r w:rsidRPr="009F5C8C">
          <w:rPr>
            <w:rFonts w:cs="Arial"/>
            <w:szCs w:val="24"/>
          </w:rPr>
          <w:t xml:space="preserve"> | </w:t>
        </w:r>
        <w:r w:rsidRPr="009F5C8C">
          <w:rPr>
            <w:rFonts w:cs="Arial"/>
            <w:color w:val="7F7F7F" w:themeColor="background1" w:themeShade="7F"/>
            <w:spacing w:val="60"/>
            <w:szCs w:val="24"/>
          </w:rPr>
          <w:t>Page</w:t>
        </w:r>
      </w:p>
    </w:sdtContent>
  </w:sdt>
  <w:p w14:paraId="7A638546" w14:textId="77777777" w:rsidR="009F5C8C" w:rsidRDefault="009F5C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2D5D4A" w14:textId="77777777" w:rsidR="00083AA1" w:rsidRDefault="00083AA1" w:rsidP="009F5C8C">
      <w:pPr>
        <w:spacing w:after="0" w:line="240" w:lineRule="auto"/>
      </w:pPr>
      <w:r>
        <w:separator/>
      </w:r>
    </w:p>
  </w:footnote>
  <w:footnote w:type="continuationSeparator" w:id="0">
    <w:p w14:paraId="41EEB8D3" w14:textId="77777777" w:rsidR="00083AA1" w:rsidRDefault="00083AA1" w:rsidP="009F5C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131BC" w14:textId="5E4BDE6F" w:rsidR="00384639" w:rsidRPr="00384639" w:rsidRDefault="00384639" w:rsidP="00384639">
    <w:pPr>
      <w:pStyle w:val="Header"/>
    </w:pPr>
    <w:r>
      <w:rPr>
        <w:noProof/>
      </w:rPr>
      <w:drawing>
        <wp:anchor distT="0" distB="0" distL="114300" distR="114300" simplePos="0" relativeHeight="251658240" behindDoc="0" locked="0" layoutInCell="1" allowOverlap="1" wp14:anchorId="14DAF702" wp14:editId="6B3E520D">
          <wp:simplePos x="0" y="0"/>
          <wp:positionH relativeFrom="column">
            <wp:posOffset>4721860</wp:posOffset>
          </wp:positionH>
          <wp:positionV relativeFrom="paragraph">
            <wp:posOffset>-354245</wp:posOffset>
          </wp:positionV>
          <wp:extent cx="1714500" cy="576580"/>
          <wp:effectExtent l="0" t="0" r="0" b="0"/>
          <wp:wrapThrough wrapText="bothSides">
            <wp:wrapPolygon edited="0">
              <wp:start x="0" y="0"/>
              <wp:lineTo x="0" y="20696"/>
              <wp:lineTo x="21360" y="20696"/>
              <wp:lineTo x="21360" y="0"/>
              <wp:lineTo x="0" y="0"/>
            </wp:wrapPolygon>
          </wp:wrapThrough>
          <wp:docPr id="1049346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4500" cy="576580"/>
                  </a:xfrm>
                  <a:prstGeom prst="rect">
                    <a:avLst/>
                  </a:prstGeom>
                  <a:noFill/>
                  <a:ln>
                    <a:noFill/>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B55D3"/>
    <w:multiLevelType w:val="multilevel"/>
    <w:tmpl w:val="A4C6B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071881"/>
    <w:multiLevelType w:val="multilevel"/>
    <w:tmpl w:val="8D649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790A41"/>
    <w:multiLevelType w:val="hybridMultilevel"/>
    <w:tmpl w:val="439ACB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F45DAC"/>
    <w:multiLevelType w:val="multilevel"/>
    <w:tmpl w:val="B0262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AB40D0"/>
    <w:multiLevelType w:val="multilevel"/>
    <w:tmpl w:val="502E7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6079DD"/>
    <w:multiLevelType w:val="multilevel"/>
    <w:tmpl w:val="B0808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275B45"/>
    <w:multiLevelType w:val="multilevel"/>
    <w:tmpl w:val="469E9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4378CF"/>
    <w:multiLevelType w:val="multilevel"/>
    <w:tmpl w:val="BF188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3D4F6E"/>
    <w:multiLevelType w:val="multilevel"/>
    <w:tmpl w:val="F1EC7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4A1F88"/>
    <w:multiLevelType w:val="multilevel"/>
    <w:tmpl w:val="B5D65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F36C43"/>
    <w:multiLevelType w:val="hybridMultilevel"/>
    <w:tmpl w:val="2B408C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95120E0"/>
    <w:multiLevelType w:val="multilevel"/>
    <w:tmpl w:val="F0243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D172B7E"/>
    <w:multiLevelType w:val="multilevel"/>
    <w:tmpl w:val="77CC6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8467836">
    <w:abstractNumId w:val="9"/>
  </w:num>
  <w:num w:numId="2" w16cid:durableId="2021200952">
    <w:abstractNumId w:val="7"/>
  </w:num>
  <w:num w:numId="3" w16cid:durableId="1581326236">
    <w:abstractNumId w:val="11"/>
  </w:num>
  <w:num w:numId="4" w16cid:durableId="1625386404">
    <w:abstractNumId w:val="5"/>
  </w:num>
  <w:num w:numId="5" w16cid:durableId="134371567">
    <w:abstractNumId w:val="0"/>
  </w:num>
  <w:num w:numId="6" w16cid:durableId="1001393117">
    <w:abstractNumId w:val="1"/>
  </w:num>
  <w:num w:numId="7" w16cid:durableId="1947425471">
    <w:abstractNumId w:val="8"/>
  </w:num>
  <w:num w:numId="8" w16cid:durableId="2091582682">
    <w:abstractNumId w:val="6"/>
  </w:num>
  <w:num w:numId="9" w16cid:durableId="1027755202">
    <w:abstractNumId w:val="4"/>
  </w:num>
  <w:num w:numId="10" w16cid:durableId="1187910424">
    <w:abstractNumId w:val="12"/>
  </w:num>
  <w:num w:numId="11" w16cid:durableId="543568097">
    <w:abstractNumId w:val="3"/>
  </w:num>
  <w:num w:numId="12" w16cid:durableId="137849284">
    <w:abstractNumId w:val="10"/>
  </w:num>
  <w:num w:numId="13" w16cid:durableId="1160740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4C3"/>
    <w:rsid w:val="000029C5"/>
    <w:rsid w:val="00014E96"/>
    <w:rsid w:val="0003497D"/>
    <w:rsid w:val="000353A9"/>
    <w:rsid w:val="00040A86"/>
    <w:rsid w:val="00060ADA"/>
    <w:rsid w:val="000802C0"/>
    <w:rsid w:val="00083AA1"/>
    <w:rsid w:val="000A7774"/>
    <w:rsid w:val="000B73E3"/>
    <w:rsid w:val="000D2B6B"/>
    <w:rsid w:val="000F301D"/>
    <w:rsid w:val="000F4D53"/>
    <w:rsid w:val="001069CE"/>
    <w:rsid w:val="0011250B"/>
    <w:rsid w:val="00112739"/>
    <w:rsid w:val="001261C5"/>
    <w:rsid w:val="001271D1"/>
    <w:rsid w:val="001320BF"/>
    <w:rsid w:val="00185ECC"/>
    <w:rsid w:val="001A2CBE"/>
    <w:rsid w:val="001B6BD1"/>
    <w:rsid w:val="001F173A"/>
    <w:rsid w:val="00212CD1"/>
    <w:rsid w:val="00251094"/>
    <w:rsid w:val="00253801"/>
    <w:rsid w:val="00262D74"/>
    <w:rsid w:val="00274FDD"/>
    <w:rsid w:val="002941E0"/>
    <w:rsid w:val="00296509"/>
    <w:rsid w:val="00312661"/>
    <w:rsid w:val="00322695"/>
    <w:rsid w:val="00323142"/>
    <w:rsid w:val="003473F1"/>
    <w:rsid w:val="00347C13"/>
    <w:rsid w:val="00384639"/>
    <w:rsid w:val="00384C38"/>
    <w:rsid w:val="003915FC"/>
    <w:rsid w:val="003B605B"/>
    <w:rsid w:val="003F549A"/>
    <w:rsid w:val="004060D4"/>
    <w:rsid w:val="00416E01"/>
    <w:rsid w:val="00417CB8"/>
    <w:rsid w:val="004221F7"/>
    <w:rsid w:val="00426465"/>
    <w:rsid w:val="004270FF"/>
    <w:rsid w:val="004323C0"/>
    <w:rsid w:val="00433AEE"/>
    <w:rsid w:val="00445CFD"/>
    <w:rsid w:val="004474C3"/>
    <w:rsid w:val="00454971"/>
    <w:rsid w:val="00457EA3"/>
    <w:rsid w:val="004633D1"/>
    <w:rsid w:val="004D15BE"/>
    <w:rsid w:val="00502917"/>
    <w:rsid w:val="00502AB6"/>
    <w:rsid w:val="00505F9D"/>
    <w:rsid w:val="00541023"/>
    <w:rsid w:val="00597AE6"/>
    <w:rsid w:val="00597E9B"/>
    <w:rsid w:val="005A3C91"/>
    <w:rsid w:val="005D57BE"/>
    <w:rsid w:val="005F2822"/>
    <w:rsid w:val="0062061B"/>
    <w:rsid w:val="00673848"/>
    <w:rsid w:val="006B523B"/>
    <w:rsid w:val="006D038A"/>
    <w:rsid w:val="006D614B"/>
    <w:rsid w:val="00711E84"/>
    <w:rsid w:val="007253F4"/>
    <w:rsid w:val="00730735"/>
    <w:rsid w:val="0073073D"/>
    <w:rsid w:val="0073460B"/>
    <w:rsid w:val="007654BC"/>
    <w:rsid w:val="00771FAD"/>
    <w:rsid w:val="00781DC7"/>
    <w:rsid w:val="007870E0"/>
    <w:rsid w:val="007D20E1"/>
    <w:rsid w:val="007F2128"/>
    <w:rsid w:val="007F7623"/>
    <w:rsid w:val="008324F3"/>
    <w:rsid w:val="008370EC"/>
    <w:rsid w:val="008438F6"/>
    <w:rsid w:val="0084615F"/>
    <w:rsid w:val="0087077D"/>
    <w:rsid w:val="00880493"/>
    <w:rsid w:val="008877FE"/>
    <w:rsid w:val="00892DE1"/>
    <w:rsid w:val="0089405F"/>
    <w:rsid w:val="008D0E8A"/>
    <w:rsid w:val="00907AC9"/>
    <w:rsid w:val="00935685"/>
    <w:rsid w:val="00966070"/>
    <w:rsid w:val="00970C26"/>
    <w:rsid w:val="00975A17"/>
    <w:rsid w:val="009956C5"/>
    <w:rsid w:val="009B382E"/>
    <w:rsid w:val="009B4DB4"/>
    <w:rsid w:val="009D2E6C"/>
    <w:rsid w:val="009F43ED"/>
    <w:rsid w:val="009F5C8C"/>
    <w:rsid w:val="00A00FA2"/>
    <w:rsid w:val="00A122A6"/>
    <w:rsid w:val="00A368F8"/>
    <w:rsid w:val="00A45DD0"/>
    <w:rsid w:val="00A46B8F"/>
    <w:rsid w:val="00A50608"/>
    <w:rsid w:val="00A612F7"/>
    <w:rsid w:val="00A63BA2"/>
    <w:rsid w:val="00A735A1"/>
    <w:rsid w:val="00A83A07"/>
    <w:rsid w:val="00AB25D7"/>
    <w:rsid w:val="00AC50E4"/>
    <w:rsid w:val="00AD76AC"/>
    <w:rsid w:val="00B235C3"/>
    <w:rsid w:val="00B45485"/>
    <w:rsid w:val="00B573DC"/>
    <w:rsid w:val="00B73116"/>
    <w:rsid w:val="00B7758E"/>
    <w:rsid w:val="00B82180"/>
    <w:rsid w:val="00BC03A7"/>
    <w:rsid w:val="00BE3888"/>
    <w:rsid w:val="00BE7510"/>
    <w:rsid w:val="00C0277E"/>
    <w:rsid w:val="00C0749B"/>
    <w:rsid w:val="00C148B6"/>
    <w:rsid w:val="00C27324"/>
    <w:rsid w:val="00C31FB0"/>
    <w:rsid w:val="00C61981"/>
    <w:rsid w:val="00C974A1"/>
    <w:rsid w:val="00CB2E94"/>
    <w:rsid w:val="00CE6F92"/>
    <w:rsid w:val="00CE72E4"/>
    <w:rsid w:val="00CF23B2"/>
    <w:rsid w:val="00CF3B7C"/>
    <w:rsid w:val="00D61B60"/>
    <w:rsid w:val="00D65DAF"/>
    <w:rsid w:val="00D76B1B"/>
    <w:rsid w:val="00D8076D"/>
    <w:rsid w:val="00DA3AD3"/>
    <w:rsid w:val="00DD47C9"/>
    <w:rsid w:val="00DF6171"/>
    <w:rsid w:val="00E0651E"/>
    <w:rsid w:val="00E06DB7"/>
    <w:rsid w:val="00E160D2"/>
    <w:rsid w:val="00E2022A"/>
    <w:rsid w:val="00E3095E"/>
    <w:rsid w:val="00E30C19"/>
    <w:rsid w:val="00E31A68"/>
    <w:rsid w:val="00E44500"/>
    <w:rsid w:val="00E46F33"/>
    <w:rsid w:val="00E6499A"/>
    <w:rsid w:val="00E73CB3"/>
    <w:rsid w:val="00E7607B"/>
    <w:rsid w:val="00E93AF5"/>
    <w:rsid w:val="00EA2DFA"/>
    <w:rsid w:val="00ED68D2"/>
    <w:rsid w:val="00F11A17"/>
    <w:rsid w:val="00F318FE"/>
    <w:rsid w:val="00F35FCA"/>
    <w:rsid w:val="00F50DFD"/>
    <w:rsid w:val="00F55D1B"/>
    <w:rsid w:val="00F63F5E"/>
    <w:rsid w:val="00F66B01"/>
    <w:rsid w:val="00F86A87"/>
    <w:rsid w:val="00F87571"/>
    <w:rsid w:val="00FB3489"/>
    <w:rsid w:val="00FD03CE"/>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783586"/>
  <w15:chartTrackingRefBased/>
  <w15:docId w15:val="{C48AD207-296F-4FBB-B7D5-4514DE7AB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FDD"/>
    <w:rPr>
      <w:rFonts w:ascii="Arial" w:hAnsi="Arial"/>
      <w:color w:val="000000" w:themeColor="text1"/>
      <w:sz w:val="24"/>
    </w:rPr>
  </w:style>
  <w:style w:type="paragraph" w:styleId="Heading1">
    <w:name w:val="heading 1"/>
    <w:basedOn w:val="Normal"/>
    <w:next w:val="Normal"/>
    <w:link w:val="Heading1Char"/>
    <w:uiPriority w:val="9"/>
    <w:qFormat/>
    <w:rsid w:val="00274FDD"/>
    <w:pPr>
      <w:spacing w:line="360" w:lineRule="auto"/>
      <w:jc w:val="both"/>
      <w:outlineLvl w:val="0"/>
    </w:pPr>
    <w:rPr>
      <w:rFonts w:cs="Arial"/>
      <w:b/>
      <w:szCs w:val="24"/>
      <w:lang w:val="en-US"/>
    </w:rPr>
  </w:style>
  <w:style w:type="paragraph" w:styleId="Heading2">
    <w:name w:val="heading 2"/>
    <w:basedOn w:val="Normal"/>
    <w:next w:val="Normal"/>
    <w:link w:val="Heading2Char"/>
    <w:uiPriority w:val="9"/>
    <w:unhideWhenUsed/>
    <w:qFormat/>
    <w:rsid w:val="00E2022A"/>
    <w:pPr>
      <w:keepNext/>
      <w:keepLines/>
      <w:spacing w:before="160" w:after="80"/>
      <w:jc w:val="both"/>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4474C3"/>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4474C3"/>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4474C3"/>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4474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74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74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74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4FDD"/>
    <w:rPr>
      <w:rFonts w:ascii="Arial" w:hAnsi="Arial" w:cs="Arial"/>
      <w:b/>
      <w:color w:val="000000" w:themeColor="text1"/>
      <w:sz w:val="24"/>
      <w:szCs w:val="24"/>
      <w:lang w:val="en-US"/>
    </w:rPr>
  </w:style>
  <w:style w:type="character" w:customStyle="1" w:styleId="Heading2Char">
    <w:name w:val="Heading 2 Char"/>
    <w:basedOn w:val="DefaultParagraphFont"/>
    <w:link w:val="Heading2"/>
    <w:uiPriority w:val="9"/>
    <w:rsid w:val="00E2022A"/>
    <w:rPr>
      <w:rFonts w:ascii="Arial" w:eastAsiaTheme="majorEastAsia" w:hAnsi="Arial" w:cstheme="majorBidi"/>
      <w:b/>
      <w:color w:val="000000" w:themeColor="text1"/>
      <w:sz w:val="24"/>
      <w:szCs w:val="32"/>
    </w:rPr>
  </w:style>
  <w:style w:type="character" w:customStyle="1" w:styleId="Heading3Char">
    <w:name w:val="Heading 3 Char"/>
    <w:basedOn w:val="DefaultParagraphFont"/>
    <w:link w:val="Heading3"/>
    <w:uiPriority w:val="9"/>
    <w:semiHidden/>
    <w:rsid w:val="004474C3"/>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4474C3"/>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4474C3"/>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4474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74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74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74C3"/>
    <w:rPr>
      <w:rFonts w:eastAsiaTheme="majorEastAsia" w:cstheme="majorBidi"/>
      <w:color w:val="272727" w:themeColor="text1" w:themeTint="D8"/>
    </w:rPr>
  </w:style>
  <w:style w:type="paragraph" w:styleId="Title">
    <w:name w:val="Title"/>
    <w:basedOn w:val="Normal"/>
    <w:next w:val="Normal"/>
    <w:link w:val="TitleChar"/>
    <w:uiPriority w:val="10"/>
    <w:qFormat/>
    <w:rsid w:val="004474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74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74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74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74C3"/>
    <w:pPr>
      <w:spacing w:before="160"/>
      <w:jc w:val="center"/>
    </w:pPr>
    <w:rPr>
      <w:i/>
      <w:iCs/>
      <w:color w:val="404040" w:themeColor="text1" w:themeTint="BF"/>
    </w:rPr>
  </w:style>
  <w:style w:type="character" w:customStyle="1" w:styleId="QuoteChar">
    <w:name w:val="Quote Char"/>
    <w:basedOn w:val="DefaultParagraphFont"/>
    <w:link w:val="Quote"/>
    <w:uiPriority w:val="29"/>
    <w:rsid w:val="004474C3"/>
    <w:rPr>
      <w:i/>
      <w:iCs/>
      <w:color w:val="404040" w:themeColor="text1" w:themeTint="BF"/>
    </w:rPr>
  </w:style>
  <w:style w:type="paragraph" w:styleId="ListParagraph">
    <w:name w:val="List Paragraph"/>
    <w:basedOn w:val="Normal"/>
    <w:uiPriority w:val="34"/>
    <w:qFormat/>
    <w:rsid w:val="004474C3"/>
    <w:pPr>
      <w:ind w:left="720"/>
      <w:contextualSpacing/>
    </w:pPr>
  </w:style>
  <w:style w:type="character" w:styleId="IntenseEmphasis">
    <w:name w:val="Intense Emphasis"/>
    <w:basedOn w:val="DefaultParagraphFont"/>
    <w:uiPriority w:val="21"/>
    <w:qFormat/>
    <w:rsid w:val="004474C3"/>
    <w:rPr>
      <w:i/>
      <w:iCs/>
      <w:color w:val="2E74B5" w:themeColor="accent1" w:themeShade="BF"/>
    </w:rPr>
  </w:style>
  <w:style w:type="paragraph" w:styleId="IntenseQuote">
    <w:name w:val="Intense Quote"/>
    <w:basedOn w:val="Normal"/>
    <w:next w:val="Normal"/>
    <w:link w:val="IntenseQuoteChar"/>
    <w:uiPriority w:val="30"/>
    <w:qFormat/>
    <w:rsid w:val="004474C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4474C3"/>
    <w:rPr>
      <w:i/>
      <w:iCs/>
      <w:color w:val="2E74B5" w:themeColor="accent1" w:themeShade="BF"/>
    </w:rPr>
  </w:style>
  <w:style w:type="character" w:styleId="IntenseReference">
    <w:name w:val="Intense Reference"/>
    <w:basedOn w:val="DefaultParagraphFont"/>
    <w:uiPriority w:val="32"/>
    <w:qFormat/>
    <w:rsid w:val="004474C3"/>
    <w:rPr>
      <w:b/>
      <w:bCs/>
      <w:smallCaps/>
      <w:color w:val="2E74B5" w:themeColor="accent1" w:themeShade="BF"/>
      <w:spacing w:val="5"/>
    </w:rPr>
  </w:style>
  <w:style w:type="character" w:styleId="Hyperlink">
    <w:name w:val="Hyperlink"/>
    <w:basedOn w:val="DefaultParagraphFont"/>
    <w:uiPriority w:val="99"/>
    <w:unhideWhenUsed/>
    <w:rsid w:val="0087077D"/>
    <w:rPr>
      <w:color w:val="0563C1" w:themeColor="hyperlink"/>
      <w:u w:val="single"/>
    </w:rPr>
  </w:style>
  <w:style w:type="character" w:styleId="UnresolvedMention">
    <w:name w:val="Unresolved Mention"/>
    <w:basedOn w:val="DefaultParagraphFont"/>
    <w:uiPriority w:val="99"/>
    <w:semiHidden/>
    <w:unhideWhenUsed/>
    <w:rsid w:val="0087077D"/>
    <w:rPr>
      <w:color w:val="605E5C"/>
      <w:shd w:val="clear" w:color="auto" w:fill="E1DFDD"/>
    </w:rPr>
  </w:style>
  <w:style w:type="paragraph" w:styleId="TOCHeading">
    <w:name w:val="TOC Heading"/>
    <w:basedOn w:val="Heading1"/>
    <w:next w:val="Normal"/>
    <w:uiPriority w:val="39"/>
    <w:unhideWhenUsed/>
    <w:qFormat/>
    <w:rsid w:val="009F5C8C"/>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9F5C8C"/>
    <w:pPr>
      <w:spacing w:after="100"/>
    </w:pPr>
  </w:style>
  <w:style w:type="paragraph" w:styleId="TOC2">
    <w:name w:val="toc 2"/>
    <w:basedOn w:val="Normal"/>
    <w:next w:val="Normal"/>
    <w:autoRedefine/>
    <w:uiPriority w:val="39"/>
    <w:unhideWhenUsed/>
    <w:rsid w:val="009F5C8C"/>
    <w:pPr>
      <w:spacing w:after="100"/>
      <w:ind w:left="240"/>
    </w:pPr>
  </w:style>
  <w:style w:type="paragraph" w:styleId="Header">
    <w:name w:val="header"/>
    <w:basedOn w:val="Normal"/>
    <w:link w:val="HeaderChar"/>
    <w:uiPriority w:val="99"/>
    <w:unhideWhenUsed/>
    <w:rsid w:val="009F5C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5C8C"/>
    <w:rPr>
      <w:rFonts w:ascii="Arial" w:hAnsi="Arial"/>
      <w:color w:val="000000" w:themeColor="text1"/>
      <w:sz w:val="24"/>
    </w:rPr>
  </w:style>
  <w:style w:type="paragraph" w:styleId="Footer">
    <w:name w:val="footer"/>
    <w:basedOn w:val="Normal"/>
    <w:link w:val="FooterChar"/>
    <w:uiPriority w:val="99"/>
    <w:unhideWhenUsed/>
    <w:rsid w:val="009F5C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5C8C"/>
    <w:rPr>
      <w:rFonts w:ascii="Arial" w:hAnsi="Arial"/>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visitbritain.org/research-insights/england-domestic-tourism-regional-and-subregional-data?utm_source=chatgpt.com" TargetMode="External"/><Relationship Id="rId2" Type="http://schemas.openxmlformats.org/officeDocument/2006/relationships/numbering" Target="numbering.xml"/><Relationship Id="rId16" Type="http://schemas.openxmlformats.org/officeDocument/2006/relationships/hyperlink" Target="https://sportengland-production-files.s3.eu-west-2.amazonaws.com/s3fs-public/2026-04/Active%20Lives%20Adult%20Survey%20November%202024-25%20Report_.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sv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89D130-F12E-47E6-80CE-7D0372F11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4116</Words>
  <Characters>23463</Characters>
  <Application>Microsoft Office Word</Application>
  <DocSecurity>0</DocSecurity>
  <Lines>195</Lines>
  <Paragraphs>55</Paragraphs>
  <ScaleCrop>false</ScaleCrop>
  <Company/>
  <LinksUpToDate>false</LinksUpToDate>
  <CharactersWithSpaces>27524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mt360daysservice@gmail.com</dc:creator>
  <cp:keywords/>
  <dc:description/>
  <cp:lastModifiedBy>Mayuri Prajapati</cp:lastModifiedBy>
  <cp:revision>2</cp:revision>
  <dcterms:created xsi:type="dcterms:W3CDTF">2026-08-13T15:48:00Z</dcterms:created>
  <dcterms:modified xsi:type="dcterms:W3CDTF">2026-08-13T15:48:00Z</dcterms:modified>
</cp:coreProperties>
</file>