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7AB2" w:rsidRDefault="00947AB2" w:rsidP="00947AB2">
      <w:pPr>
        <w:pStyle w:val="NormalWeb"/>
        <w:spacing w:before="0" w:beforeAutospacing="0" w:after="0" w:afterAutospacing="0"/>
        <w:ind w:left="-180" w:right="-334"/>
      </w:pPr>
      <w:r>
        <w:rPr>
          <w:noProof/>
          <w:lang w:eastAsia="en-GB"/>
        </w:rPr>
        <w:drawing>
          <wp:inline distT="0" distB="0" distL="0" distR="0">
            <wp:extent cx="2062480" cy="855980"/>
            <wp:effectExtent l="1905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a:srcRect/>
                    <a:stretch>
                      <a:fillRect/>
                    </a:stretch>
                  </pic:blipFill>
                  <pic:spPr bwMode="auto">
                    <a:xfrm>
                      <a:off x="0" y="0"/>
                      <a:ext cx="2062480" cy="855980"/>
                    </a:xfrm>
                    <a:prstGeom prst="rect">
                      <a:avLst/>
                    </a:prstGeom>
                    <a:noFill/>
                    <a:ln w="9525">
                      <a:noFill/>
                      <a:miter lim="800000"/>
                      <a:headEnd/>
                      <a:tailEnd/>
                    </a:ln>
                  </pic:spPr>
                </pic:pic>
              </a:graphicData>
            </a:graphic>
          </wp:inline>
        </w:drawing>
      </w:r>
    </w:p>
    <w:p w:rsidR="00947AB2" w:rsidRDefault="00947AB2" w:rsidP="00947AB2">
      <w:pPr>
        <w:pStyle w:val="NormalWeb"/>
        <w:spacing w:before="0" w:beforeAutospacing="0" w:after="0" w:afterAutospacing="0"/>
        <w:ind w:left="-180" w:right="-334"/>
      </w:pPr>
    </w:p>
    <w:p w:rsidR="00947AB2" w:rsidRDefault="00947AB2" w:rsidP="00947AB2">
      <w:pPr>
        <w:pStyle w:val="NormalWeb"/>
        <w:spacing w:before="0" w:beforeAutospacing="0" w:after="0" w:afterAutospacing="0"/>
        <w:ind w:left="-180" w:right="-334"/>
      </w:pPr>
    </w:p>
    <w:p w:rsidR="00947AB2" w:rsidRDefault="00947AB2" w:rsidP="00947AB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47AB2" w:rsidRPr="00230F35" w:rsidRDefault="00947AB2" w:rsidP="00947AB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47AB2" w:rsidRPr="00230F35" w:rsidRDefault="00947AB2" w:rsidP="00947AB2">
      <w:pPr>
        <w:rPr>
          <w:rFonts w:ascii="Arial" w:hAnsi="Arial" w:cs="Arial"/>
          <w:sz w:val="28"/>
          <w:szCs w:val="28"/>
          <w:lang w:val="cy-GB"/>
        </w:rPr>
      </w:pPr>
    </w:p>
    <w:p w:rsidR="00947AB2" w:rsidRDefault="00947AB2" w:rsidP="00947AB2">
      <w:pPr>
        <w:pStyle w:val="Heading3"/>
        <w:jc w:val="center"/>
        <w:rPr>
          <w:lang w:val="cy-GB"/>
        </w:rPr>
      </w:pPr>
      <w:r>
        <w:rPr>
          <w:lang w:val="cy-GB"/>
        </w:rPr>
        <w:t>THIS SHEET MUST BE THE FIRST PAGE OF THE ASSIGNMENT YOU ARE SUBMITTING  (DO NOT SEND AS A SEPARATE FILE)</w:t>
      </w:r>
    </w:p>
    <w:p w:rsidR="00947AB2" w:rsidRDefault="00947AB2" w:rsidP="00947AB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947AB2" w:rsidRPr="00230F35" w:rsidTr="00AE1C23">
        <w:trPr>
          <w:trHeight w:val="614"/>
        </w:trPr>
        <w:tc>
          <w:tcPr>
            <w:tcW w:w="8856" w:type="dxa"/>
            <w:gridSpan w:val="5"/>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7AB2" w:rsidRPr="00230F35" w:rsidTr="00AE1C23">
        <w:trPr>
          <w:trHeight w:val="718"/>
        </w:trPr>
        <w:tc>
          <w:tcPr>
            <w:tcW w:w="8856" w:type="dxa"/>
            <w:gridSpan w:val="5"/>
          </w:tcPr>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Jim Burke</w:t>
            </w:r>
          </w:p>
        </w:tc>
      </w:tr>
      <w:tr w:rsidR="00947AB2" w:rsidRPr="00230F35" w:rsidTr="00AE1C23">
        <w:trPr>
          <w:trHeight w:val="849"/>
        </w:trPr>
        <w:tc>
          <w:tcPr>
            <w:tcW w:w="4788" w:type="dxa"/>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947AB2" w:rsidRPr="00230F35" w:rsidRDefault="00947AB2" w:rsidP="00AE1C23">
            <w:pPr>
              <w:pStyle w:val="NormalWeb"/>
              <w:spacing w:before="0" w:beforeAutospacing="0" w:after="0" w:afterAutospacing="0"/>
              <w:ind w:right="34"/>
              <w:rPr>
                <w:rFonts w:ascii="Arial" w:hAnsi="Arial" w:cs="Arial"/>
                <w:sz w:val="22"/>
                <w:szCs w:val="22"/>
              </w:rPr>
            </w:pPr>
            <w:r>
              <w:rPr>
                <w:rFonts w:ascii="Arial" w:hAnsi="Arial" w:cs="Arial"/>
                <w:sz w:val="22"/>
                <w:szCs w:val="22"/>
              </w:rPr>
              <w:t>CSEN7037</w:t>
            </w:r>
          </w:p>
          <w:p w:rsidR="00947AB2" w:rsidRPr="00B82ADE"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245D4A">
              <w:rPr>
                <w:rFonts w:ascii="Arial" w:hAnsi="Arial" w:cs="Arial"/>
                <w:b/>
                <w:sz w:val="24"/>
                <w:szCs w:val="24"/>
              </w:rPr>
              <w:t>The Shock of the New: from Modernism to Post-modernism</w:t>
            </w:r>
          </w:p>
          <w:p w:rsidR="00947AB2" w:rsidRPr="00230F35" w:rsidRDefault="00947AB2" w:rsidP="00AE1C23">
            <w:pPr>
              <w:pStyle w:val="NormalWeb"/>
              <w:spacing w:before="0" w:beforeAutospacing="0" w:after="0" w:afterAutospacing="0"/>
              <w:ind w:right="34"/>
              <w:rPr>
                <w:rFonts w:ascii="Arial" w:hAnsi="Arial" w:cs="Arial"/>
                <w:sz w:val="22"/>
                <w:szCs w:val="22"/>
              </w:rPr>
            </w:pPr>
          </w:p>
        </w:tc>
        <w:tc>
          <w:tcPr>
            <w:tcW w:w="2266" w:type="dxa"/>
            <w:gridSpan w:val="3"/>
          </w:tcPr>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1706527</w:t>
            </w:r>
          </w:p>
        </w:tc>
        <w:tc>
          <w:tcPr>
            <w:tcW w:w="1802" w:type="dxa"/>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947AB2" w:rsidRPr="00B82ADE" w:rsidRDefault="00947AB2" w:rsidP="00AE1C23">
            <w:pPr>
              <w:pStyle w:val="NormalWeb"/>
              <w:spacing w:before="0" w:beforeAutospacing="0" w:after="0" w:afterAutospacing="0"/>
              <w:ind w:right="34"/>
              <w:rPr>
                <w:rFonts w:ascii="Arial" w:hAnsi="Arial" w:cs="Arial"/>
                <w:b/>
                <w:sz w:val="22"/>
                <w:szCs w:val="22"/>
              </w:rPr>
            </w:pPr>
            <w:r w:rsidRPr="00B82ADE">
              <w:rPr>
                <w:rFonts w:ascii="Arial" w:hAnsi="Arial" w:cs="Arial"/>
                <w:b/>
                <w:sz w:val="22"/>
                <w:szCs w:val="22"/>
              </w:rPr>
              <w:t>No</w:t>
            </w:r>
          </w:p>
        </w:tc>
      </w:tr>
      <w:tr w:rsidR="00947AB2" w:rsidRPr="00230F35" w:rsidTr="00AE1C23">
        <w:trPr>
          <w:trHeight w:val="1139"/>
        </w:trPr>
        <w:tc>
          <w:tcPr>
            <w:tcW w:w="8856" w:type="dxa"/>
            <w:gridSpan w:val="5"/>
          </w:tcPr>
          <w:p w:rsidR="00947AB2" w:rsidRPr="00B82ADE" w:rsidRDefault="00947AB2" w:rsidP="00AE1C23">
            <w:pPr>
              <w:pStyle w:val="NormalWeb"/>
              <w:spacing w:before="0" w:beforeAutospacing="0" w:after="0" w:afterAutospacing="0"/>
              <w:ind w:right="34"/>
              <w:rPr>
                <w:rFonts w:ascii="Arial" w:hAnsi="Arial" w:cs="Arial"/>
                <w:b/>
                <w:sz w:val="22"/>
                <w:szCs w:val="22"/>
              </w:rPr>
            </w:pPr>
            <w:r>
              <w:rPr>
                <w:rFonts w:ascii="Arial" w:hAnsi="Arial" w:cs="Arial"/>
                <w:sz w:val="22"/>
                <w:szCs w:val="22"/>
              </w:rPr>
              <w:t xml:space="preserve">Module tutor: </w:t>
            </w:r>
            <w:r w:rsidR="00245D4A">
              <w:rPr>
                <w:rFonts w:ascii="Arial" w:hAnsi="Arial" w:cs="Arial"/>
                <w:b/>
                <w:sz w:val="22"/>
                <w:szCs w:val="22"/>
              </w:rPr>
              <w:t>Jenni Williams</w:t>
            </w:r>
          </w:p>
          <w:p w:rsidR="00947AB2" w:rsidRPr="00230F35" w:rsidRDefault="00947AB2" w:rsidP="00AE1C23">
            <w:pPr>
              <w:pStyle w:val="NormalWeb"/>
              <w:spacing w:before="0" w:beforeAutospacing="0" w:after="0" w:afterAutospacing="0"/>
              <w:ind w:right="34"/>
              <w:rPr>
                <w:rFonts w:ascii="Arial" w:hAnsi="Arial" w:cs="Arial"/>
                <w:sz w:val="22"/>
                <w:szCs w:val="22"/>
              </w:rPr>
            </w:pPr>
          </w:p>
          <w:p w:rsidR="00947AB2" w:rsidRDefault="00947AB2" w:rsidP="00AE1C23">
            <w:pPr>
              <w:pStyle w:val="NormalWeb"/>
              <w:spacing w:before="0" w:beforeAutospacing="0" w:after="0" w:afterAutospacing="0"/>
              <w:ind w:right="34"/>
              <w:rPr>
                <w:rFonts w:ascii="Arial" w:hAnsi="Arial" w:cs="Arial"/>
                <w:sz w:val="22"/>
                <w:szCs w:val="22"/>
              </w:rPr>
            </w:pPr>
          </w:p>
          <w:p w:rsidR="00947AB2" w:rsidRPr="00230F35" w:rsidRDefault="00947AB2" w:rsidP="006334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334D3">
              <w:rPr>
                <w:rFonts w:ascii="Arial" w:hAnsi="Arial" w:cs="Arial"/>
                <w:b/>
                <w:sz w:val="22"/>
                <w:szCs w:val="22"/>
              </w:rPr>
              <w:t>14.05.</w:t>
            </w:r>
            <w:r w:rsidR="00245D4A">
              <w:rPr>
                <w:rFonts w:ascii="Arial" w:hAnsi="Arial" w:cs="Arial"/>
                <w:b/>
                <w:sz w:val="22"/>
                <w:szCs w:val="22"/>
              </w:rPr>
              <w:t>2</w:t>
            </w:r>
            <w:r w:rsidRPr="00B82ADE">
              <w:rPr>
                <w:rFonts w:ascii="Arial" w:hAnsi="Arial" w:cs="Arial"/>
                <w:b/>
                <w:sz w:val="22"/>
                <w:szCs w:val="22"/>
              </w:rPr>
              <w:t>018</w:t>
            </w:r>
          </w:p>
        </w:tc>
      </w:tr>
      <w:tr w:rsidR="00947AB2" w:rsidRPr="00230F35" w:rsidTr="00AE1C23">
        <w:trPr>
          <w:trHeight w:val="978"/>
        </w:trPr>
        <w:tc>
          <w:tcPr>
            <w:tcW w:w="8856" w:type="dxa"/>
            <w:gridSpan w:val="5"/>
            <w:tcBorders>
              <w:bottom w:val="single" w:sz="4" w:space="0" w:color="000000"/>
            </w:tcBorders>
          </w:tcPr>
          <w:p w:rsidR="00947AB2" w:rsidRDefault="00947AB2" w:rsidP="00AE1C23">
            <w:pPr>
              <w:rPr>
                <w:rFonts w:ascii="Arial" w:hAnsi="Arial" w:cs="Arial"/>
              </w:rPr>
            </w:pPr>
            <w:r>
              <w:rPr>
                <w:rFonts w:ascii="Arial" w:hAnsi="Arial" w:cs="Arial"/>
              </w:rPr>
              <w:t>If your module has multiple submissions please indicate which piece of work this is.</w:t>
            </w:r>
          </w:p>
          <w:p w:rsidR="00947AB2" w:rsidRDefault="00947AB2" w:rsidP="00AE1C23">
            <w:pPr>
              <w:rPr>
                <w:rFonts w:ascii="Arial" w:hAnsi="Arial" w:cs="Arial"/>
              </w:rPr>
            </w:pPr>
          </w:p>
          <w:p w:rsidR="00947AB2" w:rsidRPr="00230F35" w:rsidRDefault="00947AB2" w:rsidP="006334D3">
            <w:pPr>
              <w:rPr>
                <w:rFonts w:ascii="Arial" w:hAnsi="Arial" w:cs="Arial"/>
              </w:rPr>
            </w:pPr>
            <w:r w:rsidRPr="00230F35">
              <w:rPr>
                <w:rFonts w:ascii="Arial" w:hAnsi="Arial" w:cs="Arial"/>
              </w:rPr>
              <w:t>1</w:t>
            </w:r>
            <w:r w:rsidRPr="00230F35">
              <w:rPr>
                <w:rFonts w:ascii="Arial" w:hAnsi="Arial" w:cs="Arial"/>
                <w:vertAlign w:val="superscript"/>
              </w:rPr>
              <w:t>st</w:t>
            </w:r>
            <w:r>
              <w:rPr>
                <w:rFonts w:ascii="Arial" w:hAnsi="Arial" w:cs="Arial"/>
                <w:vertAlign w:val="superscript"/>
              </w:rPr>
              <w:t xml:space="preserve"> </w:t>
            </w:r>
            <w:r w:rsidRPr="00230F35">
              <w:rPr>
                <w:rFonts w:ascii="Arial" w:hAnsi="Arial" w:cs="Arial"/>
                <w:vertAlign w:val="superscript"/>
              </w:rPr>
              <w:t xml:space="preserve"> </w:t>
            </w:r>
            <w:r w:rsidRPr="00A31ABF">
              <w:rPr>
                <w:rFonts w:ascii="Arial" w:hAnsi="Arial" w:cs="Arial"/>
                <w:b/>
                <w:sz w:val="32"/>
                <w:szCs w:val="32"/>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6334D3">
              <w:rPr>
                <w:rFonts w:ascii="Arial" w:hAnsi="Arial" w:cs="Arial"/>
                <w:b/>
              </w:rPr>
              <w:t xml:space="preserve"> </w:t>
            </w:r>
            <w:r w:rsidRPr="00230F35">
              <w:rPr>
                <w:rFonts w:ascii="Arial" w:hAnsi="Arial" w:cs="Arial"/>
              </w:rPr>
              <w:t xml:space="preserve">   3</w:t>
            </w:r>
            <w:r w:rsidRPr="00230F35">
              <w:rPr>
                <w:rFonts w:ascii="Arial" w:hAnsi="Arial" w:cs="Arial"/>
                <w:vertAlign w:val="superscript"/>
              </w:rPr>
              <w:t>rd</w:t>
            </w:r>
            <w:r w:rsidRPr="0041324C">
              <w:rPr>
                <w:rFonts w:ascii="Arial" w:hAnsi="Arial" w:cs="Arial"/>
                <w:b/>
              </w:rPr>
              <w:t xml:space="preserve"> </w:t>
            </w:r>
            <w:r w:rsidR="0041324C" w:rsidRPr="0041324C">
              <w:rPr>
                <w:rFonts w:ascii="Arial" w:hAnsi="Arial" w:cs="Arial"/>
                <w:b/>
              </w:rPr>
              <w:t>X</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p>
        </w:tc>
      </w:tr>
      <w:tr w:rsidR="00947AB2" w:rsidRPr="00230F35" w:rsidTr="00AE1C23">
        <w:trPr>
          <w:trHeight w:val="978"/>
        </w:trPr>
        <w:tc>
          <w:tcPr>
            <w:tcW w:w="8856" w:type="dxa"/>
            <w:gridSpan w:val="5"/>
            <w:shd w:val="clear" w:color="auto" w:fill="D9D9D9"/>
          </w:tcPr>
          <w:p w:rsidR="00947AB2" w:rsidRPr="00230F35"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47AB2" w:rsidRDefault="00947AB2" w:rsidP="00AE1C2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James Burke</w:t>
            </w:r>
            <w:r w:rsidRPr="00230F35">
              <w:rPr>
                <w:rFonts w:ascii="Arial" w:hAnsi="Arial" w:cs="Arial"/>
                <w:sz w:val="22"/>
                <w:szCs w:val="22"/>
              </w:rPr>
              <w:t>…………………………………………………………</w:t>
            </w:r>
          </w:p>
          <w:p w:rsidR="00947AB2" w:rsidRDefault="00947AB2" w:rsidP="00AE1C2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947AB2" w:rsidRPr="00230F35" w:rsidRDefault="00947AB2" w:rsidP="00AE1C2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47AB2" w:rsidRPr="00230F35" w:rsidTr="00AE1C23">
        <w:trPr>
          <w:trHeight w:val="3972"/>
        </w:trPr>
        <w:tc>
          <w:tcPr>
            <w:tcW w:w="8856" w:type="dxa"/>
            <w:gridSpan w:val="5"/>
          </w:tcPr>
          <w:p w:rsidR="00947AB2" w:rsidRDefault="00947AB2" w:rsidP="00AE1C23">
            <w:pPr>
              <w:rPr>
                <w:rFonts w:ascii="Arial" w:hAnsi="Arial"/>
                <w:b/>
              </w:rPr>
            </w:pPr>
          </w:p>
          <w:p w:rsidR="00947AB2" w:rsidRPr="00116CE6" w:rsidRDefault="00947AB2" w:rsidP="00AE1C2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Pr="00AA70BC" w:rsidRDefault="00947AB2" w:rsidP="00AE1C23">
                  <w:pPr>
                    <w:rPr>
                      <w:rFonts w:ascii="Arial" w:hAnsi="Arial"/>
                      <w:sz w:val="20"/>
                      <w:szCs w:val="20"/>
                    </w:rPr>
                  </w:pPr>
                  <w:r w:rsidRPr="00AA70BC">
                    <w:rPr>
                      <w:rFonts w:ascii="Arial" w:hAnsi="Arial"/>
                      <w:sz w:val="20"/>
                      <w:szCs w:val="20"/>
                    </w:rPr>
                    <w:t xml:space="preserve">Agreed Internal Mark: </w:t>
                  </w:r>
                </w:p>
                <w:p w:rsidR="00947AB2" w:rsidRPr="00E14D2E" w:rsidRDefault="00947AB2" w:rsidP="00AE1C23">
                  <w:pPr>
                    <w:rPr>
                      <w:rFonts w:ascii="Arial" w:hAnsi="Arial"/>
                      <w:sz w:val="20"/>
                      <w:szCs w:val="20"/>
                      <w:highlight w:val="yellow"/>
                    </w:rPr>
                  </w:pPr>
                </w:p>
              </w:tc>
              <w:tc>
                <w:tcPr>
                  <w:tcW w:w="1660" w:type="dxa"/>
                </w:tcPr>
                <w:p w:rsidR="00947AB2" w:rsidRPr="00E14D2E" w:rsidRDefault="00947AB2" w:rsidP="00AE1C23">
                  <w:pPr>
                    <w:rPr>
                      <w:rFonts w:ascii="Arial" w:hAnsi="Arial"/>
                      <w:sz w:val="20"/>
                      <w:szCs w:val="20"/>
                      <w:highlight w:val="yellow"/>
                    </w:rPr>
                  </w:pPr>
                </w:p>
              </w:tc>
            </w:tr>
            <w:tr w:rsidR="00947AB2" w:rsidRPr="00116CE6" w:rsidTr="00AE1C23">
              <w:tc>
                <w:tcPr>
                  <w:tcW w:w="6970" w:type="dxa"/>
                </w:tcPr>
                <w:p w:rsidR="00947AB2" w:rsidRPr="00116CE6" w:rsidRDefault="00947AB2" w:rsidP="00AE1C23">
                  <w:pPr>
                    <w:rPr>
                      <w:rFonts w:ascii="Arial" w:hAnsi="Arial"/>
                      <w:sz w:val="20"/>
                      <w:szCs w:val="20"/>
                    </w:rPr>
                  </w:pPr>
                </w:p>
                <w:p w:rsidR="00947AB2" w:rsidRPr="00116CE6" w:rsidRDefault="00947AB2" w:rsidP="00AE1C2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47AB2" w:rsidRPr="00116CE6" w:rsidRDefault="00947AB2" w:rsidP="00AE1C23">
                  <w:pPr>
                    <w:rPr>
                      <w:rFonts w:ascii="Arial" w:hAnsi="Arial"/>
                      <w:sz w:val="20"/>
                      <w:szCs w:val="20"/>
                    </w:rPr>
                  </w:pPr>
                </w:p>
              </w:tc>
            </w:tr>
            <w:tr w:rsidR="00947AB2" w:rsidRPr="00116CE6" w:rsidTr="00AE1C23">
              <w:tc>
                <w:tcPr>
                  <w:tcW w:w="6970" w:type="dxa"/>
                </w:tcPr>
                <w:p w:rsidR="00947AB2" w:rsidRDefault="00947AB2" w:rsidP="00AE1C23">
                  <w:pPr>
                    <w:rPr>
                      <w:rFonts w:ascii="Arial" w:hAnsi="Arial"/>
                      <w:sz w:val="20"/>
                      <w:szCs w:val="20"/>
                    </w:rPr>
                  </w:pPr>
                </w:p>
                <w:p w:rsidR="00947AB2" w:rsidRPr="00022345" w:rsidRDefault="00947AB2" w:rsidP="00AE1C23">
                  <w:pPr>
                    <w:rPr>
                      <w:rFonts w:ascii="Arial" w:hAnsi="Arial"/>
                      <w:b/>
                      <w:sz w:val="20"/>
                      <w:szCs w:val="20"/>
                    </w:rPr>
                  </w:pPr>
                  <w:r w:rsidRPr="00022345">
                    <w:rPr>
                      <w:rFonts w:ascii="Arial" w:hAnsi="Arial"/>
                      <w:b/>
                      <w:sz w:val="20"/>
                      <w:szCs w:val="20"/>
                    </w:rPr>
                    <w:t>Final Mark</w:t>
                  </w:r>
                </w:p>
                <w:p w:rsidR="00947AB2" w:rsidRPr="00116CE6" w:rsidRDefault="00947AB2" w:rsidP="00AE1C23">
                  <w:pPr>
                    <w:rPr>
                      <w:rFonts w:ascii="Arial" w:hAnsi="Arial"/>
                      <w:sz w:val="20"/>
                      <w:szCs w:val="20"/>
                    </w:rPr>
                  </w:pPr>
                </w:p>
              </w:tc>
              <w:tc>
                <w:tcPr>
                  <w:tcW w:w="1660" w:type="dxa"/>
                </w:tcPr>
                <w:p w:rsidR="00947AB2" w:rsidRPr="00116CE6" w:rsidRDefault="00947AB2" w:rsidP="00AE1C23">
                  <w:pPr>
                    <w:rPr>
                      <w:rFonts w:ascii="Arial" w:hAnsi="Arial"/>
                      <w:sz w:val="20"/>
                      <w:szCs w:val="20"/>
                    </w:rPr>
                  </w:pPr>
                </w:p>
              </w:tc>
            </w:tr>
          </w:tbl>
          <w:p w:rsidR="00947AB2" w:rsidRDefault="00947AB2" w:rsidP="00AE1C23">
            <w:pPr>
              <w:pStyle w:val="NormalWeb"/>
              <w:spacing w:before="0" w:beforeAutospacing="0" w:after="0" w:afterAutospacing="0"/>
              <w:ind w:left="142" w:right="34"/>
              <w:rPr>
                <w:rFonts w:ascii="Arial" w:hAnsi="Arial" w:cs="Arial"/>
                <w:b/>
                <w:sz w:val="22"/>
                <w:szCs w:val="22"/>
              </w:rPr>
            </w:pPr>
          </w:p>
          <w:p w:rsidR="00947AB2" w:rsidRPr="00230F35" w:rsidRDefault="00947AB2" w:rsidP="00AE1C2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47AB2" w:rsidRDefault="00947AB2" w:rsidP="00AE1C23">
            <w:pPr>
              <w:pStyle w:val="NormalWeb"/>
              <w:spacing w:before="0" w:beforeAutospacing="0" w:after="0" w:afterAutospacing="0"/>
              <w:rPr>
                <w:rFonts w:ascii="Arial" w:hAnsi="Arial" w:cs="Arial"/>
                <w:b/>
                <w:sz w:val="22"/>
                <w:szCs w:val="22"/>
              </w:rPr>
            </w:pPr>
          </w:p>
          <w:p w:rsidR="00947AB2" w:rsidRDefault="00947AB2" w:rsidP="00AE1C23">
            <w:pPr>
              <w:pStyle w:val="NormalWeb"/>
              <w:spacing w:before="0" w:beforeAutospacing="0" w:after="0" w:afterAutospacing="0"/>
              <w:rPr>
                <w:rFonts w:ascii="Arial" w:hAnsi="Arial" w:cs="Arial"/>
                <w:b/>
                <w:sz w:val="22"/>
                <w:szCs w:val="22"/>
              </w:rPr>
            </w:pPr>
          </w:p>
          <w:p w:rsidR="00947AB2" w:rsidRPr="00230F35" w:rsidRDefault="00947AB2" w:rsidP="00AE1C2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947AB2" w:rsidRDefault="00947AB2" w:rsidP="00AE1C2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47AB2" w:rsidRPr="00001C3B" w:rsidRDefault="00947AB2" w:rsidP="00AE1C23">
            <w:pPr>
              <w:pStyle w:val="NormalWeb"/>
              <w:rPr>
                <w:rFonts w:ascii="Arial" w:hAnsi="Arial" w:cs="Arial"/>
                <w:sz w:val="22"/>
                <w:szCs w:val="22"/>
              </w:rPr>
            </w:pPr>
          </w:p>
        </w:tc>
      </w:tr>
      <w:tr w:rsidR="00947AB2" w:rsidRPr="00230F35" w:rsidTr="00AE1C23">
        <w:trPr>
          <w:trHeight w:val="492"/>
        </w:trPr>
        <w:tc>
          <w:tcPr>
            <w:tcW w:w="6768" w:type="dxa"/>
            <w:gridSpan w:val="3"/>
          </w:tcPr>
          <w:p w:rsidR="00947AB2" w:rsidRPr="00230F35" w:rsidRDefault="00947AB2" w:rsidP="00AE1C2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47AB2" w:rsidRPr="00230F35" w:rsidRDefault="00947AB2" w:rsidP="00AE1C23">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7AB2" w:rsidRPr="002F467C" w:rsidTr="00AE1C23">
        <w:tc>
          <w:tcPr>
            <w:tcW w:w="8856" w:type="dxa"/>
            <w:gridSpan w:val="5"/>
          </w:tcPr>
          <w:p w:rsidR="00947AB2" w:rsidRPr="00230F35" w:rsidRDefault="00947AB2" w:rsidP="00AE1C23">
            <w:pPr>
              <w:pStyle w:val="NormalWeb"/>
              <w:spacing w:before="0" w:beforeAutospacing="0" w:after="0" w:afterAutospacing="0"/>
              <w:ind w:right="-334"/>
              <w:rPr>
                <w:rFonts w:ascii="Arial" w:hAnsi="Arial" w:cs="Arial"/>
                <w:bCs/>
                <w:i/>
                <w:sz w:val="22"/>
                <w:szCs w:val="22"/>
              </w:rPr>
            </w:pPr>
          </w:p>
          <w:p w:rsidR="00947AB2" w:rsidRPr="00230F35" w:rsidRDefault="00947AB2" w:rsidP="00AE1C2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47AB2" w:rsidRPr="00230F35" w:rsidRDefault="00947AB2" w:rsidP="00AE1C23">
            <w:pPr>
              <w:pStyle w:val="NormalWeb"/>
              <w:spacing w:before="0" w:beforeAutospacing="0" w:after="0" w:afterAutospacing="0"/>
              <w:ind w:right="-334"/>
              <w:rPr>
                <w:rFonts w:ascii="Arial" w:hAnsi="Arial" w:cs="Arial"/>
                <w:b/>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947AB2" w:rsidRPr="00230F35" w:rsidRDefault="00947AB2" w:rsidP="00AE1C23">
            <w:pPr>
              <w:pStyle w:val="NormalWeb"/>
              <w:spacing w:before="0" w:beforeAutospacing="0" w:after="0" w:afterAutospacing="0"/>
              <w:ind w:right="-334"/>
              <w:rPr>
                <w:rFonts w:ascii="Arial" w:hAnsi="Arial" w:cs="Arial"/>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p>
        </w:tc>
      </w:tr>
      <w:tr w:rsidR="00947AB2" w:rsidRPr="002F467C" w:rsidTr="00AE1C23">
        <w:trPr>
          <w:trHeight w:val="720"/>
        </w:trPr>
        <w:tc>
          <w:tcPr>
            <w:tcW w:w="5211" w:type="dxa"/>
            <w:gridSpan w:val="2"/>
          </w:tcPr>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947AB2" w:rsidRPr="00230F35" w:rsidRDefault="00947AB2" w:rsidP="00AE1C2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7AB2" w:rsidRPr="002F467C" w:rsidTr="00AE1C23">
        <w:trPr>
          <w:trHeight w:val="720"/>
        </w:trPr>
        <w:tc>
          <w:tcPr>
            <w:tcW w:w="8856" w:type="dxa"/>
            <w:gridSpan w:val="5"/>
          </w:tcPr>
          <w:p w:rsidR="00947AB2" w:rsidRPr="00AA70BC" w:rsidRDefault="00947AB2" w:rsidP="00AE1C23">
            <w:pPr>
              <w:rPr>
                <w:rFonts w:ascii="Arial" w:hAnsi="Arial" w:cs="Arial"/>
                <w:b/>
              </w:rPr>
            </w:pPr>
            <w:r w:rsidRPr="00AA70BC">
              <w:rPr>
                <w:rFonts w:ascii="Arial" w:hAnsi="Arial" w:cs="Arial"/>
                <w:b/>
              </w:rPr>
              <w:t>AGREED INTERNAL MARK (where necessary):</w:t>
            </w:r>
          </w:p>
          <w:p w:rsidR="00947AB2" w:rsidRDefault="00947AB2" w:rsidP="00AE1C23">
            <w:pPr>
              <w:rPr>
                <w:rFonts w:ascii="Arial" w:hAnsi="Arial" w:cs="Arial"/>
                <w:b/>
              </w:rPr>
            </w:pPr>
            <w:r w:rsidRPr="00AA70BC">
              <w:rPr>
                <w:rFonts w:ascii="Arial" w:hAnsi="Arial" w:cs="Arial"/>
                <w:b/>
              </w:rPr>
              <w:t>Comment on process on arriving at agreed mark:</w:t>
            </w:r>
          </w:p>
          <w:p w:rsidR="00947AB2" w:rsidRPr="00B34964" w:rsidRDefault="00947AB2" w:rsidP="00AE1C23">
            <w:pPr>
              <w:rPr>
                <w:rFonts w:ascii="Arial" w:hAnsi="Arial" w:cs="Arial"/>
                <w:b/>
              </w:rPr>
            </w:pPr>
          </w:p>
        </w:tc>
      </w:tr>
      <w:tr w:rsidR="00947AB2" w:rsidRPr="002F467C" w:rsidTr="00AE1C23">
        <w:trPr>
          <w:trHeight w:val="720"/>
        </w:trPr>
        <w:tc>
          <w:tcPr>
            <w:tcW w:w="8856" w:type="dxa"/>
            <w:gridSpan w:val="5"/>
          </w:tcPr>
          <w:p w:rsidR="00947AB2" w:rsidRPr="00947AB2" w:rsidRDefault="00947AB2" w:rsidP="00947AB2">
            <w:pPr>
              <w:rPr>
                <w:rFonts w:ascii="Arial" w:hAnsi="Arial" w:cs="Arial"/>
                <w:b/>
              </w:rPr>
            </w:pPr>
            <w:r w:rsidRPr="00B34964">
              <w:rPr>
                <w:rFonts w:ascii="Arial" w:hAnsi="Arial" w:cs="Arial"/>
                <w:b/>
              </w:rPr>
              <w:t>External Examiner’s comments (if relevant)</w:t>
            </w:r>
          </w:p>
          <w:p w:rsidR="00947AB2" w:rsidRPr="00230F35" w:rsidRDefault="00947AB2" w:rsidP="00AE1C23">
            <w:pPr>
              <w:pStyle w:val="NormalWeb"/>
              <w:spacing w:before="0" w:beforeAutospacing="0" w:after="0" w:afterAutospacing="0"/>
              <w:ind w:right="-334"/>
              <w:rPr>
                <w:rFonts w:ascii="Arial" w:hAnsi="Arial" w:cs="Arial"/>
                <w:bCs/>
                <w:sz w:val="22"/>
                <w:szCs w:val="22"/>
              </w:rPr>
            </w:pPr>
          </w:p>
          <w:p w:rsidR="00947AB2" w:rsidRPr="00230F35" w:rsidRDefault="00947AB2" w:rsidP="00AE1C23">
            <w:pPr>
              <w:pStyle w:val="NormalWeb"/>
              <w:spacing w:before="0" w:beforeAutospacing="0" w:after="0" w:afterAutospacing="0"/>
              <w:ind w:right="-334"/>
              <w:rPr>
                <w:rFonts w:ascii="Arial" w:hAnsi="Arial" w:cs="Arial"/>
                <w:bCs/>
                <w:sz w:val="22"/>
                <w:szCs w:val="22"/>
              </w:rPr>
            </w:pPr>
          </w:p>
        </w:tc>
      </w:tr>
      <w:tr w:rsidR="00947AB2" w:rsidRPr="002F467C" w:rsidTr="00AE1C23">
        <w:trPr>
          <w:trHeight w:val="720"/>
        </w:trPr>
        <w:tc>
          <w:tcPr>
            <w:tcW w:w="5211" w:type="dxa"/>
            <w:gridSpan w:val="2"/>
          </w:tcPr>
          <w:p w:rsidR="00947AB2" w:rsidRPr="00230F35" w:rsidRDefault="00947AB2" w:rsidP="00AE1C23">
            <w:pPr>
              <w:rPr>
                <w:rFonts w:ascii="Arial" w:hAnsi="Arial" w:cs="Arial"/>
              </w:rPr>
            </w:pPr>
            <w:r w:rsidRPr="00230F35">
              <w:rPr>
                <w:rFonts w:ascii="Arial" w:hAnsi="Arial" w:cs="Arial"/>
              </w:rPr>
              <w:t>External Examiner’s Signature:</w:t>
            </w:r>
          </w:p>
        </w:tc>
        <w:tc>
          <w:tcPr>
            <w:tcW w:w="3645" w:type="dxa"/>
            <w:gridSpan w:val="3"/>
          </w:tcPr>
          <w:p w:rsidR="00947AB2" w:rsidRPr="00230F35" w:rsidRDefault="00947AB2" w:rsidP="00AE1C23">
            <w:pPr>
              <w:rPr>
                <w:rFonts w:ascii="Arial" w:hAnsi="Arial" w:cs="Arial"/>
              </w:rPr>
            </w:pPr>
            <w:r w:rsidRPr="00230F35">
              <w:rPr>
                <w:rFonts w:ascii="Arial" w:hAnsi="Arial" w:cs="Arial"/>
              </w:rPr>
              <w:t>Date:</w:t>
            </w:r>
          </w:p>
        </w:tc>
      </w:tr>
    </w:tbl>
    <w:p w:rsidR="006334D3" w:rsidRDefault="006334D3" w:rsidP="006334D3">
      <w:pPr>
        <w:jc w:val="both"/>
      </w:pPr>
    </w:p>
    <w:p w:rsidR="00ED0647" w:rsidRDefault="00ED0647" w:rsidP="006334D3">
      <w:pPr>
        <w:jc w:val="both"/>
        <w:rPr>
          <w:sz w:val="24"/>
          <w:szCs w:val="24"/>
        </w:rPr>
      </w:pPr>
      <w:r>
        <w:rPr>
          <w:sz w:val="24"/>
          <w:szCs w:val="24"/>
        </w:rPr>
        <w:lastRenderedPageBreak/>
        <w:t xml:space="preserve">Continents Apart? </w:t>
      </w:r>
      <w:r w:rsidR="001F57D9">
        <w:rPr>
          <w:sz w:val="24"/>
          <w:szCs w:val="24"/>
        </w:rPr>
        <w:t xml:space="preserve">The Imperial and the Global in </w:t>
      </w:r>
      <w:r w:rsidR="001F57D9" w:rsidRPr="001F57D9">
        <w:rPr>
          <w:i/>
          <w:sz w:val="24"/>
          <w:szCs w:val="24"/>
        </w:rPr>
        <w:t>Heart of Darkness</w:t>
      </w:r>
      <w:r w:rsidR="001F57D9">
        <w:rPr>
          <w:sz w:val="24"/>
          <w:szCs w:val="24"/>
        </w:rPr>
        <w:t xml:space="preserve"> and </w:t>
      </w:r>
      <w:r w:rsidR="001F57D9" w:rsidRPr="001F57D9">
        <w:rPr>
          <w:i/>
          <w:sz w:val="24"/>
          <w:szCs w:val="24"/>
        </w:rPr>
        <w:t>The God Of Small Things</w:t>
      </w:r>
      <w:r w:rsidR="001F57D9">
        <w:rPr>
          <w:i/>
          <w:sz w:val="24"/>
          <w:szCs w:val="24"/>
        </w:rPr>
        <w:t>.</w:t>
      </w:r>
    </w:p>
    <w:p w:rsidR="006334D3" w:rsidRPr="008B3133" w:rsidRDefault="00ED3420" w:rsidP="006334D3">
      <w:pPr>
        <w:jc w:val="both"/>
        <w:rPr>
          <w:sz w:val="24"/>
          <w:szCs w:val="24"/>
        </w:rPr>
      </w:pPr>
      <w:r w:rsidRPr="008B3133">
        <w:rPr>
          <w:sz w:val="24"/>
          <w:szCs w:val="24"/>
        </w:rPr>
        <w:t>‘Imperialism is not a stage, not even the highest stage, of capitalism: from the beginning, it is inherent in capitalism’s expansion. The imperialist conquest of the planet by the Europeans and their North American children was carried out in two phases and is perhaps entering a third.’</w:t>
      </w:r>
      <w:r w:rsidR="001F57D9">
        <w:rPr>
          <w:rStyle w:val="FootnoteReference"/>
          <w:sz w:val="24"/>
          <w:szCs w:val="24"/>
        </w:rPr>
        <w:footnoteReference w:id="2"/>
      </w:r>
    </w:p>
    <w:p w:rsidR="00A44073" w:rsidRPr="008B3133" w:rsidRDefault="00ED3420" w:rsidP="006334D3">
      <w:pPr>
        <w:jc w:val="both"/>
        <w:rPr>
          <w:sz w:val="24"/>
          <w:szCs w:val="24"/>
        </w:rPr>
      </w:pPr>
      <w:r w:rsidRPr="008B3133">
        <w:rPr>
          <w:sz w:val="24"/>
          <w:szCs w:val="24"/>
        </w:rPr>
        <w:t xml:space="preserve">In this transcript of a speech given in 2001 to the World Social Forum in Porto Allegre, Brazil, Samir Amin identifies globalisation to be a species of American hegemony, and </w:t>
      </w:r>
      <w:r w:rsidR="00A44073" w:rsidRPr="008B3133">
        <w:rPr>
          <w:sz w:val="24"/>
          <w:szCs w:val="24"/>
        </w:rPr>
        <w:t>the third stage</w:t>
      </w:r>
      <w:r w:rsidRPr="008B3133">
        <w:rPr>
          <w:sz w:val="24"/>
          <w:szCs w:val="24"/>
        </w:rPr>
        <w:t xml:space="preserve"> of imperial domination </w:t>
      </w:r>
      <w:r w:rsidR="00A44073" w:rsidRPr="008B3133">
        <w:rPr>
          <w:sz w:val="24"/>
          <w:szCs w:val="24"/>
        </w:rPr>
        <w:t>by unconventional</w:t>
      </w:r>
      <w:r w:rsidRPr="008B3133">
        <w:rPr>
          <w:sz w:val="24"/>
          <w:szCs w:val="24"/>
        </w:rPr>
        <w:t xml:space="preserve"> means. The twentieth century was believ</w:t>
      </w:r>
      <w:r w:rsidR="00B90564" w:rsidRPr="008B3133">
        <w:rPr>
          <w:sz w:val="24"/>
          <w:szCs w:val="24"/>
        </w:rPr>
        <w:t>ed to have heralded the end of</w:t>
      </w:r>
      <w:r w:rsidRPr="008B3133">
        <w:rPr>
          <w:sz w:val="24"/>
          <w:szCs w:val="24"/>
        </w:rPr>
        <w:t xml:space="preserve"> </w:t>
      </w:r>
      <w:r w:rsidR="00A44073" w:rsidRPr="008B3133">
        <w:rPr>
          <w:sz w:val="24"/>
          <w:szCs w:val="24"/>
        </w:rPr>
        <w:t xml:space="preserve">traditional </w:t>
      </w:r>
      <w:r w:rsidRPr="008B3133">
        <w:rPr>
          <w:sz w:val="24"/>
          <w:szCs w:val="24"/>
        </w:rPr>
        <w:t>empire building</w:t>
      </w:r>
      <w:r w:rsidR="00B90564" w:rsidRPr="008B3133">
        <w:rPr>
          <w:sz w:val="24"/>
          <w:szCs w:val="24"/>
        </w:rPr>
        <w:t>, as the two great wars re-drew both ancient and new boundaries, and exposed the difficulties of governance in former colonies that were hungry for independence. The competing political ideologies of the Cold War were at pains to prove the flaws in each other’s system, and maintained a public face that presented them both as designs for life, rather than as imposed and</w:t>
      </w:r>
      <w:r w:rsidR="00A44073" w:rsidRPr="008B3133">
        <w:rPr>
          <w:sz w:val="24"/>
          <w:szCs w:val="24"/>
        </w:rPr>
        <w:t xml:space="preserve"> embittered enemies. </w:t>
      </w:r>
      <w:r w:rsidR="00B90564" w:rsidRPr="008B3133">
        <w:rPr>
          <w:sz w:val="24"/>
          <w:szCs w:val="24"/>
        </w:rPr>
        <w:t>The disintegration of the Soviet Union seemed to herald</w:t>
      </w:r>
      <w:r w:rsidR="00A44073" w:rsidRPr="008B3133">
        <w:rPr>
          <w:sz w:val="24"/>
          <w:szCs w:val="24"/>
        </w:rPr>
        <w:t xml:space="preserve"> victory for the American way of life, as the rush to modernise post-Soviet states led to a form of gangster capitalism in much of central Europe. Globalisation meanwhile, was continuing unabated, and with renewed vigour.</w:t>
      </w:r>
    </w:p>
    <w:p w:rsidR="00ED3420" w:rsidRDefault="00A44073" w:rsidP="006334D3">
      <w:pPr>
        <w:jc w:val="both"/>
        <w:rPr>
          <w:rStyle w:val="st"/>
          <w:sz w:val="24"/>
          <w:szCs w:val="24"/>
        </w:rPr>
      </w:pPr>
      <w:r w:rsidRPr="008B3133">
        <w:rPr>
          <w:sz w:val="24"/>
          <w:szCs w:val="24"/>
        </w:rPr>
        <w:t xml:space="preserve">The arts had responded to the rapid technological and social upheavals as the industrial age entered </w:t>
      </w:r>
      <w:r w:rsidR="001F57D9">
        <w:rPr>
          <w:sz w:val="24"/>
          <w:szCs w:val="24"/>
        </w:rPr>
        <w:t>its second, most dynamic</w:t>
      </w:r>
      <w:r w:rsidRPr="008B3133">
        <w:rPr>
          <w:sz w:val="24"/>
          <w:szCs w:val="24"/>
        </w:rPr>
        <w:t xml:space="preserve"> phase</w:t>
      </w:r>
      <w:r w:rsidR="001F57D9">
        <w:rPr>
          <w:sz w:val="24"/>
          <w:szCs w:val="24"/>
        </w:rPr>
        <w:t>,</w:t>
      </w:r>
      <w:r w:rsidRPr="008B3133">
        <w:rPr>
          <w:sz w:val="24"/>
          <w:szCs w:val="24"/>
        </w:rPr>
        <w:t xml:space="preserve"> with a </w:t>
      </w:r>
      <w:r w:rsidR="00666557" w:rsidRPr="008B3133">
        <w:rPr>
          <w:sz w:val="24"/>
          <w:szCs w:val="24"/>
        </w:rPr>
        <w:t>movement that was later defined as Modernism.</w:t>
      </w:r>
      <w:r w:rsidRPr="008B3133">
        <w:rPr>
          <w:sz w:val="24"/>
          <w:szCs w:val="24"/>
        </w:rPr>
        <w:t xml:space="preserve"> </w:t>
      </w:r>
      <w:r w:rsidR="00666557" w:rsidRPr="008B3133">
        <w:rPr>
          <w:rStyle w:val="st"/>
          <w:sz w:val="24"/>
          <w:szCs w:val="24"/>
        </w:rPr>
        <w:t>The movement questioned the conservative conventions that had dominated the late 19</w:t>
      </w:r>
      <w:r w:rsidR="00666557" w:rsidRPr="008B3133">
        <w:rPr>
          <w:rStyle w:val="st"/>
          <w:sz w:val="24"/>
          <w:szCs w:val="24"/>
          <w:vertAlign w:val="superscript"/>
        </w:rPr>
        <w:t>th</w:t>
      </w:r>
      <w:r w:rsidR="00666557" w:rsidRPr="008B3133">
        <w:rPr>
          <w:rStyle w:val="st"/>
          <w:sz w:val="24"/>
          <w:szCs w:val="24"/>
        </w:rPr>
        <w:t xml:space="preserve"> century and their inability to represent the contradictory elements of an industrialised society and bourgeois social life. Here we will focus on Joseph Conrad’s </w:t>
      </w:r>
      <w:r w:rsidR="00666557" w:rsidRPr="00ED0647">
        <w:rPr>
          <w:rStyle w:val="st"/>
          <w:i/>
          <w:sz w:val="24"/>
          <w:szCs w:val="24"/>
        </w:rPr>
        <w:t>Heart of Darkness</w:t>
      </w:r>
      <w:r w:rsidR="00666557" w:rsidRPr="008B3133">
        <w:rPr>
          <w:rStyle w:val="st"/>
          <w:sz w:val="24"/>
          <w:szCs w:val="24"/>
        </w:rPr>
        <w:t xml:space="preserve">, a work of early modernism that took aim at the imperial project and used it to illuminate the psychological uncertainties of the age. This novel will be compared with Arundhati Roy’s </w:t>
      </w:r>
      <w:r w:rsidR="00666557" w:rsidRPr="00ED0647">
        <w:rPr>
          <w:rStyle w:val="st"/>
          <w:i/>
          <w:sz w:val="24"/>
          <w:szCs w:val="24"/>
        </w:rPr>
        <w:t>The God of Small Things</w:t>
      </w:r>
      <w:r w:rsidR="00666557" w:rsidRPr="008B3133">
        <w:rPr>
          <w:rStyle w:val="st"/>
          <w:sz w:val="24"/>
          <w:szCs w:val="24"/>
        </w:rPr>
        <w:t xml:space="preserve">, </w:t>
      </w:r>
      <w:r w:rsidR="008B3133" w:rsidRPr="008B3133">
        <w:rPr>
          <w:rStyle w:val="st"/>
          <w:sz w:val="24"/>
          <w:szCs w:val="24"/>
        </w:rPr>
        <w:t xml:space="preserve">which is </w:t>
      </w:r>
      <w:r w:rsidR="00666557" w:rsidRPr="008B3133">
        <w:rPr>
          <w:rStyle w:val="st"/>
          <w:sz w:val="24"/>
          <w:szCs w:val="24"/>
        </w:rPr>
        <w:t>often considered a work of post modernism,</w:t>
      </w:r>
      <w:r w:rsidR="008B3133" w:rsidRPr="008B3133">
        <w:rPr>
          <w:rStyle w:val="st"/>
          <w:sz w:val="24"/>
          <w:szCs w:val="24"/>
        </w:rPr>
        <w:t xml:space="preserve"> </w:t>
      </w:r>
      <w:r w:rsidR="00ED0647">
        <w:rPr>
          <w:rStyle w:val="st"/>
          <w:sz w:val="24"/>
          <w:szCs w:val="24"/>
        </w:rPr>
        <w:t xml:space="preserve">but </w:t>
      </w:r>
      <w:r w:rsidR="008B3133" w:rsidRPr="008B3133">
        <w:rPr>
          <w:rStyle w:val="st"/>
          <w:sz w:val="24"/>
          <w:szCs w:val="24"/>
        </w:rPr>
        <w:t>that finds itself fully engaged with the information age, and</w:t>
      </w:r>
      <w:r w:rsidR="00666557" w:rsidRPr="008B3133">
        <w:rPr>
          <w:rStyle w:val="st"/>
          <w:sz w:val="24"/>
          <w:szCs w:val="24"/>
        </w:rPr>
        <w:t xml:space="preserve"> </w:t>
      </w:r>
      <w:r w:rsidR="008B3133" w:rsidRPr="008B3133">
        <w:rPr>
          <w:rStyle w:val="st"/>
          <w:sz w:val="24"/>
          <w:szCs w:val="24"/>
        </w:rPr>
        <w:t>that meets globalisation and the post-colonial legacy head on.</w:t>
      </w:r>
    </w:p>
    <w:p w:rsidR="001F57D9" w:rsidRPr="008B3133" w:rsidRDefault="001F57D9" w:rsidP="006334D3">
      <w:pPr>
        <w:jc w:val="both"/>
        <w:rPr>
          <w:sz w:val="24"/>
          <w:szCs w:val="24"/>
        </w:rPr>
      </w:pPr>
    </w:p>
    <w:p w:rsidR="006334D3" w:rsidRPr="00ED0647" w:rsidRDefault="006334D3" w:rsidP="006334D3">
      <w:pPr>
        <w:jc w:val="both"/>
        <w:rPr>
          <w:sz w:val="24"/>
          <w:szCs w:val="24"/>
        </w:rPr>
      </w:pPr>
      <w:r w:rsidRPr="00ED0647">
        <w:rPr>
          <w:b/>
          <w:sz w:val="24"/>
          <w:szCs w:val="24"/>
        </w:rPr>
        <w:t>Telegraphy</w:t>
      </w:r>
      <w:r w:rsidRPr="00ED0647">
        <w:rPr>
          <w:rFonts w:cstheme="minorHAnsi"/>
          <w:sz w:val="24"/>
          <w:szCs w:val="24"/>
        </w:rPr>
        <w:t xml:space="preserve">- ORIGIN </w:t>
      </w:r>
      <w:r w:rsidRPr="00ED0647">
        <w:rPr>
          <w:sz w:val="24"/>
          <w:szCs w:val="24"/>
        </w:rPr>
        <w:t xml:space="preserve">from Greek: τῆλε </w:t>
      </w:r>
      <w:r w:rsidRPr="00ED0647">
        <w:rPr>
          <w:i/>
          <w:iCs/>
          <w:sz w:val="24"/>
          <w:szCs w:val="24"/>
        </w:rPr>
        <w:t>têle</w:t>
      </w:r>
      <w:r w:rsidRPr="00ED0647">
        <w:rPr>
          <w:sz w:val="24"/>
          <w:szCs w:val="24"/>
        </w:rPr>
        <w:t xml:space="preserve">, "at a distance" and γράφειν </w:t>
      </w:r>
      <w:r w:rsidRPr="00ED0647">
        <w:rPr>
          <w:i/>
          <w:iCs/>
          <w:sz w:val="24"/>
          <w:szCs w:val="24"/>
        </w:rPr>
        <w:t>gráphein</w:t>
      </w:r>
      <w:r w:rsidR="008B3133" w:rsidRPr="00ED0647">
        <w:rPr>
          <w:i/>
          <w:iCs/>
          <w:sz w:val="24"/>
          <w:szCs w:val="24"/>
        </w:rPr>
        <w:t xml:space="preserve"> </w:t>
      </w:r>
      <w:r w:rsidR="008B3133" w:rsidRPr="00ED0647">
        <w:rPr>
          <w:iCs/>
          <w:sz w:val="24"/>
          <w:szCs w:val="24"/>
        </w:rPr>
        <w:t>“to write”</w:t>
      </w:r>
      <w:r w:rsidRPr="00ED0647">
        <w:rPr>
          <w:i/>
          <w:iCs/>
          <w:sz w:val="24"/>
          <w:szCs w:val="24"/>
        </w:rPr>
        <w:t xml:space="preserve"> (</w:t>
      </w:r>
      <w:r w:rsidRPr="00ED0647">
        <w:rPr>
          <w:b/>
          <w:iCs/>
          <w:sz w:val="24"/>
          <w:szCs w:val="24"/>
        </w:rPr>
        <w:t>OED</w:t>
      </w:r>
      <w:r w:rsidRPr="00ED0647">
        <w:rPr>
          <w:i/>
          <w:iCs/>
          <w:sz w:val="24"/>
          <w:szCs w:val="24"/>
        </w:rPr>
        <w:t>)</w:t>
      </w:r>
    </w:p>
    <w:p w:rsidR="006334D3" w:rsidRPr="00ED0647" w:rsidRDefault="006334D3" w:rsidP="006334D3">
      <w:pPr>
        <w:jc w:val="both"/>
        <w:rPr>
          <w:sz w:val="24"/>
          <w:szCs w:val="24"/>
        </w:rPr>
      </w:pPr>
      <w:r w:rsidRPr="00ED0647">
        <w:rPr>
          <w:sz w:val="24"/>
          <w:szCs w:val="24"/>
        </w:rPr>
        <w:t xml:space="preserve">Communicating at a distance </w:t>
      </w:r>
      <w:r w:rsidR="00ED0647">
        <w:rPr>
          <w:sz w:val="24"/>
          <w:szCs w:val="24"/>
        </w:rPr>
        <w:t>is</w:t>
      </w:r>
      <w:r w:rsidRPr="00ED0647">
        <w:rPr>
          <w:sz w:val="24"/>
          <w:szCs w:val="24"/>
        </w:rPr>
        <w:t xml:space="preserve"> possible if the message can be interpreted, but even simple gestures can be a</w:t>
      </w:r>
      <w:r w:rsidR="00516B4C" w:rsidRPr="00ED0647">
        <w:rPr>
          <w:sz w:val="24"/>
          <w:szCs w:val="24"/>
        </w:rPr>
        <w:t>mbiguous</w:t>
      </w:r>
      <w:r w:rsidRPr="00ED0647">
        <w:rPr>
          <w:sz w:val="24"/>
          <w:szCs w:val="24"/>
        </w:rPr>
        <w:t>. For a complex message to be delivered simply, it requires a code that can be understood by both sender and recei</w:t>
      </w:r>
      <w:r w:rsidR="00516B4C" w:rsidRPr="00ED0647">
        <w:rPr>
          <w:sz w:val="24"/>
          <w:szCs w:val="24"/>
        </w:rPr>
        <w:t>ver.  When lit</w:t>
      </w:r>
      <w:r w:rsidR="001F57D9">
        <w:rPr>
          <w:sz w:val="24"/>
          <w:szCs w:val="24"/>
        </w:rPr>
        <w:t>,</w:t>
      </w:r>
      <w:r w:rsidR="00516B4C" w:rsidRPr="00ED0647">
        <w:rPr>
          <w:sz w:val="24"/>
          <w:szCs w:val="24"/>
        </w:rPr>
        <w:t xml:space="preserve"> a hil</w:t>
      </w:r>
      <w:r w:rsidR="001F57D9">
        <w:rPr>
          <w:sz w:val="24"/>
          <w:szCs w:val="24"/>
        </w:rPr>
        <w:t>lside beacon</w:t>
      </w:r>
      <w:r w:rsidRPr="00ED0647">
        <w:rPr>
          <w:sz w:val="24"/>
          <w:szCs w:val="24"/>
        </w:rPr>
        <w:t xml:space="preserve"> might denote danger, but smoke signals could define the nature of the threat, and there is evidence of these simple means of e</w:t>
      </w:r>
      <w:r w:rsidR="00516B4C" w:rsidRPr="00ED0647">
        <w:rPr>
          <w:sz w:val="24"/>
          <w:szCs w:val="24"/>
        </w:rPr>
        <w:t>ncoding around the world</w:t>
      </w:r>
      <w:r w:rsidRPr="00ED0647">
        <w:rPr>
          <w:sz w:val="24"/>
          <w:szCs w:val="24"/>
        </w:rPr>
        <w:t>.</w:t>
      </w:r>
      <w:r w:rsidRPr="00ED0647">
        <w:rPr>
          <w:rStyle w:val="FootnoteReference"/>
          <w:sz w:val="24"/>
          <w:szCs w:val="24"/>
        </w:rPr>
        <w:footnoteReference w:id="3"/>
      </w:r>
      <w:r w:rsidRPr="00ED0647">
        <w:rPr>
          <w:sz w:val="24"/>
          <w:szCs w:val="24"/>
        </w:rPr>
        <w:t xml:space="preserve"> Rapid innovation in the means of communication, as with so many things, came from military necessity, and optical telegraphy was an invention of the French Revolution. Electrification of the signal followed, </w:t>
      </w:r>
      <w:r w:rsidRPr="00ED0647">
        <w:rPr>
          <w:sz w:val="24"/>
          <w:szCs w:val="24"/>
        </w:rPr>
        <w:lastRenderedPageBreak/>
        <w:t xml:space="preserve">and by 1853, it had become a regular, reliable means of transmitting a message, enabled by the laying of cables along which </w:t>
      </w:r>
      <w:r w:rsidR="001F57D9">
        <w:rPr>
          <w:sz w:val="24"/>
          <w:szCs w:val="24"/>
        </w:rPr>
        <w:t>a</w:t>
      </w:r>
      <w:r w:rsidRPr="00ED0647">
        <w:rPr>
          <w:sz w:val="24"/>
          <w:szCs w:val="24"/>
        </w:rPr>
        <w:t xml:space="preserve"> current could pass. The challenge of communicating overseas was met by the installation of sub</w:t>
      </w:r>
      <w:r w:rsidR="001F57D9">
        <w:rPr>
          <w:sz w:val="24"/>
          <w:szCs w:val="24"/>
        </w:rPr>
        <w:t>-</w:t>
      </w:r>
      <w:r w:rsidRPr="00ED0647">
        <w:rPr>
          <w:sz w:val="24"/>
          <w:szCs w:val="24"/>
        </w:rPr>
        <w:t>marine cabling rolle</w:t>
      </w:r>
      <w:r w:rsidR="001F57D9">
        <w:rPr>
          <w:sz w:val="24"/>
          <w:szCs w:val="24"/>
        </w:rPr>
        <w:t>d out over many thousands of miles, and what had begu</w:t>
      </w:r>
      <w:r w:rsidRPr="00ED0647">
        <w:rPr>
          <w:sz w:val="24"/>
          <w:szCs w:val="24"/>
        </w:rPr>
        <w:t>n by a linking of London to Paris in 1847, culminated in 1902 with the completion of the Pacific telegraph line that saw the physical encirclement of the world.</w:t>
      </w:r>
      <w:r w:rsidRPr="00ED0647">
        <w:rPr>
          <w:rStyle w:val="FootnoteReference"/>
          <w:sz w:val="24"/>
          <w:szCs w:val="24"/>
        </w:rPr>
        <w:footnoteReference w:id="4"/>
      </w:r>
    </w:p>
    <w:p w:rsidR="006334D3" w:rsidRPr="00ED0647" w:rsidRDefault="006334D3" w:rsidP="006334D3">
      <w:pPr>
        <w:jc w:val="both"/>
        <w:rPr>
          <w:sz w:val="24"/>
          <w:szCs w:val="24"/>
        </w:rPr>
      </w:pPr>
      <w:r w:rsidRPr="00ED0647">
        <w:rPr>
          <w:sz w:val="24"/>
          <w:szCs w:val="24"/>
        </w:rPr>
        <w:t>It is the physicality of this process that astonishes; we can be told that the mass production of barbed wire during the First World War was sufficient to enwrap the planet many times over</w:t>
      </w:r>
      <w:r w:rsidRPr="00ED0647">
        <w:rPr>
          <w:rStyle w:val="FootnoteReference"/>
          <w:sz w:val="24"/>
          <w:szCs w:val="24"/>
        </w:rPr>
        <w:footnoteReference w:id="5"/>
      </w:r>
      <w:r w:rsidRPr="00ED0647">
        <w:rPr>
          <w:sz w:val="24"/>
          <w:szCs w:val="24"/>
        </w:rPr>
        <w:t xml:space="preserve">, but we also know that its uses were more nefarious, whereas this means of communication really had enveloped the globe, and </w:t>
      </w:r>
      <w:r w:rsidR="0030077E">
        <w:rPr>
          <w:sz w:val="24"/>
          <w:szCs w:val="24"/>
        </w:rPr>
        <w:t xml:space="preserve">it still </w:t>
      </w:r>
      <w:r w:rsidRPr="00ED0647">
        <w:rPr>
          <w:sz w:val="24"/>
          <w:szCs w:val="24"/>
        </w:rPr>
        <w:t xml:space="preserve">remains the only physical global link.  In </w:t>
      </w:r>
      <w:r w:rsidRPr="00ED0647">
        <w:rPr>
          <w:i/>
          <w:sz w:val="24"/>
          <w:szCs w:val="24"/>
        </w:rPr>
        <w:t>Imagined Communities</w:t>
      </w:r>
      <w:r w:rsidRPr="00ED0647">
        <w:rPr>
          <w:sz w:val="24"/>
          <w:szCs w:val="24"/>
        </w:rPr>
        <w:t xml:space="preserve"> (1983) Benedict Anderson describes how, ‘The members of even the smallest nation will never know most of their fellow members, meet them or even hear of them. Yet in the minds of each lives the image of their communion.’</w:t>
      </w:r>
      <w:r w:rsidRPr="00ED0647">
        <w:rPr>
          <w:rStyle w:val="FootnoteReference"/>
          <w:sz w:val="24"/>
          <w:szCs w:val="24"/>
        </w:rPr>
        <w:footnoteReference w:id="6"/>
      </w:r>
      <w:r w:rsidRPr="00ED0647">
        <w:rPr>
          <w:sz w:val="24"/>
          <w:szCs w:val="24"/>
        </w:rPr>
        <w:t xml:space="preserve"> Anderson was attempting to analyze the concept of nationalism, and at the time of his writing, he saw that print media in the form of novels and newspapers, remained the  main means of assembling and harnessing a national consciousness. These communal acts of will, though imaginary, are today re-enforced on a momentary basis because of the instantaneous byte sized way in which information is disseminated, and yet the ease of their transmission around the world, would, to paraphrase Emile Durkheim, suggest the possibility of a technological solidarity, in which aspirations and behaviour are linked in a collective global consciousness.</w:t>
      </w:r>
      <w:r w:rsidRPr="00ED0647">
        <w:rPr>
          <w:rStyle w:val="FootnoteReference"/>
          <w:sz w:val="24"/>
          <w:szCs w:val="24"/>
        </w:rPr>
        <w:footnoteReference w:id="7"/>
      </w:r>
      <w:r w:rsidRPr="00ED0647">
        <w:rPr>
          <w:sz w:val="24"/>
          <w:szCs w:val="24"/>
        </w:rPr>
        <w:t xml:space="preserve"> </w:t>
      </w:r>
    </w:p>
    <w:p w:rsidR="006334D3" w:rsidRPr="00E026C5" w:rsidRDefault="0030077E" w:rsidP="006334D3">
      <w:pPr>
        <w:spacing w:line="240" w:lineRule="auto"/>
        <w:jc w:val="both"/>
        <w:rPr>
          <w:rFonts w:cstheme="minorHAnsi"/>
          <w:sz w:val="24"/>
          <w:szCs w:val="24"/>
          <w:lang w:val="en-US"/>
        </w:rPr>
      </w:pPr>
      <w:r>
        <w:rPr>
          <w:rFonts w:cstheme="minorHAnsi"/>
          <w:sz w:val="24"/>
          <w:szCs w:val="24"/>
        </w:rPr>
        <w:t xml:space="preserve">That could be an addendum to the existing </w:t>
      </w:r>
      <w:r w:rsidR="006334D3" w:rsidRPr="00E026C5">
        <w:rPr>
          <w:rFonts w:cstheme="minorHAnsi"/>
          <w:sz w:val="24"/>
          <w:szCs w:val="24"/>
        </w:rPr>
        <w:t xml:space="preserve">moral underpinning of </w:t>
      </w:r>
      <w:r>
        <w:rPr>
          <w:rFonts w:cstheme="minorHAnsi"/>
          <w:sz w:val="24"/>
          <w:szCs w:val="24"/>
        </w:rPr>
        <w:t>intent</w:t>
      </w:r>
      <w:r w:rsidR="006334D3" w:rsidRPr="00E026C5">
        <w:rPr>
          <w:rFonts w:cstheme="minorHAnsi"/>
          <w:sz w:val="24"/>
          <w:szCs w:val="24"/>
        </w:rPr>
        <w:t xml:space="preserve"> globalisation, for globalisation implies not only consent, but also the superiority of a system, or systems, of products, style</w:t>
      </w:r>
      <w:r w:rsidR="00C00840">
        <w:rPr>
          <w:rFonts w:cstheme="minorHAnsi"/>
          <w:sz w:val="24"/>
          <w:szCs w:val="24"/>
        </w:rPr>
        <w:t>s</w:t>
      </w:r>
      <w:r w:rsidR="006334D3" w:rsidRPr="00E026C5">
        <w:rPr>
          <w:rFonts w:cstheme="minorHAnsi"/>
          <w:sz w:val="24"/>
          <w:szCs w:val="24"/>
        </w:rPr>
        <w:t xml:space="preserve"> and philosophies; it is the great supplanting of the traditional, the vernacular, for the new and homogenous. Despite being the logical outcome of liberal capitalism, it behaves as any other aspirant ideology and becomes totalitarian given the opportunity. Antonio Gramsci’s notion of cultural hegemony is the great enabler of globalisation, presenting only benefits whilst </w:t>
      </w:r>
      <w:r w:rsidR="00C00840">
        <w:rPr>
          <w:rFonts w:cstheme="minorHAnsi"/>
          <w:sz w:val="24"/>
          <w:szCs w:val="24"/>
        </w:rPr>
        <w:t xml:space="preserve">quietly and </w:t>
      </w:r>
      <w:r w:rsidR="006334D3" w:rsidRPr="00E026C5">
        <w:rPr>
          <w:rFonts w:cstheme="minorHAnsi"/>
          <w:sz w:val="24"/>
          <w:szCs w:val="24"/>
        </w:rPr>
        <w:t>predominantly serving its own interests.</w:t>
      </w:r>
      <w:r w:rsidR="006334D3" w:rsidRPr="00E026C5">
        <w:rPr>
          <w:rStyle w:val="FootnoteReference"/>
          <w:rFonts w:cstheme="minorHAnsi"/>
          <w:sz w:val="24"/>
          <w:szCs w:val="24"/>
        </w:rPr>
        <w:footnoteReference w:id="8"/>
      </w:r>
      <w:r w:rsidR="006334D3" w:rsidRPr="00E026C5">
        <w:rPr>
          <w:rFonts w:cstheme="minorHAnsi"/>
          <w:sz w:val="24"/>
          <w:szCs w:val="24"/>
        </w:rPr>
        <w:t xml:space="preserve"> It was during the age of European colonialism (a period that began in roughly the 15</w:t>
      </w:r>
      <w:r w:rsidR="006334D3" w:rsidRPr="00E026C5">
        <w:rPr>
          <w:rFonts w:cstheme="minorHAnsi"/>
          <w:sz w:val="24"/>
          <w:szCs w:val="24"/>
          <w:vertAlign w:val="superscript"/>
        </w:rPr>
        <w:t>th</w:t>
      </w:r>
      <w:r w:rsidR="00C00840">
        <w:rPr>
          <w:rFonts w:cstheme="minorHAnsi"/>
          <w:sz w:val="24"/>
          <w:szCs w:val="24"/>
        </w:rPr>
        <w:t xml:space="preserve"> century), that the dominant</w:t>
      </w:r>
      <w:r w:rsidR="006334D3" w:rsidRPr="00E026C5">
        <w:rPr>
          <w:rFonts w:cstheme="minorHAnsi"/>
          <w:sz w:val="24"/>
          <w:szCs w:val="24"/>
        </w:rPr>
        <w:t xml:space="preserve"> nations redefined themselves and their spheres of influence internationally, </w:t>
      </w:r>
      <w:r w:rsidR="00C00840">
        <w:rPr>
          <w:rFonts w:cstheme="minorHAnsi"/>
          <w:sz w:val="24"/>
          <w:szCs w:val="24"/>
        </w:rPr>
        <w:t xml:space="preserve">and </w:t>
      </w:r>
      <w:r w:rsidR="006334D3" w:rsidRPr="00E026C5">
        <w:rPr>
          <w:rFonts w:cstheme="minorHAnsi"/>
          <w:sz w:val="24"/>
          <w:szCs w:val="24"/>
        </w:rPr>
        <w:t xml:space="preserve">that hegemony was at its most nakedly honest. It was a course of ‘progress’ that </w:t>
      </w:r>
      <w:r w:rsidR="00C00840">
        <w:rPr>
          <w:rFonts w:cstheme="minorHAnsi"/>
          <w:sz w:val="24"/>
          <w:szCs w:val="24"/>
        </w:rPr>
        <w:t>was not without its critics, and</w:t>
      </w:r>
      <w:r w:rsidR="006334D3" w:rsidRPr="00E026C5">
        <w:rPr>
          <w:rFonts w:cstheme="minorHAnsi"/>
          <w:sz w:val="24"/>
          <w:szCs w:val="24"/>
        </w:rPr>
        <w:t xml:space="preserve"> satire has ever been the most civilised</w:t>
      </w:r>
      <w:r w:rsidR="00C00840">
        <w:rPr>
          <w:rFonts w:cstheme="minorHAnsi"/>
          <w:sz w:val="24"/>
          <w:szCs w:val="24"/>
        </w:rPr>
        <w:t>, if temporally ineffective,</w:t>
      </w:r>
      <w:r w:rsidR="006334D3" w:rsidRPr="00E026C5">
        <w:rPr>
          <w:rFonts w:cstheme="minorHAnsi"/>
          <w:sz w:val="24"/>
          <w:szCs w:val="24"/>
        </w:rPr>
        <w:t xml:space="preserve"> form of attack.</w:t>
      </w:r>
      <w:r w:rsidR="006334D3" w:rsidRPr="00E026C5">
        <w:rPr>
          <w:rFonts w:cstheme="minorHAnsi"/>
          <w:i/>
          <w:iCs/>
          <w:sz w:val="24"/>
          <w:szCs w:val="24"/>
          <w:lang w:val="en-US"/>
        </w:rPr>
        <w:t xml:space="preserve"> On Cannibals</w:t>
      </w:r>
      <w:r w:rsidR="006334D3" w:rsidRPr="00E026C5">
        <w:rPr>
          <w:rFonts w:cstheme="minorHAnsi"/>
          <w:sz w:val="24"/>
          <w:szCs w:val="24"/>
          <w:lang w:val="en-US"/>
        </w:rPr>
        <w:t xml:space="preserve"> (1588) by the essayist Montaigne, traces an uncomfortable path of development in western society with the New World as counterpoint. The mastery</w:t>
      </w:r>
      <w:r w:rsidR="00C00840">
        <w:rPr>
          <w:rFonts w:cstheme="minorHAnsi"/>
          <w:sz w:val="24"/>
          <w:szCs w:val="24"/>
          <w:lang w:val="en-US"/>
        </w:rPr>
        <w:t xml:space="preserve"> of nature</w:t>
      </w:r>
      <w:r w:rsidR="006334D3" w:rsidRPr="00E026C5">
        <w:rPr>
          <w:rFonts w:cstheme="minorHAnsi"/>
          <w:sz w:val="24"/>
          <w:szCs w:val="24"/>
          <w:lang w:val="en-US"/>
        </w:rPr>
        <w:t>, the improvements to agriculture and trade, and the cultivation of art and the sciences, could be seen to mark a decline in man</w:t>
      </w:r>
      <w:r w:rsidR="006334D3" w:rsidRPr="00E026C5">
        <w:rPr>
          <w:rFonts w:cstheme="minorHAnsi"/>
          <w:sz w:val="24"/>
          <w:szCs w:val="24"/>
        </w:rPr>
        <w:t>’</w:t>
      </w:r>
      <w:r w:rsidR="006334D3" w:rsidRPr="00E026C5">
        <w:rPr>
          <w:rFonts w:cstheme="minorHAnsi"/>
          <w:sz w:val="24"/>
          <w:szCs w:val="24"/>
          <w:lang w:val="en-US"/>
        </w:rPr>
        <w:t>s lot on earth as they had been accompanied by the end of communal ownership, the separation of wealth, and subsequently, by economic and political subjection.</w:t>
      </w:r>
      <w:r w:rsidR="006334D3" w:rsidRPr="00E026C5">
        <w:rPr>
          <w:rFonts w:cstheme="minorHAnsi"/>
          <w:sz w:val="24"/>
          <w:szCs w:val="24"/>
          <w:vertAlign w:val="superscript"/>
        </w:rPr>
        <w:footnoteReference w:id="9"/>
      </w:r>
      <w:r w:rsidR="006334D3" w:rsidRPr="00E026C5">
        <w:rPr>
          <w:rFonts w:cstheme="minorHAnsi"/>
          <w:sz w:val="24"/>
          <w:szCs w:val="24"/>
          <w:lang w:val="en-US"/>
        </w:rPr>
        <w:t xml:space="preserve"> Montaigne wrote, ‘we are </w:t>
      </w:r>
      <w:r w:rsidR="006334D3" w:rsidRPr="00E026C5">
        <w:rPr>
          <w:rFonts w:cstheme="minorHAnsi"/>
          <w:sz w:val="24"/>
          <w:szCs w:val="24"/>
          <w:lang w:val="en-US"/>
        </w:rPr>
        <w:lastRenderedPageBreak/>
        <w:t>justified in calling (them) barbarians by reference to the laws of reason, but not in comparison with ourselves, who surpass them in every kind of barbarity.</w:t>
      </w:r>
      <w:r w:rsidR="006334D3" w:rsidRPr="00E026C5">
        <w:rPr>
          <w:rFonts w:cstheme="minorHAnsi"/>
          <w:sz w:val="24"/>
          <w:szCs w:val="24"/>
        </w:rPr>
        <w:t>’</w:t>
      </w:r>
      <w:r w:rsidR="006334D3" w:rsidRPr="00E026C5">
        <w:rPr>
          <w:rFonts w:cstheme="minorHAnsi"/>
          <w:sz w:val="24"/>
          <w:szCs w:val="24"/>
          <w:vertAlign w:val="superscript"/>
        </w:rPr>
        <w:footnoteReference w:id="10"/>
      </w:r>
    </w:p>
    <w:p w:rsidR="00C00840" w:rsidRDefault="006334D3" w:rsidP="006334D3">
      <w:pPr>
        <w:spacing w:before="100" w:beforeAutospacing="1" w:after="100" w:afterAutospacing="1" w:line="240" w:lineRule="auto"/>
        <w:jc w:val="both"/>
        <w:outlineLvl w:val="0"/>
        <w:rPr>
          <w:rFonts w:cstheme="minorHAnsi"/>
          <w:sz w:val="24"/>
          <w:szCs w:val="24"/>
        </w:rPr>
      </w:pPr>
      <w:r w:rsidRPr="00E026C5">
        <w:rPr>
          <w:rFonts w:cstheme="minorHAnsi"/>
          <w:sz w:val="24"/>
          <w:szCs w:val="24"/>
          <w:lang w:val="en-US"/>
        </w:rPr>
        <w:t>It was a</w:t>
      </w:r>
      <w:r w:rsidRPr="00E026C5">
        <w:rPr>
          <w:rFonts w:cstheme="minorHAnsi"/>
          <w:sz w:val="24"/>
          <w:szCs w:val="24"/>
        </w:rPr>
        <w:t xml:space="preserve"> search for plunder and strategic dominance that masqueraded as trade, a period of cultural imperialism that reached its true moral nadir during the Scramble for Africa in the late 19</w:t>
      </w:r>
      <w:r w:rsidRPr="00E026C5">
        <w:rPr>
          <w:rFonts w:cstheme="minorHAnsi"/>
          <w:sz w:val="24"/>
          <w:szCs w:val="24"/>
          <w:vertAlign w:val="superscript"/>
        </w:rPr>
        <w:t>th</w:t>
      </w:r>
      <w:r w:rsidRPr="00E026C5">
        <w:rPr>
          <w:rFonts w:cstheme="minorHAnsi"/>
          <w:sz w:val="24"/>
          <w:szCs w:val="24"/>
        </w:rPr>
        <w:t xml:space="preserve"> century. </w:t>
      </w:r>
      <w:r>
        <w:rPr>
          <w:rFonts w:cstheme="minorHAnsi"/>
          <w:sz w:val="24"/>
          <w:szCs w:val="24"/>
        </w:rPr>
        <w:t>It was equally a transplanting of culture and authority that saw little relevance in local custom or practice as long as it served the coloniser; it was Europe</w:t>
      </w:r>
      <w:r w:rsidR="00C00840">
        <w:rPr>
          <w:rFonts w:cstheme="minorHAnsi"/>
          <w:sz w:val="24"/>
          <w:szCs w:val="24"/>
        </w:rPr>
        <w:t xml:space="preserve"> Abroad, </w:t>
      </w:r>
      <w:r>
        <w:rPr>
          <w:rFonts w:cstheme="minorHAnsi"/>
          <w:sz w:val="24"/>
          <w:szCs w:val="24"/>
        </w:rPr>
        <w:t>transplanted to foreign shores, wit</w:t>
      </w:r>
      <w:r w:rsidR="00C00840">
        <w:rPr>
          <w:rFonts w:cstheme="minorHAnsi"/>
          <w:sz w:val="24"/>
          <w:szCs w:val="24"/>
        </w:rPr>
        <w:t>h the only benefactors being</w:t>
      </w:r>
      <w:r>
        <w:rPr>
          <w:rFonts w:cstheme="minorHAnsi"/>
          <w:sz w:val="24"/>
          <w:szCs w:val="24"/>
        </w:rPr>
        <w:t xml:space="preserve"> individual privateers and</w:t>
      </w:r>
      <w:r w:rsidR="00C00840">
        <w:rPr>
          <w:rFonts w:cstheme="minorHAnsi"/>
          <w:sz w:val="24"/>
          <w:szCs w:val="24"/>
        </w:rPr>
        <w:t xml:space="preserve"> the</w:t>
      </w:r>
      <w:r>
        <w:rPr>
          <w:rFonts w:cstheme="minorHAnsi"/>
          <w:sz w:val="24"/>
          <w:szCs w:val="24"/>
        </w:rPr>
        <w:t xml:space="preserve"> home nations. </w:t>
      </w:r>
      <w:r w:rsidRPr="00E026C5">
        <w:rPr>
          <w:rFonts w:cstheme="minorHAnsi"/>
          <w:sz w:val="24"/>
          <w:szCs w:val="24"/>
        </w:rPr>
        <w:t>Joseph Conrad, a multi-lingual émigré himself, a</w:t>
      </w:r>
      <w:r>
        <w:rPr>
          <w:rFonts w:cstheme="minorHAnsi"/>
          <w:sz w:val="24"/>
          <w:szCs w:val="24"/>
        </w:rPr>
        <w:t>nd a</w:t>
      </w:r>
      <w:r w:rsidRPr="00E026C5">
        <w:rPr>
          <w:rFonts w:cstheme="minorHAnsi"/>
          <w:sz w:val="24"/>
          <w:szCs w:val="24"/>
        </w:rPr>
        <w:t xml:space="preserve"> writer</w:t>
      </w:r>
      <w:r>
        <w:rPr>
          <w:rFonts w:cstheme="minorHAnsi"/>
          <w:sz w:val="24"/>
          <w:szCs w:val="24"/>
        </w:rPr>
        <w:t xml:space="preserve"> whose work in this period began to show the nascent stirrings of modernism</w:t>
      </w:r>
      <w:r w:rsidRPr="00E026C5">
        <w:rPr>
          <w:rFonts w:cstheme="minorHAnsi"/>
          <w:sz w:val="24"/>
          <w:szCs w:val="24"/>
        </w:rPr>
        <w:t>, described the Belgian exploitation of the Congo, ‘as the vilest scramble for loot that ever disfigured the history of human conscience.’</w:t>
      </w:r>
      <w:r w:rsidRPr="00E026C5">
        <w:rPr>
          <w:rStyle w:val="FootnoteReference"/>
          <w:rFonts w:cstheme="minorHAnsi"/>
          <w:sz w:val="24"/>
          <w:szCs w:val="24"/>
        </w:rPr>
        <w:footnoteReference w:id="11"/>
      </w:r>
      <w:r w:rsidRPr="00E026C5">
        <w:rPr>
          <w:rFonts w:cstheme="minorHAnsi"/>
          <w:sz w:val="24"/>
          <w:szCs w:val="24"/>
        </w:rPr>
        <w:t xml:space="preserve"> Conrad’s engagement with that criminal misadventure drew on his own experiences as the captain of an interior bound trading vessel, and the result, </w:t>
      </w:r>
      <w:r w:rsidRPr="00E026C5">
        <w:rPr>
          <w:rFonts w:cstheme="minorHAnsi"/>
          <w:i/>
          <w:sz w:val="24"/>
          <w:szCs w:val="24"/>
        </w:rPr>
        <w:t>Heart of Darkness</w:t>
      </w:r>
      <w:r w:rsidRPr="00E026C5">
        <w:rPr>
          <w:rFonts w:cstheme="minorHAnsi"/>
          <w:sz w:val="24"/>
          <w:szCs w:val="24"/>
        </w:rPr>
        <w:t>, was published in 1902. As we shall see, it is a text rife with issues of its own, b</w:t>
      </w:r>
      <w:r>
        <w:rPr>
          <w:rFonts w:cstheme="minorHAnsi"/>
          <w:sz w:val="24"/>
          <w:szCs w:val="24"/>
        </w:rPr>
        <w:t>ut ultimately it contributed</w:t>
      </w:r>
      <w:r w:rsidRPr="00E026C5">
        <w:rPr>
          <w:rFonts w:cstheme="minorHAnsi"/>
          <w:sz w:val="24"/>
          <w:szCs w:val="24"/>
        </w:rPr>
        <w:t xml:space="preserve"> to a building campaign of protest that eventually brought an end to Belgian subjugation of the Congo.</w:t>
      </w:r>
      <w:r w:rsidRPr="00E026C5">
        <w:rPr>
          <w:rStyle w:val="FootnoteReference"/>
          <w:rFonts w:cstheme="minorHAnsi"/>
          <w:sz w:val="24"/>
          <w:szCs w:val="24"/>
        </w:rPr>
        <w:footnoteReference w:id="12"/>
      </w:r>
      <w:r w:rsidRPr="00E026C5">
        <w:rPr>
          <w:rFonts w:cstheme="minorHAnsi"/>
          <w:sz w:val="24"/>
          <w:szCs w:val="24"/>
        </w:rPr>
        <w:t xml:space="preserve"> </w:t>
      </w:r>
    </w:p>
    <w:p w:rsidR="00305E4E" w:rsidRDefault="007D6FB7" w:rsidP="006334D3">
      <w:pPr>
        <w:spacing w:before="100" w:beforeAutospacing="1" w:after="100" w:afterAutospacing="1" w:line="240" w:lineRule="auto"/>
        <w:jc w:val="both"/>
        <w:outlineLvl w:val="0"/>
        <w:rPr>
          <w:rFonts w:cstheme="minorHAnsi"/>
          <w:sz w:val="24"/>
          <w:szCs w:val="24"/>
        </w:rPr>
      </w:pPr>
      <w:r>
        <w:rPr>
          <w:rFonts w:cstheme="minorHAnsi"/>
          <w:sz w:val="24"/>
          <w:szCs w:val="24"/>
        </w:rPr>
        <w:t>Colonial</w:t>
      </w:r>
      <w:r w:rsidR="00305E4E">
        <w:rPr>
          <w:rFonts w:cstheme="minorHAnsi"/>
          <w:sz w:val="24"/>
          <w:szCs w:val="24"/>
        </w:rPr>
        <w:t xml:space="preserve"> Africa</w:t>
      </w:r>
      <w:r>
        <w:rPr>
          <w:rFonts w:cstheme="minorHAnsi"/>
          <w:sz w:val="24"/>
          <w:szCs w:val="24"/>
        </w:rPr>
        <w:t xml:space="preserve"> and </w:t>
      </w:r>
      <w:r w:rsidRPr="007D6FB7">
        <w:rPr>
          <w:rFonts w:cstheme="minorHAnsi"/>
          <w:i/>
          <w:sz w:val="24"/>
          <w:szCs w:val="24"/>
        </w:rPr>
        <w:t>Heart of Darkness</w:t>
      </w:r>
    </w:p>
    <w:p w:rsidR="006334D3" w:rsidRDefault="006334D3" w:rsidP="006334D3">
      <w:pPr>
        <w:spacing w:before="100" w:beforeAutospacing="1" w:after="100" w:afterAutospacing="1" w:line="240" w:lineRule="auto"/>
        <w:jc w:val="both"/>
        <w:outlineLvl w:val="0"/>
        <w:rPr>
          <w:rFonts w:eastAsia="Times New Roman" w:cstheme="minorHAnsi"/>
          <w:sz w:val="24"/>
          <w:szCs w:val="24"/>
          <w:lang w:eastAsia="en-GB"/>
        </w:rPr>
      </w:pPr>
      <w:r>
        <w:rPr>
          <w:rFonts w:cstheme="minorHAnsi"/>
          <w:sz w:val="24"/>
          <w:szCs w:val="24"/>
        </w:rPr>
        <w:t xml:space="preserve">With </w:t>
      </w:r>
      <w:r w:rsidRPr="00DA4E9C">
        <w:rPr>
          <w:rFonts w:cstheme="minorHAnsi"/>
          <w:i/>
          <w:sz w:val="24"/>
          <w:szCs w:val="24"/>
        </w:rPr>
        <w:t>Heart of Darkness</w:t>
      </w:r>
      <w:r>
        <w:rPr>
          <w:rFonts w:cstheme="minorHAnsi"/>
          <w:sz w:val="24"/>
          <w:szCs w:val="24"/>
        </w:rPr>
        <w:t>, Conrad had redefined himself as a writer of the modern age, and it is striking that the juxtaposition of silence with discordant sound defines a narrative that, as Eric Rawson describes it, ‘stands</w:t>
      </w:r>
      <w:r w:rsidRPr="00E260E8">
        <w:rPr>
          <w:rFonts w:eastAsia="Times New Roman" w:cstheme="minorHAnsi"/>
          <w:sz w:val="24"/>
          <w:szCs w:val="24"/>
          <w:lang w:eastAsia="en-GB"/>
        </w:rPr>
        <w:t xml:space="preserve"> at the threshold of the modern information age, in which the</w:t>
      </w:r>
      <w:r w:rsidRPr="00E026C5">
        <w:rPr>
          <w:rFonts w:eastAsia="Times New Roman" w:cstheme="minorHAnsi"/>
          <w:sz w:val="24"/>
          <w:szCs w:val="24"/>
          <w:lang w:eastAsia="en-GB"/>
        </w:rPr>
        <w:t xml:space="preserve"> </w:t>
      </w:r>
      <w:r w:rsidRPr="00E260E8">
        <w:rPr>
          <w:rFonts w:eastAsia="Times New Roman" w:cstheme="minorHAnsi"/>
          <w:sz w:val="24"/>
          <w:szCs w:val="24"/>
          <w:lang w:eastAsia="en-GB"/>
        </w:rPr>
        <w:t>sounds of the world are being rapidly reorganized into an</w:t>
      </w:r>
      <w:r w:rsidRPr="00E026C5">
        <w:rPr>
          <w:rFonts w:eastAsia="Times New Roman" w:cstheme="minorHAnsi"/>
          <w:sz w:val="24"/>
          <w:szCs w:val="24"/>
          <w:lang w:eastAsia="en-GB"/>
        </w:rPr>
        <w:t xml:space="preserve"> </w:t>
      </w:r>
      <w:r w:rsidRPr="00E260E8">
        <w:rPr>
          <w:rFonts w:eastAsia="Times New Roman" w:cstheme="minorHAnsi"/>
          <w:sz w:val="24"/>
          <w:szCs w:val="24"/>
          <w:lang w:eastAsia="en-GB"/>
        </w:rPr>
        <w:t>electro</w:t>
      </w:r>
      <w:r w:rsidRPr="00E026C5">
        <w:rPr>
          <w:rFonts w:eastAsia="Times New Roman" w:cstheme="minorHAnsi"/>
          <w:sz w:val="24"/>
          <w:szCs w:val="24"/>
          <w:lang w:eastAsia="en-GB"/>
        </w:rPr>
        <w:t>-</w:t>
      </w:r>
      <w:r w:rsidRPr="00E260E8">
        <w:rPr>
          <w:rFonts w:eastAsia="Times New Roman" w:cstheme="minorHAnsi"/>
          <w:sz w:val="24"/>
          <w:szCs w:val="24"/>
          <w:lang w:eastAsia="en-GB"/>
        </w:rPr>
        <w:t>acoustical coding and decoding of information that collapses</w:t>
      </w:r>
      <w:r w:rsidRPr="00E026C5">
        <w:rPr>
          <w:rFonts w:eastAsia="Times New Roman" w:cstheme="minorHAnsi"/>
          <w:sz w:val="24"/>
          <w:szCs w:val="24"/>
          <w:lang w:eastAsia="en-GB"/>
        </w:rPr>
        <w:t xml:space="preserve"> </w:t>
      </w:r>
      <w:r w:rsidRPr="00E260E8">
        <w:rPr>
          <w:rFonts w:eastAsia="Times New Roman" w:cstheme="minorHAnsi"/>
          <w:sz w:val="24"/>
          <w:szCs w:val="24"/>
          <w:lang w:eastAsia="en-GB"/>
        </w:rPr>
        <w:t>traditional notions</w:t>
      </w:r>
      <w:r>
        <w:rPr>
          <w:rFonts w:eastAsia="Times New Roman" w:cstheme="minorHAnsi"/>
          <w:sz w:val="24"/>
          <w:szCs w:val="24"/>
          <w:lang w:eastAsia="en-GB"/>
        </w:rPr>
        <w:t xml:space="preserve"> (…) </w:t>
      </w:r>
      <w:r w:rsidRPr="00E260E8">
        <w:rPr>
          <w:rFonts w:eastAsia="Times New Roman" w:cstheme="minorHAnsi"/>
          <w:sz w:val="24"/>
          <w:szCs w:val="24"/>
          <w:lang w:eastAsia="en-GB"/>
        </w:rPr>
        <w:t>of the aural.</w:t>
      </w:r>
      <w:r>
        <w:rPr>
          <w:rFonts w:eastAsia="Times New Roman" w:cstheme="minorHAnsi"/>
          <w:sz w:val="24"/>
          <w:szCs w:val="24"/>
          <w:lang w:eastAsia="en-GB"/>
        </w:rPr>
        <w:t>’</w:t>
      </w:r>
      <w:r>
        <w:rPr>
          <w:rStyle w:val="FootnoteReference"/>
          <w:rFonts w:eastAsia="Times New Roman" w:cstheme="minorHAnsi"/>
          <w:sz w:val="24"/>
          <w:szCs w:val="24"/>
          <w:lang w:eastAsia="en-GB"/>
        </w:rPr>
        <w:footnoteReference w:id="13"/>
      </w:r>
      <w:r w:rsidRPr="00E026C5">
        <w:rPr>
          <w:rFonts w:eastAsia="Times New Roman" w:cstheme="minorHAnsi"/>
          <w:sz w:val="24"/>
          <w:szCs w:val="24"/>
          <w:lang w:eastAsia="en-GB"/>
        </w:rPr>
        <w:t xml:space="preserve"> </w:t>
      </w:r>
      <w:r>
        <w:rPr>
          <w:rFonts w:eastAsia="Times New Roman" w:cstheme="minorHAnsi"/>
          <w:sz w:val="24"/>
          <w:szCs w:val="24"/>
          <w:lang w:eastAsia="en-GB"/>
        </w:rPr>
        <w:t>It is known that Conrad had been greatly impressed by the recent invention of the phonograph</w:t>
      </w:r>
      <w:r>
        <w:rPr>
          <w:rStyle w:val="FootnoteReference"/>
          <w:rFonts w:eastAsia="Times New Roman" w:cstheme="minorHAnsi"/>
          <w:sz w:val="24"/>
          <w:szCs w:val="24"/>
          <w:lang w:eastAsia="en-GB"/>
        </w:rPr>
        <w:footnoteReference w:id="14"/>
      </w:r>
      <w:r>
        <w:rPr>
          <w:rFonts w:eastAsia="Times New Roman" w:cstheme="minorHAnsi"/>
          <w:sz w:val="24"/>
          <w:szCs w:val="24"/>
          <w:lang w:eastAsia="en-GB"/>
        </w:rPr>
        <w:t>, and Marlowe is continually disturbed by a voice, and voices, that are detached, disembodied</w:t>
      </w:r>
    </w:p>
    <w:p w:rsidR="006334D3" w:rsidRPr="003B48B7" w:rsidRDefault="006334D3" w:rsidP="006334D3">
      <w:pPr>
        <w:spacing w:before="100" w:beforeAutospacing="1" w:after="100" w:afterAutospacing="1" w:line="240" w:lineRule="auto"/>
        <w:jc w:val="both"/>
        <w:outlineLvl w:val="0"/>
        <w:rPr>
          <w:sz w:val="24"/>
          <w:szCs w:val="24"/>
        </w:rPr>
      </w:pPr>
      <w:r w:rsidRPr="003B48B7">
        <w:rPr>
          <w:sz w:val="24"/>
          <w:szCs w:val="24"/>
        </w:rPr>
        <w:t>A voice. He was very little more than a voice. And I heard – him – it – this voice – other voices – all of them were so little more than voices – and the memory of that time itself lingers around me, impalpable, like a dying vibration of one immense jabber, silly, atrocious, sordid, savage, or simply mean, without any kind of sense. P149</w:t>
      </w:r>
    </w:p>
    <w:p w:rsidR="006334D3" w:rsidRDefault="00C00840" w:rsidP="006334D3">
      <w:pPr>
        <w:spacing w:before="100" w:beforeAutospacing="1" w:after="100" w:afterAutospacing="1" w:line="240" w:lineRule="auto"/>
        <w:jc w:val="both"/>
        <w:outlineLvl w:val="0"/>
        <w:rPr>
          <w:rFonts w:eastAsia="Times New Roman" w:cstheme="minorHAnsi"/>
          <w:sz w:val="24"/>
          <w:szCs w:val="24"/>
          <w:lang w:eastAsia="en-GB"/>
        </w:rPr>
      </w:pPr>
      <w:r>
        <w:rPr>
          <w:rFonts w:eastAsia="Times New Roman" w:cstheme="minorHAnsi"/>
          <w:sz w:val="24"/>
          <w:szCs w:val="24"/>
          <w:lang w:eastAsia="en-GB"/>
        </w:rPr>
        <w:t>Marlowe had been engaged to lead a trading expedition up the</w:t>
      </w:r>
      <w:r w:rsidR="009E43C7">
        <w:rPr>
          <w:rFonts w:eastAsia="Times New Roman" w:cstheme="minorHAnsi"/>
          <w:sz w:val="24"/>
          <w:szCs w:val="24"/>
          <w:lang w:eastAsia="en-GB"/>
        </w:rPr>
        <w:t xml:space="preserve"> Congo River,  intended as a cathartic  fulfilment of childhood dreams to enter those unexplored regions of Africa, but his growing obsession with Kurtz, of whom he hears more as</w:t>
      </w:r>
      <w:r w:rsidR="00EF2E8D">
        <w:rPr>
          <w:rFonts w:eastAsia="Times New Roman" w:cstheme="minorHAnsi"/>
          <w:sz w:val="24"/>
          <w:szCs w:val="24"/>
          <w:lang w:eastAsia="en-GB"/>
        </w:rPr>
        <w:t xml:space="preserve"> the vessel</w:t>
      </w:r>
      <w:r w:rsidR="009E43C7">
        <w:rPr>
          <w:rFonts w:eastAsia="Times New Roman" w:cstheme="minorHAnsi"/>
          <w:sz w:val="24"/>
          <w:szCs w:val="24"/>
          <w:lang w:eastAsia="en-GB"/>
        </w:rPr>
        <w:t xml:space="preserve"> moves upstream and as the environment around him</w:t>
      </w:r>
      <w:r w:rsidR="00EF2E8D">
        <w:rPr>
          <w:rFonts w:eastAsia="Times New Roman" w:cstheme="minorHAnsi"/>
          <w:sz w:val="24"/>
          <w:szCs w:val="24"/>
          <w:lang w:eastAsia="en-GB"/>
        </w:rPr>
        <w:t xml:space="preserve"> becomes, to his eyes more desolate</w:t>
      </w:r>
      <w:r w:rsidR="009E43C7">
        <w:rPr>
          <w:rFonts w:eastAsia="Times New Roman" w:cstheme="minorHAnsi"/>
          <w:sz w:val="24"/>
          <w:szCs w:val="24"/>
          <w:lang w:eastAsia="en-GB"/>
        </w:rPr>
        <w:t>, the more the</w:t>
      </w:r>
      <w:r w:rsidR="00EF2E8D">
        <w:rPr>
          <w:rFonts w:eastAsia="Times New Roman" w:cstheme="minorHAnsi"/>
          <w:sz w:val="24"/>
          <w:szCs w:val="24"/>
          <w:lang w:eastAsia="en-GB"/>
        </w:rPr>
        <w:t xml:space="preserve"> novel seeks to engage with the possibility of Marlowe’s own psychological deterioration.</w:t>
      </w:r>
      <w:r>
        <w:rPr>
          <w:rFonts w:eastAsia="Times New Roman" w:cstheme="minorHAnsi"/>
          <w:sz w:val="24"/>
          <w:szCs w:val="24"/>
          <w:lang w:eastAsia="en-GB"/>
        </w:rPr>
        <w:t xml:space="preserve"> </w:t>
      </w:r>
      <w:r w:rsidR="006334D3">
        <w:rPr>
          <w:rFonts w:eastAsia="Times New Roman" w:cstheme="minorHAnsi"/>
          <w:sz w:val="24"/>
          <w:szCs w:val="24"/>
          <w:lang w:eastAsia="en-GB"/>
        </w:rPr>
        <w:t xml:space="preserve">As the European witness to a European inflicted carnage, Marlowe sees the Congo in terms of complete otherness, there is no local, there is not even an indigenous individual; this world is ‘impenetrable’, ‘inconceivable’, many things are ‘unspeakable’, and it is within the terms </w:t>
      </w:r>
      <w:r w:rsidR="006334D3">
        <w:rPr>
          <w:rFonts w:eastAsia="Times New Roman" w:cstheme="minorHAnsi"/>
          <w:sz w:val="24"/>
          <w:szCs w:val="24"/>
          <w:lang w:eastAsia="en-GB"/>
        </w:rPr>
        <w:lastRenderedPageBreak/>
        <w:t>of this troubled absence that the narrative progresses. For Eric Rawson, this inarticulacy is equivalent to ‘</w:t>
      </w:r>
      <w:r w:rsidR="006334D3" w:rsidRPr="00E260E8">
        <w:rPr>
          <w:rFonts w:eastAsia="Times New Roman" w:cstheme="minorHAnsi"/>
          <w:sz w:val="24"/>
          <w:szCs w:val="24"/>
          <w:lang w:eastAsia="en-GB"/>
        </w:rPr>
        <w:t>the positive unknown, a pre-communicative</w:t>
      </w:r>
      <w:r w:rsidR="006334D3" w:rsidRPr="009F69D0">
        <w:rPr>
          <w:rFonts w:eastAsia="Times New Roman" w:cstheme="minorHAnsi"/>
          <w:sz w:val="24"/>
          <w:szCs w:val="24"/>
          <w:lang w:eastAsia="en-GB"/>
        </w:rPr>
        <w:t xml:space="preserve"> </w:t>
      </w:r>
      <w:r w:rsidR="006334D3" w:rsidRPr="00E260E8">
        <w:rPr>
          <w:rFonts w:eastAsia="Times New Roman" w:cstheme="minorHAnsi"/>
          <w:sz w:val="24"/>
          <w:szCs w:val="24"/>
          <w:lang w:eastAsia="en-GB"/>
        </w:rPr>
        <w:t>Eden, which matters for Marlow, as for Conrad. It is not that which</w:t>
      </w:r>
      <w:r w:rsidR="006334D3" w:rsidRPr="009F69D0">
        <w:rPr>
          <w:rFonts w:eastAsia="Times New Roman" w:cstheme="minorHAnsi"/>
          <w:sz w:val="24"/>
          <w:szCs w:val="24"/>
          <w:lang w:eastAsia="en-GB"/>
        </w:rPr>
        <w:t xml:space="preserve"> </w:t>
      </w:r>
      <w:r w:rsidR="006334D3" w:rsidRPr="00E260E8">
        <w:rPr>
          <w:rFonts w:eastAsia="Times New Roman" w:cstheme="minorHAnsi"/>
          <w:sz w:val="24"/>
          <w:szCs w:val="24"/>
          <w:lang w:eastAsia="en-GB"/>
        </w:rPr>
        <w:t>cannot be known that troubles Marlow; it is that which could be known</w:t>
      </w:r>
      <w:r w:rsidR="006334D3" w:rsidRPr="009F69D0">
        <w:rPr>
          <w:rFonts w:eastAsia="Times New Roman" w:cstheme="minorHAnsi"/>
          <w:sz w:val="24"/>
          <w:szCs w:val="24"/>
          <w:lang w:eastAsia="en-GB"/>
        </w:rPr>
        <w:t xml:space="preserve"> </w:t>
      </w:r>
      <w:r w:rsidR="006334D3" w:rsidRPr="00E260E8">
        <w:rPr>
          <w:rFonts w:eastAsia="Times New Roman" w:cstheme="minorHAnsi"/>
          <w:sz w:val="24"/>
          <w:szCs w:val="24"/>
          <w:lang w:eastAsia="en-GB"/>
        </w:rPr>
        <w:t>but cannot be accessed: silence</w:t>
      </w:r>
      <w:r w:rsidR="006334D3">
        <w:rPr>
          <w:rFonts w:eastAsia="Times New Roman" w:cstheme="minorHAnsi"/>
          <w:sz w:val="24"/>
          <w:szCs w:val="24"/>
          <w:lang w:eastAsia="en-GB"/>
        </w:rPr>
        <w:t>.’</w:t>
      </w:r>
      <w:r w:rsidR="006334D3">
        <w:rPr>
          <w:rStyle w:val="FootnoteReference"/>
          <w:rFonts w:eastAsia="Times New Roman" w:cstheme="minorHAnsi"/>
          <w:sz w:val="24"/>
          <w:szCs w:val="24"/>
          <w:lang w:eastAsia="en-GB"/>
        </w:rPr>
        <w:footnoteReference w:id="15"/>
      </w:r>
    </w:p>
    <w:p w:rsidR="006334D3" w:rsidRDefault="006334D3" w:rsidP="006334D3">
      <w:pPr>
        <w:spacing w:before="100" w:beforeAutospacing="1" w:after="100" w:afterAutospacing="1" w:line="240" w:lineRule="auto"/>
        <w:jc w:val="both"/>
        <w:outlineLvl w:val="0"/>
        <w:rPr>
          <w:rFonts w:eastAsia="Times New Roman" w:cstheme="minorHAnsi"/>
          <w:sz w:val="24"/>
          <w:szCs w:val="24"/>
          <w:lang w:eastAsia="en-GB"/>
        </w:rPr>
      </w:pPr>
      <w:r>
        <w:rPr>
          <w:rFonts w:eastAsia="Times New Roman" w:cstheme="minorHAnsi"/>
          <w:sz w:val="24"/>
          <w:szCs w:val="24"/>
          <w:lang w:eastAsia="en-GB"/>
        </w:rPr>
        <w:t xml:space="preserve">Uncertainty is central to </w:t>
      </w:r>
      <w:r w:rsidRPr="00730FD9">
        <w:rPr>
          <w:rFonts w:eastAsia="Times New Roman" w:cstheme="minorHAnsi"/>
          <w:i/>
          <w:sz w:val="24"/>
          <w:szCs w:val="24"/>
          <w:lang w:eastAsia="en-GB"/>
        </w:rPr>
        <w:t>Heart of Darkness</w:t>
      </w:r>
      <w:r>
        <w:rPr>
          <w:rFonts w:eastAsia="Times New Roman" w:cstheme="minorHAnsi"/>
          <w:sz w:val="24"/>
          <w:szCs w:val="24"/>
          <w:lang w:eastAsia="en-GB"/>
        </w:rPr>
        <w:t xml:space="preserve">, from the inexpressible and conflicted memories </w:t>
      </w:r>
      <w:r w:rsidRPr="00730FD9">
        <w:rPr>
          <w:rFonts w:eastAsia="Times New Roman" w:cstheme="minorHAnsi"/>
          <w:sz w:val="24"/>
          <w:szCs w:val="24"/>
          <w:lang w:eastAsia="en-GB"/>
        </w:rPr>
        <w:t>of Marlowe to the oblique narrative technique Conrad employs</w:t>
      </w:r>
      <w:r>
        <w:rPr>
          <w:rFonts w:eastAsia="Times New Roman" w:cstheme="minorHAnsi"/>
          <w:sz w:val="24"/>
          <w:szCs w:val="24"/>
          <w:lang w:eastAsia="en-GB"/>
        </w:rPr>
        <w:t xml:space="preserve"> as he draws attention to the ambiguity of telling the tale, as much to the telling it. Seen this way, the novel is shown to be aesthetically</w:t>
      </w:r>
      <w:r w:rsidRPr="00730FD9">
        <w:rPr>
          <w:sz w:val="24"/>
          <w:szCs w:val="24"/>
        </w:rPr>
        <w:t xml:space="preserve"> self-consciousness an</w:t>
      </w:r>
      <w:r>
        <w:rPr>
          <w:sz w:val="24"/>
          <w:szCs w:val="24"/>
        </w:rPr>
        <w:t>d self-reflexive, and whilst it can be celebrated as a critique of the colonial project, it is often criticised for its apparent condoning of a</w:t>
      </w:r>
      <w:r>
        <w:rPr>
          <w:rFonts w:eastAsia="Times New Roman" w:cstheme="minorHAnsi"/>
          <w:sz w:val="24"/>
          <w:szCs w:val="24"/>
          <w:lang w:eastAsia="en-GB"/>
        </w:rPr>
        <w:t xml:space="preserve"> Victorian trope that</w:t>
      </w:r>
      <w:r w:rsidRPr="00645AAA">
        <w:rPr>
          <w:rFonts w:eastAsia="Times New Roman" w:cstheme="minorHAnsi"/>
          <w:sz w:val="24"/>
          <w:szCs w:val="24"/>
          <w:lang w:eastAsia="en-GB"/>
        </w:rPr>
        <w:t xml:space="preserve"> trans</w:t>
      </w:r>
      <w:r>
        <w:rPr>
          <w:rFonts w:eastAsia="Times New Roman" w:cstheme="minorHAnsi"/>
          <w:sz w:val="24"/>
          <w:szCs w:val="24"/>
          <w:lang w:eastAsia="en-GB"/>
        </w:rPr>
        <w:t>-</w:t>
      </w:r>
      <w:r w:rsidRPr="00645AAA">
        <w:rPr>
          <w:rFonts w:eastAsia="Times New Roman" w:cstheme="minorHAnsi"/>
          <w:sz w:val="24"/>
          <w:szCs w:val="24"/>
          <w:lang w:eastAsia="en-GB"/>
        </w:rPr>
        <w:t>cultural communication and understanding</w:t>
      </w:r>
      <w:r>
        <w:rPr>
          <w:rFonts w:eastAsia="Times New Roman" w:cstheme="minorHAnsi"/>
          <w:sz w:val="24"/>
          <w:szCs w:val="24"/>
          <w:lang w:eastAsia="en-GB"/>
        </w:rPr>
        <w:t xml:space="preserve"> was possible.</w:t>
      </w:r>
      <w:r>
        <w:rPr>
          <w:rStyle w:val="FootnoteReference"/>
          <w:rFonts w:eastAsia="Times New Roman" w:cstheme="minorHAnsi"/>
          <w:sz w:val="24"/>
          <w:szCs w:val="24"/>
          <w:lang w:eastAsia="en-GB"/>
        </w:rPr>
        <w:footnoteReference w:id="16"/>
      </w:r>
      <w:r>
        <w:rPr>
          <w:rFonts w:eastAsia="Times New Roman" w:cstheme="minorHAnsi"/>
          <w:sz w:val="24"/>
          <w:szCs w:val="24"/>
          <w:lang w:eastAsia="en-GB"/>
        </w:rPr>
        <w:t xml:space="preserve"> Conrad does show the possibil</w:t>
      </w:r>
      <w:r w:rsidR="00305E4E">
        <w:rPr>
          <w:rFonts w:eastAsia="Times New Roman" w:cstheme="minorHAnsi"/>
          <w:sz w:val="24"/>
          <w:szCs w:val="24"/>
          <w:lang w:eastAsia="en-GB"/>
        </w:rPr>
        <w:t>ity, early in the novel, that</w:t>
      </w:r>
      <w:r>
        <w:rPr>
          <w:rFonts w:eastAsia="Times New Roman" w:cstheme="minorHAnsi"/>
          <w:sz w:val="24"/>
          <w:szCs w:val="24"/>
          <w:lang w:eastAsia="en-GB"/>
        </w:rPr>
        <w:t xml:space="preserve"> with the passage of time</w:t>
      </w:r>
      <w:r w:rsidR="00305E4E">
        <w:rPr>
          <w:rFonts w:eastAsia="Times New Roman" w:cstheme="minorHAnsi"/>
          <w:sz w:val="24"/>
          <w:szCs w:val="24"/>
          <w:lang w:eastAsia="en-GB"/>
        </w:rPr>
        <w:t>, things can change. A</w:t>
      </w:r>
      <w:r>
        <w:rPr>
          <w:rFonts w:eastAsia="Times New Roman" w:cstheme="minorHAnsi"/>
          <w:sz w:val="24"/>
          <w:szCs w:val="24"/>
          <w:lang w:eastAsia="en-GB"/>
        </w:rPr>
        <w:t>s the narrative</w:t>
      </w:r>
      <w:r w:rsidR="00305E4E">
        <w:rPr>
          <w:rFonts w:eastAsia="Times New Roman" w:cstheme="minorHAnsi"/>
          <w:sz w:val="24"/>
          <w:szCs w:val="24"/>
          <w:lang w:eastAsia="en-GB"/>
        </w:rPr>
        <w:t xml:space="preserve"> begins to unfold</w:t>
      </w:r>
      <w:r>
        <w:rPr>
          <w:rFonts w:eastAsia="Times New Roman" w:cstheme="minorHAnsi"/>
          <w:sz w:val="24"/>
          <w:szCs w:val="24"/>
          <w:lang w:eastAsia="en-GB"/>
        </w:rPr>
        <w:t>, titul</w:t>
      </w:r>
      <w:r w:rsidR="00305E4E">
        <w:rPr>
          <w:rFonts w:eastAsia="Times New Roman" w:cstheme="minorHAnsi"/>
          <w:sz w:val="24"/>
          <w:szCs w:val="24"/>
          <w:lang w:eastAsia="en-GB"/>
        </w:rPr>
        <w:t>ar pillars of the establishment sit on a yawl</w:t>
      </w:r>
      <w:r>
        <w:rPr>
          <w:rFonts w:eastAsia="Times New Roman" w:cstheme="minorHAnsi"/>
          <w:sz w:val="24"/>
          <w:szCs w:val="24"/>
          <w:lang w:eastAsia="en-GB"/>
        </w:rPr>
        <w:t xml:space="preserve"> awaiting the tide. With the sun setting, the sky begins to glower: “And this also,’ said Marlow suddenly, “has been one of the dark places of the earth”.’ Marlowe is describing the beginning of the Roman conquest of Britain, and in one startling observation, compresses a nation’s cacophonous history of invasion, war, domination, suppression, plague, revolution, and continued consolidation, into</w:t>
      </w:r>
      <w:r w:rsidR="00305E4E">
        <w:rPr>
          <w:rFonts w:eastAsia="Times New Roman" w:cstheme="minorHAnsi"/>
          <w:sz w:val="24"/>
          <w:szCs w:val="24"/>
          <w:lang w:eastAsia="en-GB"/>
        </w:rPr>
        <w:t xml:space="preserve"> the service of the newly </w:t>
      </w:r>
      <w:r>
        <w:rPr>
          <w:rFonts w:eastAsia="Times New Roman" w:cstheme="minorHAnsi"/>
          <w:sz w:val="24"/>
          <w:szCs w:val="24"/>
          <w:lang w:eastAsia="en-GB"/>
        </w:rPr>
        <w:t>charted</w:t>
      </w:r>
      <w:r w:rsidR="00305E4E">
        <w:rPr>
          <w:rFonts w:eastAsia="Times New Roman" w:cstheme="minorHAnsi"/>
          <w:sz w:val="24"/>
          <w:szCs w:val="24"/>
          <w:lang w:eastAsia="en-GB"/>
        </w:rPr>
        <w:t xml:space="preserve"> and suppressed </w:t>
      </w:r>
      <w:r>
        <w:rPr>
          <w:rFonts w:eastAsia="Times New Roman" w:cstheme="minorHAnsi"/>
          <w:sz w:val="24"/>
          <w:szCs w:val="24"/>
          <w:lang w:eastAsia="en-GB"/>
        </w:rPr>
        <w:t xml:space="preserve">territories. It should be noted that the Romans also eventually began to see themselves as bringing benefits to the greater world, under the auspices of trade and </w:t>
      </w:r>
      <w:r w:rsidR="00305E4E">
        <w:rPr>
          <w:rFonts w:eastAsia="Times New Roman" w:cstheme="minorHAnsi"/>
          <w:sz w:val="24"/>
          <w:szCs w:val="24"/>
          <w:lang w:eastAsia="en-GB"/>
        </w:rPr>
        <w:t>conquest,</w:t>
      </w:r>
      <w:r>
        <w:rPr>
          <w:rFonts w:eastAsia="Times New Roman" w:cstheme="minorHAnsi"/>
          <w:sz w:val="24"/>
          <w:szCs w:val="24"/>
          <w:lang w:eastAsia="en-GB"/>
        </w:rPr>
        <w:t xml:space="preserve"> they offered technology, order, and security, but only after allegiance had been offered.</w:t>
      </w:r>
      <w:r>
        <w:rPr>
          <w:rStyle w:val="FootnoteReference"/>
          <w:rFonts w:eastAsia="Times New Roman" w:cstheme="minorHAnsi"/>
          <w:sz w:val="24"/>
          <w:szCs w:val="24"/>
          <w:lang w:eastAsia="en-GB"/>
        </w:rPr>
        <w:footnoteReference w:id="17"/>
      </w:r>
      <w:r>
        <w:rPr>
          <w:rFonts w:eastAsia="Times New Roman" w:cstheme="minorHAnsi"/>
          <w:sz w:val="24"/>
          <w:szCs w:val="24"/>
          <w:lang w:eastAsia="en-GB"/>
        </w:rPr>
        <w:t xml:space="preserve"> It is to Conrad’s great credit that the closing lines of the novel offer no solutions and continue the narrative ambiguity, suggesting the psychological uncertainty of forced introspection:</w:t>
      </w:r>
    </w:p>
    <w:p w:rsidR="006334D3" w:rsidRDefault="006334D3" w:rsidP="006334D3">
      <w:pPr>
        <w:spacing w:before="100" w:beforeAutospacing="1" w:after="100" w:afterAutospacing="1" w:line="240" w:lineRule="auto"/>
        <w:jc w:val="both"/>
        <w:outlineLvl w:val="0"/>
        <w:rPr>
          <w:rFonts w:eastAsia="Times New Roman" w:cstheme="minorHAnsi"/>
          <w:sz w:val="24"/>
          <w:szCs w:val="24"/>
          <w:lang w:eastAsia="en-GB"/>
        </w:rPr>
      </w:pPr>
      <w:r>
        <w:rPr>
          <w:rFonts w:eastAsia="Times New Roman" w:cstheme="minorHAnsi"/>
          <w:sz w:val="24"/>
          <w:szCs w:val="24"/>
          <w:lang w:eastAsia="en-GB"/>
        </w:rPr>
        <w:t>Marlow ceased, and sat apart, indistinct and silent, in the pose of a meditating Buddha. Nobody moved for a time. ‘We have lost the first of the ebb” said the Director, suddenly. I raised my head. The offing was barred by a black bank of clouds, and the tranquil waterway leading to the uttermost ends of the earth flowed under an overcast sky- seemed to lead to the heart of an immense darkness. P187</w:t>
      </w:r>
    </w:p>
    <w:p w:rsidR="007D6FB7" w:rsidRDefault="007D6FB7" w:rsidP="006334D3">
      <w:pPr>
        <w:spacing w:before="100" w:beforeAutospacing="1" w:after="100" w:afterAutospacing="1" w:line="240" w:lineRule="auto"/>
        <w:jc w:val="both"/>
        <w:outlineLvl w:val="0"/>
        <w:rPr>
          <w:rFonts w:eastAsia="Times New Roman" w:cstheme="minorHAnsi"/>
          <w:sz w:val="24"/>
          <w:szCs w:val="24"/>
          <w:lang w:eastAsia="en-GB"/>
        </w:rPr>
      </w:pPr>
      <w:r>
        <w:rPr>
          <w:rFonts w:eastAsia="Times New Roman" w:cstheme="minorHAnsi"/>
          <w:sz w:val="24"/>
          <w:szCs w:val="24"/>
          <w:lang w:eastAsia="en-GB"/>
        </w:rPr>
        <w:t xml:space="preserve">Post- Colonial India and </w:t>
      </w:r>
      <w:r w:rsidRPr="007D6FB7">
        <w:rPr>
          <w:rFonts w:eastAsia="Times New Roman" w:cstheme="minorHAnsi"/>
          <w:i/>
          <w:sz w:val="24"/>
          <w:szCs w:val="24"/>
          <w:lang w:eastAsia="en-GB"/>
        </w:rPr>
        <w:t>The God of Small Things</w:t>
      </w:r>
      <w:r>
        <w:rPr>
          <w:rFonts w:eastAsia="Times New Roman" w:cstheme="minorHAnsi"/>
          <w:i/>
          <w:sz w:val="24"/>
          <w:szCs w:val="24"/>
          <w:lang w:eastAsia="en-GB"/>
        </w:rPr>
        <w:t>.</w:t>
      </w:r>
    </w:p>
    <w:p w:rsidR="006334D3" w:rsidRDefault="006334D3" w:rsidP="006334D3">
      <w:pPr>
        <w:spacing w:before="100" w:beforeAutospacing="1" w:after="100" w:afterAutospacing="1" w:line="240" w:lineRule="auto"/>
        <w:jc w:val="both"/>
        <w:outlineLvl w:val="0"/>
        <w:rPr>
          <w:rFonts w:eastAsia="Times New Roman" w:cstheme="minorHAnsi"/>
          <w:sz w:val="24"/>
          <w:szCs w:val="24"/>
          <w:lang w:eastAsia="en-GB"/>
        </w:rPr>
      </w:pPr>
      <w:r>
        <w:rPr>
          <w:rFonts w:eastAsia="Times New Roman" w:cstheme="minorHAnsi"/>
          <w:sz w:val="24"/>
          <w:szCs w:val="24"/>
          <w:lang w:eastAsia="en-GB"/>
        </w:rPr>
        <w:t>We have charted the development of the telegraph, and its physical encirclement of the world, a task that had been completed in the same year as the publication of Conrad’s tale, and we have seen how European colonialism had consumed 70% of the worlds land mass and peoples into essentially vassal states, but it was the rapid developments in information coding and exchange that enhanced the psychic domination of the globe</w:t>
      </w:r>
      <w:r w:rsidR="00305E4E">
        <w:rPr>
          <w:rFonts w:eastAsia="Times New Roman" w:cstheme="minorHAnsi"/>
          <w:sz w:val="24"/>
          <w:szCs w:val="24"/>
          <w:lang w:eastAsia="en-GB"/>
        </w:rPr>
        <w:t xml:space="preserve"> that imperialism had begun</w:t>
      </w:r>
      <w:r>
        <w:rPr>
          <w:rFonts w:eastAsia="Times New Roman" w:cstheme="minorHAnsi"/>
          <w:sz w:val="24"/>
          <w:szCs w:val="24"/>
          <w:lang w:eastAsia="en-GB"/>
        </w:rPr>
        <w:t>.</w:t>
      </w:r>
      <w:r w:rsidR="00305E4E">
        <w:rPr>
          <w:rFonts w:eastAsia="Times New Roman" w:cstheme="minorHAnsi"/>
          <w:sz w:val="24"/>
          <w:szCs w:val="24"/>
          <w:lang w:eastAsia="en-GB"/>
        </w:rPr>
        <w:t xml:space="preserve"> In</w:t>
      </w:r>
      <w:r>
        <w:rPr>
          <w:rFonts w:eastAsia="Times New Roman" w:cstheme="minorHAnsi"/>
          <w:sz w:val="24"/>
          <w:szCs w:val="24"/>
          <w:lang w:eastAsia="en-GB"/>
        </w:rPr>
        <w:t xml:space="preserve"> Arundhati Roy’s post-colonial novel </w:t>
      </w:r>
      <w:r w:rsidRPr="00181055">
        <w:rPr>
          <w:rFonts w:eastAsia="Times New Roman" w:cstheme="minorHAnsi"/>
          <w:i/>
          <w:sz w:val="24"/>
          <w:szCs w:val="24"/>
          <w:lang w:eastAsia="en-GB"/>
        </w:rPr>
        <w:t>The God of Small Things</w:t>
      </w:r>
      <w:r>
        <w:rPr>
          <w:rFonts w:eastAsia="Times New Roman" w:cstheme="minorHAnsi"/>
          <w:sz w:val="24"/>
          <w:szCs w:val="24"/>
          <w:lang w:eastAsia="en-GB"/>
        </w:rPr>
        <w:t xml:space="preserve">, the return of Rahel and the ‘re-return’ of Estha become imaginary obstructers at the source of discordance; their aunt’s satellite dish, </w:t>
      </w:r>
      <w:r w:rsidR="007D6FB7">
        <w:rPr>
          <w:rFonts w:eastAsia="Times New Roman" w:cstheme="minorHAnsi"/>
          <w:sz w:val="24"/>
          <w:szCs w:val="24"/>
          <w:lang w:eastAsia="en-GB"/>
        </w:rPr>
        <w:t>whilst</w:t>
      </w:r>
      <w:r>
        <w:rPr>
          <w:rFonts w:eastAsia="Times New Roman" w:cstheme="minorHAnsi"/>
          <w:sz w:val="24"/>
          <w:szCs w:val="24"/>
          <w:lang w:eastAsia="en-GB"/>
        </w:rPr>
        <w:t xml:space="preserve"> kn</w:t>
      </w:r>
      <w:r w:rsidR="007D6FB7">
        <w:rPr>
          <w:rFonts w:eastAsia="Times New Roman" w:cstheme="minorHAnsi"/>
          <w:sz w:val="24"/>
          <w:szCs w:val="24"/>
          <w:lang w:eastAsia="en-GB"/>
        </w:rPr>
        <w:t>owing that everything; the American wrestlers; the genocide;</w:t>
      </w:r>
      <w:r>
        <w:rPr>
          <w:rFonts w:eastAsia="Times New Roman" w:cstheme="minorHAnsi"/>
          <w:sz w:val="24"/>
          <w:szCs w:val="24"/>
          <w:lang w:eastAsia="en-GB"/>
        </w:rPr>
        <w:t xml:space="preserve"> the victims of famine</w:t>
      </w:r>
      <w:r w:rsidR="007D6FB7">
        <w:rPr>
          <w:rFonts w:eastAsia="Times New Roman" w:cstheme="minorHAnsi"/>
          <w:sz w:val="24"/>
          <w:szCs w:val="24"/>
          <w:lang w:eastAsia="en-GB"/>
        </w:rPr>
        <w:t>,</w:t>
      </w:r>
      <w:r>
        <w:rPr>
          <w:rFonts w:eastAsia="Times New Roman" w:cstheme="minorHAnsi"/>
          <w:sz w:val="24"/>
          <w:szCs w:val="24"/>
          <w:lang w:eastAsia="en-GB"/>
        </w:rPr>
        <w:t xml:space="preserve"> would still slip through. Even this f</w:t>
      </w:r>
      <w:r w:rsidR="007D6FB7">
        <w:rPr>
          <w:rFonts w:eastAsia="Times New Roman" w:cstheme="minorHAnsi"/>
          <w:sz w:val="24"/>
          <w:szCs w:val="24"/>
          <w:lang w:eastAsia="en-GB"/>
        </w:rPr>
        <w:t>l</w:t>
      </w:r>
      <w:r>
        <w:rPr>
          <w:rFonts w:eastAsia="Times New Roman" w:cstheme="minorHAnsi"/>
          <w:sz w:val="24"/>
          <w:szCs w:val="24"/>
          <w:lang w:eastAsia="en-GB"/>
        </w:rPr>
        <w:t>ight of fancy is doomed as the ‘two egg twins’ ponder the unassailable:</w:t>
      </w:r>
    </w:p>
    <w:p w:rsidR="006334D3" w:rsidRPr="0099512F" w:rsidRDefault="006334D3" w:rsidP="006334D3">
      <w:pPr>
        <w:spacing w:before="100" w:beforeAutospacing="1" w:after="100" w:afterAutospacing="1" w:line="240" w:lineRule="auto"/>
        <w:jc w:val="both"/>
        <w:outlineLvl w:val="0"/>
        <w:rPr>
          <w:rFonts w:eastAsia="Times New Roman" w:cstheme="minorHAnsi"/>
          <w:bCs/>
          <w:kern w:val="36"/>
          <w:sz w:val="24"/>
          <w:szCs w:val="24"/>
          <w:lang w:eastAsia="en-GB"/>
        </w:rPr>
      </w:pPr>
      <w:r w:rsidRPr="00D923C3">
        <w:rPr>
          <w:rFonts w:eastAsia="Times New Roman" w:cstheme="minorHAnsi"/>
          <w:bCs/>
          <w:kern w:val="36"/>
          <w:sz w:val="24"/>
          <w:szCs w:val="24"/>
          <w:lang w:eastAsia="en-GB"/>
        </w:rPr>
        <w:lastRenderedPageBreak/>
        <w:t>The sky was thick with TV. If you wore special glasses you could see them spinning through the sky among the bats and homing birds—blondes, wars, famines, football, food shows, coups d'état, hairstyles stiff with hair spray. Designer pectorals. Gliding towards Ayemenem like skydivers. Making patterns in the sky. Wheels. Windmills. Fl</w:t>
      </w:r>
      <w:r>
        <w:rPr>
          <w:rFonts w:eastAsia="Times New Roman" w:cstheme="minorHAnsi"/>
          <w:bCs/>
          <w:kern w:val="36"/>
          <w:sz w:val="24"/>
          <w:szCs w:val="24"/>
          <w:lang w:eastAsia="en-GB"/>
        </w:rPr>
        <w:t>owers blooming and unblooming.</w:t>
      </w:r>
      <w:r>
        <w:rPr>
          <w:rStyle w:val="FootnoteReference"/>
          <w:rFonts w:eastAsia="Times New Roman" w:cstheme="minorHAnsi"/>
          <w:bCs/>
          <w:kern w:val="36"/>
          <w:sz w:val="24"/>
          <w:szCs w:val="24"/>
          <w:lang w:eastAsia="en-GB"/>
        </w:rPr>
        <w:footnoteReference w:id="18"/>
      </w:r>
    </w:p>
    <w:p w:rsidR="007D6FB7"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locus of The God of Small Things is Ayemenem, a rural Keralan village in Southern India. </w:t>
      </w:r>
      <w:r w:rsidRPr="00AC1B92">
        <w:rPr>
          <w:rFonts w:eastAsia="Times New Roman" w:cstheme="minorHAnsi"/>
          <w:sz w:val="24"/>
          <w:szCs w:val="24"/>
          <w:lang w:eastAsia="en-GB"/>
        </w:rPr>
        <w:t>Its parochialism</w:t>
      </w:r>
      <w:r>
        <w:rPr>
          <w:rFonts w:eastAsia="Times New Roman" w:cstheme="minorHAnsi"/>
          <w:sz w:val="24"/>
          <w:szCs w:val="24"/>
          <w:lang w:eastAsia="en-GB"/>
        </w:rPr>
        <w:t xml:space="preserve"> is shown to be largely atypical</w:t>
      </w:r>
      <w:r w:rsidRPr="00AC1B92">
        <w:rPr>
          <w:rFonts w:eastAsia="Times New Roman" w:cstheme="minorHAnsi"/>
          <w:sz w:val="24"/>
          <w:szCs w:val="24"/>
          <w:lang w:eastAsia="en-GB"/>
        </w:rPr>
        <w:t xml:space="preserve"> during the twins’ childhood</w:t>
      </w:r>
      <w:r>
        <w:rPr>
          <w:rFonts w:eastAsia="Times New Roman" w:cstheme="minorHAnsi"/>
          <w:sz w:val="24"/>
          <w:szCs w:val="24"/>
          <w:lang w:eastAsia="en-GB"/>
        </w:rPr>
        <w:t>, but</w:t>
      </w:r>
      <w:r w:rsidRPr="00AC1B92">
        <w:rPr>
          <w:rFonts w:eastAsia="Times New Roman" w:cstheme="minorHAnsi"/>
          <w:sz w:val="24"/>
          <w:szCs w:val="24"/>
          <w:lang w:eastAsia="en-GB"/>
        </w:rPr>
        <w:t xml:space="preserve"> is</w:t>
      </w:r>
      <w:r>
        <w:rPr>
          <w:rFonts w:eastAsia="Times New Roman" w:cstheme="minorHAnsi"/>
          <w:sz w:val="24"/>
          <w:szCs w:val="24"/>
          <w:lang w:eastAsia="en-GB"/>
        </w:rPr>
        <w:t xml:space="preserve"> further</w:t>
      </w:r>
      <w:r w:rsidRPr="00AC1B92">
        <w:rPr>
          <w:rFonts w:eastAsia="Times New Roman" w:cstheme="minorHAnsi"/>
          <w:sz w:val="24"/>
          <w:szCs w:val="24"/>
          <w:lang w:eastAsia="en-GB"/>
        </w:rPr>
        <w:t xml:space="preserve"> enhanced by Kerala having 20% of its population defining themselves as Syrian Christian, an earlier conversion that dates back more than 2,000 years and that has adapted itself to the Hindu caste system and society, whilst maintaining a separate sense of superiority, and conservatism.  Rahel and Estha, twin scions of the Syrian Christian Ipe family, are children frozen in ti</w:t>
      </w:r>
      <w:r>
        <w:rPr>
          <w:rFonts w:eastAsia="Times New Roman" w:cstheme="minorHAnsi"/>
          <w:sz w:val="24"/>
          <w:szCs w:val="24"/>
          <w:lang w:eastAsia="en-GB"/>
        </w:rPr>
        <w:t>me by the events of thirteen days in their childhood. The final day sees</w:t>
      </w:r>
      <w:r w:rsidRPr="00AC1B92">
        <w:rPr>
          <w:rFonts w:eastAsia="Times New Roman" w:cstheme="minorHAnsi"/>
          <w:sz w:val="24"/>
          <w:szCs w:val="24"/>
          <w:lang w:eastAsia="en-GB"/>
        </w:rPr>
        <w:t xml:space="preserve"> their uncle’</w:t>
      </w:r>
      <w:r>
        <w:rPr>
          <w:rFonts w:eastAsia="Times New Roman" w:cstheme="minorHAnsi"/>
          <w:sz w:val="24"/>
          <w:szCs w:val="24"/>
          <w:lang w:eastAsia="en-GB"/>
        </w:rPr>
        <w:t xml:space="preserve">s half English daughter </w:t>
      </w:r>
      <w:r w:rsidRPr="00AC1B92">
        <w:rPr>
          <w:rFonts w:eastAsia="Times New Roman" w:cstheme="minorHAnsi"/>
          <w:sz w:val="24"/>
          <w:szCs w:val="24"/>
          <w:lang w:eastAsia="en-GB"/>
        </w:rPr>
        <w:t>accidentally drowned, and they</w:t>
      </w:r>
      <w:r>
        <w:rPr>
          <w:rFonts w:eastAsia="Times New Roman" w:cstheme="minorHAnsi"/>
          <w:sz w:val="24"/>
          <w:szCs w:val="24"/>
          <w:lang w:eastAsia="en-GB"/>
        </w:rPr>
        <w:t xml:space="preserve"> both</w:t>
      </w:r>
      <w:r w:rsidRPr="00AC1B92">
        <w:rPr>
          <w:rFonts w:eastAsia="Times New Roman" w:cstheme="minorHAnsi"/>
          <w:sz w:val="24"/>
          <w:szCs w:val="24"/>
          <w:lang w:eastAsia="en-GB"/>
        </w:rPr>
        <w:t xml:space="preserve"> witness their Paravan</w:t>
      </w:r>
      <w:r w:rsidR="007D6FB7">
        <w:rPr>
          <w:rFonts w:eastAsia="Times New Roman" w:cstheme="minorHAnsi"/>
          <w:sz w:val="24"/>
          <w:szCs w:val="24"/>
          <w:lang w:eastAsia="en-GB"/>
        </w:rPr>
        <w:t xml:space="preserve"> (Dalit)</w:t>
      </w:r>
      <w:r w:rsidRPr="00AC1B92">
        <w:rPr>
          <w:rFonts w:eastAsia="Times New Roman" w:cstheme="minorHAnsi"/>
          <w:sz w:val="24"/>
          <w:szCs w:val="24"/>
          <w:lang w:eastAsia="en-GB"/>
        </w:rPr>
        <w:t xml:space="preserve"> friend Velutha, being beaten to death after his affair with their mother is discovered. This last tragedy is a caste transgression, for although the Ipe’s profess Syrian Christianity they still adhere to </w:t>
      </w:r>
      <w:r w:rsidR="007D6FB7">
        <w:rPr>
          <w:rFonts w:eastAsia="Times New Roman" w:cstheme="minorHAnsi"/>
          <w:sz w:val="24"/>
          <w:szCs w:val="24"/>
          <w:lang w:eastAsia="en-GB"/>
        </w:rPr>
        <w:t>an</w:t>
      </w:r>
      <w:r w:rsidRPr="00AC1B92">
        <w:rPr>
          <w:rFonts w:eastAsia="Times New Roman" w:cstheme="minorHAnsi"/>
          <w:sz w:val="24"/>
          <w:szCs w:val="24"/>
          <w:lang w:eastAsia="en-GB"/>
        </w:rPr>
        <w:t xml:space="preserve"> entrenched Hindu caste system. The elevated status of the family within the community is long established, and has been enhanced by their connection to Europe, and in particular, England. India had been governed by the British for close to 200</w:t>
      </w:r>
      <w:r>
        <w:rPr>
          <w:rFonts w:eastAsia="Times New Roman" w:cstheme="minorHAnsi"/>
          <w:sz w:val="24"/>
          <w:szCs w:val="24"/>
          <w:lang w:eastAsia="en-GB"/>
        </w:rPr>
        <w:t xml:space="preserve"> </w:t>
      </w:r>
      <w:r w:rsidRPr="00AC1B92">
        <w:rPr>
          <w:rFonts w:eastAsia="Times New Roman" w:cstheme="minorHAnsi"/>
          <w:sz w:val="24"/>
          <w:szCs w:val="24"/>
          <w:lang w:eastAsia="en-GB"/>
        </w:rPr>
        <w:t>years, initially by the East India Company, and then from 1856 as a British Dominion of Empire. This rule ended with the partition of India in 1947, with the continued use of the British style of Parliamentary government and the rule of law through non-partisan courts.</w:t>
      </w:r>
      <w:r>
        <w:rPr>
          <w:rStyle w:val="FootnoteReference"/>
          <w:rFonts w:eastAsia="Times New Roman" w:cstheme="minorHAnsi"/>
          <w:sz w:val="24"/>
          <w:szCs w:val="24"/>
          <w:lang w:eastAsia="en-GB"/>
        </w:rPr>
        <w:footnoteReference w:id="19"/>
      </w:r>
      <w:r w:rsidRPr="00AC1B92">
        <w:rPr>
          <w:rFonts w:eastAsia="Times New Roman" w:cstheme="minorHAnsi"/>
          <w:sz w:val="24"/>
          <w:szCs w:val="24"/>
          <w:lang w:eastAsia="en-GB"/>
        </w:rPr>
        <w:t xml:space="preserve"> </w:t>
      </w:r>
    </w:p>
    <w:p w:rsidR="006334D3" w:rsidRDefault="006334D3" w:rsidP="006334D3">
      <w:pPr>
        <w:spacing w:line="240" w:lineRule="auto"/>
        <w:jc w:val="both"/>
        <w:rPr>
          <w:rFonts w:eastAsia="Times New Roman" w:cstheme="minorHAnsi"/>
          <w:sz w:val="24"/>
          <w:szCs w:val="24"/>
          <w:lang w:eastAsia="en-GB"/>
        </w:rPr>
      </w:pPr>
      <w:r w:rsidRPr="00AC1B92">
        <w:rPr>
          <w:rFonts w:eastAsia="Times New Roman" w:cstheme="minorHAnsi"/>
          <w:sz w:val="24"/>
          <w:szCs w:val="24"/>
          <w:lang w:eastAsia="en-GB"/>
        </w:rPr>
        <w:t xml:space="preserve">The unacknowledged legacy was far greater as partition led to one of the greatest forced migrations in history, ‘with an estimated 17.9 million people leaving their homes. Estimates of the number killed between March 1947 and January 1948 range from 180,000 to 1 million. </w:t>
      </w:r>
      <w:r>
        <w:rPr>
          <w:rFonts w:eastAsia="Times New Roman" w:cstheme="minorHAnsi"/>
          <w:sz w:val="24"/>
          <w:szCs w:val="24"/>
          <w:lang w:eastAsia="en-GB"/>
        </w:rPr>
        <w:t>Th</w:t>
      </w:r>
      <w:r w:rsidRPr="00AC1B92">
        <w:rPr>
          <w:rFonts w:eastAsia="Times New Roman" w:cstheme="minorHAnsi"/>
          <w:sz w:val="24"/>
          <w:szCs w:val="24"/>
          <w:lang w:eastAsia="en-GB"/>
        </w:rPr>
        <w:t>ere were</w:t>
      </w:r>
      <w:r>
        <w:rPr>
          <w:rFonts w:eastAsia="Times New Roman" w:cstheme="minorHAnsi"/>
          <w:sz w:val="24"/>
          <w:szCs w:val="24"/>
          <w:lang w:eastAsia="en-GB"/>
        </w:rPr>
        <w:t xml:space="preserve"> </w:t>
      </w:r>
      <w:r w:rsidRPr="00AC1B92">
        <w:rPr>
          <w:rFonts w:eastAsia="Times New Roman" w:cstheme="minorHAnsi"/>
          <w:sz w:val="24"/>
          <w:szCs w:val="24"/>
          <w:lang w:eastAsia="en-GB"/>
        </w:rPr>
        <w:t>more than 3.4 million ‘missing’ members of targeted minorities in the 1951 census.’</w:t>
      </w:r>
      <w:r>
        <w:rPr>
          <w:rStyle w:val="FootnoteReference"/>
          <w:rFonts w:eastAsia="Times New Roman" w:cstheme="minorHAnsi"/>
          <w:sz w:val="24"/>
          <w:szCs w:val="24"/>
          <w:lang w:eastAsia="en-GB"/>
        </w:rPr>
        <w:footnoteReference w:id="20"/>
      </w:r>
      <w:r>
        <w:rPr>
          <w:rFonts w:eastAsia="Times New Roman" w:cstheme="minorHAnsi"/>
          <w:sz w:val="24"/>
          <w:szCs w:val="24"/>
          <w:lang w:eastAsia="en-GB"/>
        </w:rPr>
        <w:t xml:space="preserve"> That critical day in the twins’ childhood occurs in 1969, and results within a few days in the twins forced separation, with Estha sent to his father and Rahel and their mother also forced away from the family home.  It is only in 1992 that Rahel returns from her travels abroad, and finds Estha to be mute and wholly interiorised. Their aunt has allowed the house and its garden to deteriorate badly, and has become fixated by satellite television which </w:t>
      </w:r>
      <w:r w:rsidR="007D6FB7">
        <w:rPr>
          <w:rFonts w:eastAsia="Times New Roman" w:cstheme="minorHAnsi"/>
          <w:sz w:val="24"/>
          <w:szCs w:val="24"/>
          <w:lang w:eastAsia="en-GB"/>
        </w:rPr>
        <w:t xml:space="preserve">addresses the needs that had </w:t>
      </w:r>
      <w:r>
        <w:rPr>
          <w:rFonts w:eastAsia="Times New Roman" w:cstheme="minorHAnsi"/>
          <w:sz w:val="24"/>
          <w:szCs w:val="24"/>
          <w:lang w:eastAsia="en-GB"/>
        </w:rPr>
        <w:t xml:space="preserve">once </w:t>
      </w:r>
      <w:r w:rsidR="007D6FB7">
        <w:rPr>
          <w:rFonts w:eastAsia="Times New Roman" w:cstheme="minorHAnsi"/>
          <w:sz w:val="24"/>
          <w:szCs w:val="24"/>
          <w:lang w:eastAsia="en-GB"/>
        </w:rPr>
        <w:t xml:space="preserve">been </w:t>
      </w:r>
      <w:r>
        <w:rPr>
          <w:rFonts w:eastAsia="Times New Roman" w:cstheme="minorHAnsi"/>
          <w:sz w:val="24"/>
          <w:szCs w:val="24"/>
          <w:lang w:eastAsia="en-GB"/>
        </w:rPr>
        <w:t>absorbed by the conflicting states of her love for a Syrian Christian Novitiate and an extreme sense of family and caste propriety. Before the separation of the twins, their uncle Chacko tells the</w:t>
      </w:r>
      <w:r w:rsidR="007D6FB7">
        <w:rPr>
          <w:rFonts w:eastAsia="Times New Roman" w:cstheme="minorHAnsi"/>
          <w:sz w:val="24"/>
          <w:szCs w:val="24"/>
          <w:lang w:eastAsia="en-GB"/>
        </w:rPr>
        <w:t>m</w:t>
      </w:r>
      <w:r>
        <w:rPr>
          <w:rFonts w:eastAsia="Times New Roman" w:cstheme="minorHAnsi"/>
          <w:sz w:val="24"/>
          <w:szCs w:val="24"/>
          <w:lang w:eastAsia="en-GB"/>
        </w:rPr>
        <w:t xml:space="preserve"> to imagine an old house at night, with all the lamps lit, ‘and ancestors talking inside (…) to understand history all we have to go inside and listen to what they’re saying.’ He continues;</w:t>
      </w:r>
    </w:p>
    <w:p w:rsidR="006334D3"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t>But we can’t go in (…) because we’ve been locked out. And when we look in through the windows, all we see are shadows. And when we try and listen all we hear is a whispering. And we cannot understand the whispering, because our minds have been invaded by a war. A war that we have won and lost. The very worst sort of war. A war that captures dreams and re-dreams them. A war that made us adore our conquerors and despise ourselves. (p52)</w:t>
      </w:r>
    </w:p>
    <w:p w:rsidR="006334D3"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The liberally educated Chacko plays the tolerant and amusing uncle well, but that masks a disappointment with life that a close engagement with the former colonisers as a Rhodes Scholar (a scholarship endowed by the accumulated wealth of imperial profit in Africa), and divorce from his wife and half English daughter has only enhanced. Chacko has already told the twins that the Ipe family were ‘</w:t>
      </w:r>
      <w:r w:rsidRPr="00C724DB">
        <w:rPr>
          <w:rFonts w:eastAsia="Times New Roman" w:cstheme="minorHAnsi"/>
          <w:i/>
          <w:sz w:val="24"/>
          <w:szCs w:val="24"/>
          <w:lang w:eastAsia="en-GB"/>
        </w:rPr>
        <w:t>Anglophiles</w:t>
      </w:r>
      <w:r>
        <w:rPr>
          <w:rFonts w:eastAsia="Times New Roman" w:cstheme="minorHAnsi"/>
          <w:sz w:val="24"/>
          <w:szCs w:val="24"/>
          <w:lang w:eastAsia="en-GB"/>
        </w:rPr>
        <w:t xml:space="preserve">. Pointed in the wrong </w:t>
      </w:r>
      <w:r w:rsidR="007D6FB7">
        <w:rPr>
          <w:rFonts w:eastAsia="Times New Roman" w:cstheme="minorHAnsi"/>
          <w:sz w:val="24"/>
          <w:szCs w:val="24"/>
          <w:lang w:eastAsia="en-GB"/>
        </w:rPr>
        <w:t xml:space="preserve">direction, trapped outside their </w:t>
      </w:r>
      <w:r>
        <w:rPr>
          <w:rFonts w:eastAsia="Times New Roman" w:cstheme="minorHAnsi"/>
          <w:sz w:val="24"/>
          <w:szCs w:val="24"/>
          <w:lang w:eastAsia="en-GB"/>
        </w:rPr>
        <w:t xml:space="preserve">own history and unable to retrace their steps because their footsteps had been swept away.’ (p51) The twins conflate these sombre tales with a ruined rubber plantation on the other side of the river, and its once grand dwelling, Akkarra. This becomes ‘the history house’ for them, and Roy repeatedly describes as the real ‘heart of darkness,’ in which the Englishman had ‘gone native (…) who spoke Malayalem and wore mundus, Ayemenem’s own Kurtz.’ (51) The man had shot himself when the parents of his lover had intervened and taken the boy away, and this obliquely parallels the demise of Kurtz in Conrad’s Heart of Darkness, who, though dying from a fever, has been forced to confront himself when removed from the control mechanisms of his own society, and proved psychologically incapable of dealing with the consequences of his actions. In his status as </w:t>
      </w:r>
      <w:r w:rsidR="007D6FB7">
        <w:rPr>
          <w:rFonts w:eastAsia="Times New Roman" w:cstheme="minorHAnsi"/>
          <w:sz w:val="24"/>
          <w:szCs w:val="24"/>
          <w:lang w:eastAsia="en-GB"/>
        </w:rPr>
        <w:t xml:space="preserve">a </w:t>
      </w:r>
      <w:r>
        <w:rPr>
          <w:rFonts w:eastAsia="Times New Roman" w:cstheme="minorHAnsi"/>
          <w:sz w:val="24"/>
          <w:szCs w:val="24"/>
          <w:lang w:eastAsia="en-GB"/>
        </w:rPr>
        <w:t xml:space="preserve">demi-god among the Congolese tribes, Kurtz had broken the laws of most </w:t>
      </w:r>
      <w:r w:rsidR="007D6FB7">
        <w:rPr>
          <w:rFonts w:eastAsia="Times New Roman" w:cstheme="minorHAnsi"/>
          <w:sz w:val="24"/>
          <w:szCs w:val="24"/>
          <w:lang w:eastAsia="en-GB"/>
        </w:rPr>
        <w:t xml:space="preserve">societies </w:t>
      </w:r>
      <w:r>
        <w:rPr>
          <w:rFonts w:eastAsia="Times New Roman" w:cstheme="minorHAnsi"/>
          <w:sz w:val="24"/>
          <w:szCs w:val="24"/>
          <w:lang w:eastAsia="en-GB"/>
        </w:rPr>
        <w:t>with</w:t>
      </w:r>
      <w:r w:rsidR="007D6FB7">
        <w:rPr>
          <w:rFonts w:eastAsia="Times New Roman" w:cstheme="minorHAnsi"/>
          <w:sz w:val="24"/>
          <w:szCs w:val="24"/>
          <w:lang w:eastAsia="en-GB"/>
        </w:rPr>
        <w:t xml:space="preserve"> his</w:t>
      </w:r>
      <w:r>
        <w:rPr>
          <w:rFonts w:eastAsia="Times New Roman" w:cstheme="minorHAnsi"/>
          <w:sz w:val="24"/>
          <w:szCs w:val="24"/>
          <w:lang w:eastAsia="en-GB"/>
        </w:rPr>
        <w:t xml:space="preserve"> incessant warring and summary executions. In the History House, the Englishman had transgressed traditional love laws, believing himself to be above them, and the house then becomes the site of two further transgressions, as the site of both Ammu’s affair with the untouchable caste member Velutha, and the Police’s brutal beating of him that results in his death. The final pages of the novel find Rahel and Estha joined in the filial transgression of incest, in a scene that is so tender, and so skilfully woven, that this healing act of love is questioned less than the combined acts of </w:t>
      </w:r>
      <w:r w:rsidR="007D6FB7">
        <w:rPr>
          <w:rFonts w:eastAsia="Times New Roman" w:cstheme="minorHAnsi"/>
          <w:sz w:val="24"/>
          <w:szCs w:val="24"/>
          <w:lang w:eastAsia="en-GB"/>
        </w:rPr>
        <w:t>those</w:t>
      </w:r>
      <w:r>
        <w:rPr>
          <w:rFonts w:eastAsia="Times New Roman" w:cstheme="minorHAnsi"/>
          <w:sz w:val="24"/>
          <w:szCs w:val="24"/>
          <w:lang w:eastAsia="en-GB"/>
        </w:rPr>
        <w:t xml:space="preserve"> that had originally forced them apart. </w:t>
      </w:r>
    </w:p>
    <w:p w:rsidR="006334D3" w:rsidRPr="00AC1B92"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t>When Rahel and Estha return in 1992, the History House has become the 5 star Heritage Hotel, owned by a multinational chain and destined to provide ‘regional flavour’ to the business.  Roy writes ‘so there it was then, History and Literature enlisted by commerce. Kurtz and Karl Marx joining palms to greet rich guests as they stepped off the boat. (p120) Susan Stanford Friedman describes this appositely, as ‘allegorising the power of global forces of history represents the structures of European imperialism and American economic and cultural hegemony that link Kerala- and by extension- all of India with the West in the twentieth century.’</w:t>
      </w:r>
      <w:r>
        <w:rPr>
          <w:rStyle w:val="FootnoteReference"/>
          <w:rFonts w:eastAsia="Times New Roman" w:cstheme="minorHAnsi"/>
          <w:sz w:val="24"/>
          <w:szCs w:val="24"/>
          <w:lang w:eastAsia="en-GB"/>
        </w:rPr>
        <w:footnoteReference w:id="21"/>
      </w:r>
      <w:r>
        <w:rPr>
          <w:rFonts w:eastAsia="Times New Roman" w:cstheme="minorHAnsi"/>
          <w:sz w:val="24"/>
          <w:szCs w:val="24"/>
          <w:lang w:eastAsia="en-GB"/>
        </w:rPr>
        <w:t xml:space="preserve"> </w:t>
      </w:r>
    </w:p>
    <w:p w:rsidR="004A2F4D"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t xml:space="preserve">Bishnupriya Ghosh describes the novel as </w:t>
      </w:r>
      <w:r w:rsidR="007D6FB7">
        <w:rPr>
          <w:rFonts w:eastAsia="Times New Roman" w:cstheme="minorHAnsi"/>
          <w:sz w:val="24"/>
          <w:szCs w:val="24"/>
          <w:lang w:eastAsia="en-GB"/>
        </w:rPr>
        <w:t xml:space="preserve">being </w:t>
      </w:r>
      <w:r>
        <w:rPr>
          <w:rFonts w:eastAsia="Times New Roman" w:cstheme="minorHAnsi"/>
          <w:sz w:val="24"/>
          <w:szCs w:val="24"/>
          <w:lang w:eastAsia="en-GB"/>
        </w:rPr>
        <w:t xml:space="preserve">cast not in a strictly post-colonial form, in that it does not seek to re-imagine the nation, instead it presents the family as representatives of a nation still struggling </w:t>
      </w:r>
      <w:r w:rsidR="007D6FB7">
        <w:rPr>
          <w:rFonts w:eastAsia="Times New Roman" w:cstheme="minorHAnsi"/>
          <w:sz w:val="24"/>
          <w:szCs w:val="24"/>
          <w:lang w:eastAsia="en-GB"/>
        </w:rPr>
        <w:t xml:space="preserve">with </w:t>
      </w:r>
      <w:r w:rsidR="004A2F4D">
        <w:rPr>
          <w:rFonts w:eastAsia="Times New Roman" w:cstheme="minorHAnsi"/>
          <w:sz w:val="24"/>
          <w:szCs w:val="24"/>
          <w:lang w:eastAsia="en-GB"/>
        </w:rPr>
        <w:t>a</w:t>
      </w:r>
      <w:r>
        <w:rPr>
          <w:rFonts w:eastAsia="Times New Roman" w:cstheme="minorHAnsi"/>
          <w:sz w:val="24"/>
          <w:szCs w:val="24"/>
          <w:lang w:eastAsia="en-GB"/>
        </w:rPr>
        <w:t xml:space="preserve"> legacy of colonialism and </w:t>
      </w:r>
      <w:r w:rsidR="004A2F4D">
        <w:rPr>
          <w:rFonts w:eastAsia="Times New Roman" w:cstheme="minorHAnsi"/>
          <w:sz w:val="24"/>
          <w:szCs w:val="24"/>
          <w:lang w:eastAsia="en-GB"/>
        </w:rPr>
        <w:t xml:space="preserve">that </w:t>
      </w:r>
      <w:r>
        <w:rPr>
          <w:rFonts w:eastAsia="Times New Roman" w:cstheme="minorHAnsi"/>
          <w:sz w:val="24"/>
          <w:szCs w:val="24"/>
          <w:lang w:eastAsia="en-GB"/>
        </w:rPr>
        <w:t>challenges ‘both the forms of nationalism re-enforced by global flows and the pernicious globalism surfacing in dispersed global contexts.’</w:t>
      </w:r>
      <w:r>
        <w:rPr>
          <w:rStyle w:val="FootnoteReference"/>
          <w:rFonts w:eastAsia="Times New Roman" w:cstheme="minorHAnsi"/>
          <w:sz w:val="24"/>
          <w:szCs w:val="24"/>
          <w:lang w:eastAsia="en-GB"/>
        </w:rPr>
        <w:footnoteReference w:id="22"/>
      </w:r>
      <w:r>
        <w:rPr>
          <w:rFonts w:eastAsia="Times New Roman" w:cstheme="minorHAnsi"/>
          <w:sz w:val="24"/>
          <w:szCs w:val="24"/>
          <w:lang w:eastAsia="en-GB"/>
        </w:rPr>
        <w:t xml:space="preserve"> Roy’s intensely localised world is prey to the movements of global capital and culture, but the events of the novel </w:t>
      </w:r>
      <w:r w:rsidR="004A2F4D">
        <w:rPr>
          <w:rFonts w:eastAsia="Times New Roman" w:cstheme="minorHAnsi"/>
          <w:sz w:val="24"/>
          <w:szCs w:val="24"/>
          <w:lang w:eastAsia="en-GB"/>
        </w:rPr>
        <w:t>show that</w:t>
      </w:r>
      <w:r>
        <w:rPr>
          <w:rFonts w:eastAsia="Times New Roman" w:cstheme="minorHAnsi"/>
          <w:sz w:val="24"/>
          <w:szCs w:val="24"/>
          <w:lang w:eastAsia="en-GB"/>
        </w:rPr>
        <w:t xml:space="preserve"> Rahe</w:t>
      </w:r>
      <w:r w:rsidR="004A2F4D">
        <w:rPr>
          <w:rFonts w:eastAsia="Times New Roman" w:cstheme="minorHAnsi"/>
          <w:sz w:val="24"/>
          <w:szCs w:val="24"/>
          <w:lang w:eastAsia="en-GB"/>
        </w:rPr>
        <w:t xml:space="preserve">l and Estha </w:t>
      </w:r>
      <w:r>
        <w:rPr>
          <w:rFonts w:eastAsia="Times New Roman" w:cstheme="minorHAnsi"/>
          <w:sz w:val="24"/>
          <w:szCs w:val="24"/>
          <w:lang w:eastAsia="en-GB"/>
        </w:rPr>
        <w:t xml:space="preserve">have become autonomous individuals, each responding in their own way to family tragedy, with the distinctness common to two egg twins. </w:t>
      </w:r>
    </w:p>
    <w:p w:rsidR="006334D3" w:rsidRDefault="006334D3" w:rsidP="006334D3">
      <w:pPr>
        <w:spacing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age of the European Abroad is long over, but the confused and often </w:t>
      </w:r>
      <w:r w:rsidR="004A2F4D">
        <w:rPr>
          <w:rFonts w:eastAsia="Times New Roman" w:cstheme="minorHAnsi"/>
          <w:sz w:val="24"/>
          <w:szCs w:val="24"/>
          <w:lang w:eastAsia="en-GB"/>
        </w:rPr>
        <w:t>disturbing legacies of former empires</w:t>
      </w:r>
      <w:r>
        <w:rPr>
          <w:rFonts w:eastAsia="Times New Roman" w:cstheme="minorHAnsi"/>
          <w:sz w:val="24"/>
          <w:szCs w:val="24"/>
          <w:lang w:eastAsia="en-GB"/>
        </w:rPr>
        <w:t xml:space="preserve"> s</w:t>
      </w:r>
      <w:r w:rsidR="004A2F4D">
        <w:rPr>
          <w:rFonts w:eastAsia="Times New Roman" w:cstheme="minorHAnsi"/>
          <w:sz w:val="24"/>
          <w:szCs w:val="24"/>
          <w:lang w:eastAsia="en-GB"/>
        </w:rPr>
        <w:t>till have</w:t>
      </w:r>
      <w:r>
        <w:rPr>
          <w:rFonts w:eastAsia="Times New Roman" w:cstheme="minorHAnsi"/>
          <w:sz w:val="24"/>
          <w:szCs w:val="24"/>
          <w:lang w:eastAsia="en-GB"/>
        </w:rPr>
        <w:t xml:space="preserve"> a hand in shaping the present of those now independent nations. More troubling now is that empire building works under the aegis of globalization, </w:t>
      </w:r>
      <w:r>
        <w:rPr>
          <w:rFonts w:eastAsia="Times New Roman" w:cstheme="minorHAnsi"/>
          <w:sz w:val="24"/>
          <w:szCs w:val="24"/>
          <w:lang w:eastAsia="en-GB"/>
        </w:rPr>
        <w:lastRenderedPageBreak/>
        <w:t>and particularly, because of its cultural, economic and military dominance it seems to be a case of America Everywhere. The last word on this should fittingly go to Roy:</w:t>
      </w:r>
    </w:p>
    <w:p w:rsidR="006334D3" w:rsidRDefault="006334D3" w:rsidP="006334D3">
      <w:pPr>
        <w:jc w:val="both"/>
        <w:rPr>
          <w:sz w:val="24"/>
          <w:szCs w:val="24"/>
        </w:rPr>
      </w:pPr>
      <w:r w:rsidRPr="0039204D">
        <w:rPr>
          <w:sz w:val="24"/>
          <w:szCs w:val="24"/>
        </w:rPr>
        <w:t xml:space="preserve"> What we need to search for and find, what we need to hone and perfect into a magnificent, shining thing, is a new kind of politics. Not the politics of governance, but the politics of resistance. The politics of opposition. The politics of forcing accountability. The politics of slowing things down. The politics of joining hands across the world and preventing certain destruction. In the present circumstances, I'd say that the only thing worth globalizing is dissent.’</w:t>
      </w:r>
      <w:r w:rsidRPr="0039204D">
        <w:rPr>
          <w:rStyle w:val="FootnoteReference"/>
          <w:sz w:val="24"/>
          <w:szCs w:val="24"/>
        </w:rPr>
        <w:footnoteReference w:id="23"/>
      </w:r>
    </w:p>
    <w:p w:rsidR="004A2F4D" w:rsidRDefault="004A2F4D" w:rsidP="006334D3">
      <w:pPr>
        <w:jc w:val="both"/>
        <w:rPr>
          <w:sz w:val="24"/>
          <w:szCs w:val="24"/>
        </w:rPr>
      </w:pPr>
    </w:p>
    <w:p w:rsidR="004A2F4D" w:rsidRDefault="004A2F4D" w:rsidP="006334D3">
      <w:pPr>
        <w:jc w:val="both"/>
        <w:rPr>
          <w:sz w:val="24"/>
          <w:szCs w:val="24"/>
        </w:rPr>
      </w:pPr>
    </w:p>
    <w:p w:rsidR="004A2F4D" w:rsidRDefault="004A2F4D" w:rsidP="006334D3">
      <w:pPr>
        <w:jc w:val="both"/>
        <w:rPr>
          <w:sz w:val="24"/>
          <w:szCs w:val="24"/>
        </w:rPr>
      </w:pPr>
    </w:p>
    <w:p w:rsidR="004A2F4D" w:rsidRDefault="004A2F4D" w:rsidP="006334D3">
      <w:pPr>
        <w:jc w:val="both"/>
        <w:rPr>
          <w:sz w:val="24"/>
          <w:szCs w:val="24"/>
        </w:rPr>
      </w:pPr>
    </w:p>
    <w:p w:rsidR="006334D3" w:rsidRDefault="006334D3" w:rsidP="006334D3">
      <w:pPr>
        <w:jc w:val="both"/>
        <w:rPr>
          <w:sz w:val="24"/>
          <w:szCs w:val="24"/>
        </w:rPr>
      </w:pPr>
      <w:r>
        <w:rPr>
          <w:sz w:val="24"/>
          <w:szCs w:val="24"/>
        </w:rPr>
        <w:t>Bibliography:</w:t>
      </w:r>
    </w:p>
    <w:p w:rsidR="006334D3" w:rsidRDefault="006334D3" w:rsidP="006334D3">
      <w:pPr>
        <w:pStyle w:val="FootnoteText"/>
        <w:rPr>
          <w:sz w:val="22"/>
          <w:szCs w:val="22"/>
        </w:rPr>
      </w:pPr>
      <w:r w:rsidRPr="00161FC7">
        <w:rPr>
          <w:sz w:val="22"/>
          <w:szCs w:val="22"/>
        </w:rPr>
        <w:t xml:space="preserve">- Robert </w:t>
      </w:r>
      <w:r>
        <w:rPr>
          <w:sz w:val="22"/>
          <w:szCs w:val="22"/>
        </w:rPr>
        <w:t>Bocok</w:t>
      </w:r>
      <w:r w:rsidRPr="00161FC7">
        <w:rPr>
          <w:sz w:val="22"/>
          <w:szCs w:val="22"/>
        </w:rPr>
        <w:t xml:space="preserve">- </w:t>
      </w:r>
      <w:r w:rsidRPr="00161FC7">
        <w:rPr>
          <w:i/>
          <w:sz w:val="22"/>
          <w:szCs w:val="22"/>
        </w:rPr>
        <w:t>Hegemony</w:t>
      </w:r>
      <w:r w:rsidRPr="00161FC7">
        <w:rPr>
          <w:sz w:val="22"/>
          <w:szCs w:val="22"/>
        </w:rPr>
        <w:t xml:space="preserve"> Ellis Horwood Limited, Chichester 1986</w:t>
      </w:r>
    </w:p>
    <w:p w:rsidR="006334D3" w:rsidRPr="00161FC7" w:rsidRDefault="006334D3" w:rsidP="006334D3">
      <w:pPr>
        <w:pStyle w:val="FootnoteText"/>
        <w:rPr>
          <w:sz w:val="22"/>
          <w:szCs w:val="22"/>
        </w:rPr>
      </w:pPr>
      <w:r w:rsidRPr="00161FC7">
        <w:rPr>
          <w:sz w:val="22"/>
          <w:szCs w:val="22"/>
        </w:rPr>
        <w:t xml:space="preserve"> </w:t>
      </w:r>
    </w:p>
    <w:p w:rsidR="006334D3" w:rsidRPr="00161FC7" w:rsidRDefault="006334D3" w:rsidP="006334D3">
      <w:pPr>
        <w:pStyle w:val="FootnoteText"/>
        <w:rPr>
          <w:sz w:val="22"/>
          <w:szCs w:val="22"/>
        </w:rPr>
      </w:pPr>
      <w:r w:rsidRPr="00161FC7">
        <w:rPr>
          <w:sz w:val="22"/>
          <w:szCs w:val="22"/>
        </w:rPr>
        <w:t xml:space="preserve">- Christopher </w:t>
      </w:r>
      <w:r>
        <w:rPr>
          <w:sz w:val="22"/>
          <w:szCs w:val="22"/>
        </w:rPr>
        <w:t>Hill</w:t>
      </w:r>
      <w:r w:rsidRPr="00161FC7">
        <w:rPr>
          <w:sz w:val="22"/>
          <w:szCs w:val="22"/>
        </w:rPr>
        <w:t xml:space="preserve"> (1958) </w:t>
      </w:r>
      <w:r w:rsidRPr="00161FC7">
        <w:rPr>
          <w:i/>
          <w:iCs/>
          <w:sz w:val="22"/>
          <w:szCs w:val="22"/>
        </w:rPr>
        <w:t>Puritanism and Revolution</w:t>
      </w:r>
      <w:r w:rsidRPr="00161FC7">
        <w:rPr>
          <w:sz w:val="22"/>
          <w:szCs w:val="22"/>
        </w:rPr>
        <w:t xml:space="preserve">, Martin Secker &amp; Warberg Limited, London </w:t>
      </w:r>
    </w:p>
    <w:p w:rsidR="006334D3" w:rsidRDefault="006334D3" w:rsidP="006334D3">
      <w:pPr>
        <w:pStyle w:val="FootnoteText"/>
        <w:rPr>
          <w:sz w:val="22"/>
          <w:szCs w:val="22"/>
        </w:rPr>
      </w:pPr>
    </w:p>
    <w:p w:rsidR="006334D3" w:rsidRDefault="006334D3" w:rsidP="006334D3">
      <w:pPr>
        <w:pStyle w:val="FootnoteText"/>
        <w:rPr>
          <w:sz w:val="22"/>
          <w:szCs w:val="22"/>
        </w:rPr>
      </w:pPr>
      <w:r w:rsidRPr="00161FC7">
        <w:rPr>
          <w:sz w:val="22"/>
          <w:szCs w:val="22"/>
        </w:rPr>
        <w:t xml:space="preserve">- Joseph </w:t>
      </w:r>
      <w:r>
        <w:rPr>
          <w:sz w:val="22"/>
          <w:szCs w:val="22"/>
        </w:rPr>
        <w:t>Conrad</w:t>
      </w:r>
      <w:r w:rsidRPr="00161FC7">
        <w:rPr>
          <w:sz w:val="22"/>
          <w:szCs w:val="22"/>
        </w:rPr>
        <w:t xml:space="preserve"> </w:t>
      </w:r>
      <w:r w:rsidRPr="00161FC7">
        <w:rPr>
          <w:i/>
          <w:sz w:val="22"/>
          <w:szCs w:val="22"/>
        </w:rPr>
        <w:t>Heart of Darkness and Other Tales</w:t>
      </w:r>
      <w:r w:rsidRPr="00161FC7">
        <w:rPr>
          <w:sz w:val="22"/>
          <w:szCs w:val="22"/>
        </w:rPr>
        <w:t xml:space="preserve"> ed. Watts, Cedric.  Oxford University Press, Oxford 1990. </w:t>
      </w:r>
    </w:p>
    <w:p w:rsidR="006334D3" w:rsidRDefault="006334D3" w:rsidP="006334D3">
      <w:pPr>
        <w:pStyle w:val="FootnoteText"/>
        <w:rPr>
          <w:sz w:val="22"/>
          <w:szCs w:val="22"/>
        </w:rPr>
      </w:pPr>
    </w:p>
    <w:p w:rsidR="00A5521F" w:rsidRDefault="00A5521F" w:rsidP="00A5521F">
      <w:pPr>
        <w:pStyle w:val="FootnoteText"/>
        <w:rPr>
          <w:sz w:val="22"/>
          <w:szCs w:val="22"/>
        </w:rPr>
      </w:pPr>
      <w:r>
        <w:rPr>
          <w:sz w:val="22"/>
          <w:szCs w:val="22"/>
        </w:rPr>
        <w:t>-</w:t>
      </w:r>
      <w:r w:rsidRPr="00A5521F">
        <w:rPr>
          <w:i/>
          <w:sz w:val="22"/>
          <w:szCs w:val="22"/>
        </w:rPr>
        <w:t>GeoModernisms: Race, Modernism, Modernity</w:t>
      </w:r>
      <w:r>
        <w:rPr>
          <w:sz w:val="22"/>
          <w:szCs w:val="22"/>
        </w:rPr>
        <w:t xml:space="preserve"> ed. Laura Doyle &amp;Laura Winkiel Indiana University Press, Indiana 2005</w:t>
      </w:r>
    </w:p>
    <w:p w:rsidR="00A5521F" w:rsidRDefault="00A5521F" w:rsidP="006334D3">
      <w:pPr>
        <w:pStyle w:val="FootnoteText"/>
        <w:rPr>
          <w:sz w:val="22"/>
          <w:szCs w:val="22"/>
        </w:rPr>
      </w:pPr>
    </w:p>
    <w:p w:rsidR="006334D3" w:rsidRPr="00161FC7" w:rsidRDefault="006334D3" w:rsidP="006334D3">
      <w:pPr>
        <w:pStyle w:val="FootnoteText"/>
        <w:rPr>
          <w:sz w:val="22"/>
          <w:szCs w:val="22"/>
        </w:rPr>
      </w:pPr>
      <w:r>
        <w:rPr>
          <w:sz w:val="22"/>
          <w:szCs w:val="22"/>
        </w:rPr>
        <w:t>-</w:t>
      </w:r>
      <w:r w:rsidRPr="00161FC7">
        <w:rPr>
          <w:sz w:val="22"/>
          <w:szCs w:val="22"/>
        </w:rPr>
        <w:t xml:space="preserve"> Bishnupriya </w:t>
      </w:r>
      <w:r>
        <w:rPr>
          <w:sz w:val="22"/>
          <w:szCs w:val="22"/>
        </w:rPr>
        <w:t>Ghosh</w:t>
      </w:r>
      <w:r w:rsidRPr="00161FC7">
        <w:rPr>
          <w:sz w:val="22"/>
          <w:szCs w:val="22"/>
        </w:rPr>
        <w:t xml:space="preserve"> - </w:t>
      </w:r>
      <w:r w:rsidRPr="00161FC7">
        <w:rPr>
          <w:i/>
          <w:sz w:val="22"/>
          <w:szCs w:val="22"/>
        </w:rPr>
        <w:t>When Borne Across</w:t>
      </w:r>
      <w:r>
        <w:rPr>
          <w:i/>
          <w:sz w:val="22"/>
          <w:szCs w:val="22"/>
        </w:rPr>
        <w:t>: Literary Cosmopolitics in the Contemporary Indian Novel</w:t>
      </w:r>
      <w:r w:rsidRPr="00161FC7">
        <w:rPr>
          <w:sz w:val="22"/>
          <w:szCs w:val="22"/>
        </w:rPr>
        <w:t xml:space="preserve"> </w:t>
      </w:r>
      <w:r w:rsidRPr="00136F1E">
        <w:rPr>
          <w:sz w:val="22"/>
          <w:szCs w:val="22"/>
        </w:rPr>
        <w:t>Rutgers University Press</w:t>
      </w:r>
      <w:r>
        <w:t xml:space="preserve">, </w:t>
      </w:r>
      <w:r w:rsidRPr="00161FC7">
        <w:rPr>
          <w:sz w:val="22"/>
          <w:szCs w:val="22"/>
        </w:rPr>
        <w:t xml:space="preserve">2004 </w:t>
      </w:r>
    </w:p>
    <w:p w:rsidR="006334D3" w:rsidRDefault="006334D3" w:rsidP="006334D3">
      <w:pPr>
        <w:pStyle w:val="FootnoteText"/>
        <w:rPr>
          <w:sz w:val="22"/>
          <w:szCs w:val="22"/>
        </w:rPr>
      </w:pPr>
    </w:p>
    <w:p w:rsidR="006334D3" w:rsidRPr="00161FC7" w:rsidRDefault="006334D3" w:rsidP="006334D3">
      <w:pPr>
        <w:pStyle w:val="FootnoteText"/>
        <w:rPr>
          <w:sz w:val="22"/>
          <w:szCs w:val="22"/>
        </w:rPr>
      </w:pPr>
      <w:r w:rsidRPr="00161FC7">
        <w:rPr>
          <w:sz w:val="22"/>
          <w:szCs w:val="22"/>
        </w:rPr>
        <w:t xml:space="preserve">- Mark B. </w:t>
      </w:r>
      <w:r>
        <w:rPr>
          <w:sz w:val="22"/>
          <w:szCs w:val="22"/>
        </w:rPr>
        <w:t>Salter</w:t>
      </w:r>
      <w:r w:rsidRPr="00161FC7">
        <w:rPr>
          <w:sz w:val="22"/>
          <w:szCs w:val="22"/>
        </w:rPr>
        <w:t xml:space="preserve"> (2002) </w:t>
      </w:r>
      <w:r w:rsidRPr="00161FC7">
        <w:rPr>
          <w:i/>
          <w:iCs/>
          <w:sz w:val="22"/>
          <w:szCs w:val="22"/>
        </w:rPr>
        <w:t>Barbarians and Civilisation in International Relations</w:t>
      </w:r>
      <w:r w:rsidRPr="00161FC7">
        <w:rPr>
          <w:sz w:val="22"/>
          <w:szCs w:val="22"/>
        </w:rPr>
        <w:t xml:space="preserve">, Pluto Press, London, Sterling- Virginia  </w:t>
      </w:r>
    </w:p>
    <w:p w:rsidR="006334D3" w:rsidRDefault="006334D3" w:rsidP="006334D3">
      <w:pPr>
        <w:pStyle w:val="FootnoteText"/>
        <w:rPr>
          <w:sz w:val="22"/>
          <w:szCs w:val="22"/>
        </w:rPr>
      </w:pPr>
    </w:p>
    <w:p w:rsidR="00A5521F" w:rsidRPr="00161FC7" w:rsidRDefault="00A5521F" w:rsidP="00A5521F">
      <w:pPr>
        <w:pStyle w:val="FootnoteText"/>
        <w:rPr>
          <w:sz w:val="22"/>
          <w:szCs w:val="22"/>
        </w:rPr>
      </w:pPr>
      <w:r w:rsidRPr="00161FC7">
        <w:rPr>
          <w:sz w:val="22"/>
          <w:szCs w:val="22"/>
        </w:rPr>
        <w:t xml:space="preserve">- Roger </w:t>
      </w:r>
      <w:r>
        <w:rPr>
          <w:sz w:val="22"/>
          <w:szCs w:val="22"/>
        </w:rPr>
        <w:t>Osborne</w:t>
      </w:r>
      <w:r w:rsidRPr="00161FC7">
        <w:rPr>
          <w:sz w:val="22"/>
          <w:szCs w:val="22"/>
        </w:rPr>
        <w:t xml:space="preserve"> - Civilisation: </w:t>
      </w:r>
      <w:r w:rsidRPr="00161FC7">
        <w:rPr>
          <w:i/>
          <w:sz w:val="22"/>
          <w:szCs w:val="22"/>
        </w:rPr>
        <w:t>A New History off the Western World</w:t>
      </w:r>
      <w:r w:rsidRPr="00161FC7">
        <w:rPr>
          <w:sz w:val="22"/>
          <w:szCs w:val="22"/>
        </w:rPr>
        <w:t xml:space="preserve"> (Penguin 2006</w:t>
      </w:r>
    </w:p>
    <w:p w:rsidR="00A5521F" w:rsidRDefault="00A5521F" w:rsidP="006334D3">
      <w:pPr>
        <w:pStyle w:val="FootnoteText"/>
        <w:rPr>
          <w:sz w:val="22"/>
          <w:szCs w:val="22"/>
        </w:rPr>
      </w:pPr>
    </w:p>
    <w:p w:rsidR="006334D3" w:rsidRPr="00161FC7" w:rsidRDefault="006334D3" w:rsidP="006334D3">
      <w:pPr>
        <w:pStyle w:val="FootnoteText"/>
        <w:rPr>
          <w:sz w:val="22"/>
          <w:szCs w:val="22"/>
        </w:rPr>
      </w:pPr>
      <w:r w:rsidRPr="00161FC7">
        <w:rPr>
          <w:sz w:val="22"/>
          <w:szCs w:val="22"/>
        </w:rPr>
        <w:t xml:space="preserve">-Eric Rawson </w:t>
      </w:r>
      <w:r w:rsidR="00A5521F">
        <w:rPr>
          <w:sz w:val="22"/>
          <w:szCs w:val="22"/>
        </w:rPr>
        <w:t>-</w:t>
      </w:r>
      <w:r w:rsidRPr="00161FC7">
        <w:rPr>
          <w:rFonts w:eastAsia="Times New Roman" w:cstheme="minorHAnsi"/>
          <w:i/>
          <w:sz w:val="22"/>
          <w:szCs w:val="22"/>
          <w:lang w:eastAsia="en-GB"/>
        </w:rPr>
        <w:t>‘A dying vibration’ Sound and Silence in Heart of Darkness</w:t>
      </w:r>
      <w:r w:rsidRPr="00161FC7">
        <w:rPr>
          <w:rFonts w:eastAsia="Times New Roman" w:cstheme="minorHAnsi"/>
          <w:sz w:val="22"/>
          <w:szCs w:val="22"/>
          <w:lang w:eastAsia="en-GB"/>
        </w:rPr>
        <w:t>. University of Southern California</w:t>
      </w:r>
      <w:r w:rsidRPr="00161FC7">
        <w:rPr>
          <w:sz w:val="22"/>
          <w:szCs w:val="22"/>
        </w:rPr>
        <w:t xml:space="preserve"> </w:t>
      </w:r>
      <w:r w:rsidR="00A5521F">
        <w:rPr>
          <w:sz w:val="22"/>
          <w:szCs w:val="22"/>
        </w:rPr>
        <w:t>2017</w:t>
      </w:r>
    </w:p>
    <w:p w:rsidR="006334D3" w:rsidRDefault="006334D3" w:rsidP="006334D3">
      <w:pPr>
        <w:pStyle w:val="FootnoteText"/>
        <w:rPr>
          <w:sz w:val="22"/>
          <w:szCs w:val="22"/>
        </w:rPr>
      </w:pPr>
    </w:p>
    <w:p w:rsidR="006334D3" w:rsidRPr="00161FC7" w:rsidRDefault="006334D3" w:rsidP="006334D3">
      <w:pPr>
        <w:pStyle w:val="FootnoteText"/>
        <w:rPr>
          <w:sz w:val="22"/>
          <w:szCs w:val="22"/>
        </w:rPr>
      </w:pPr>
      <w:r w:rsidRPr="00161FC7">
        <w:rPr>
          <w:sz w:val="22"/>
          <w:szCs w:val="22"/>
        </w:rPr>
        <w:t>- Arundhati Roy -</w:t>
      </w:r>
      <w:r w:rsidRPr="00161FC7">
        <w:rPr>
          <w:i/>
          <w:sz w:val="22"/>
          <w:szCs w:val="22"/>
        </w:rPr>
        <w:t>The God Of Small Things</w:t>
      </w:r>
      <w:r w:rsidR="00A5521F">
        <w:rPr>
          <w:sz w:val="22"/>
          <w:szCs w:val="22"/>
        </w:rPr>
        <w:t xml:space="preserve"> Harper Collins, London </w:t>
      </w:r>
    </w:p>
    <w:p w:rsidR="006334D3" w:rsidRDefault="006334D3" w:rsidP="006334D3">
      <w:pPr>
        <w:pStyle w:val="FootnoteText"/>
        <w:rPr>
          <w:sz w:val="22"/>
          <w:szCs w:val="22"/>
        </w:rPr>
      </w:pPr>
    </w:p>
    <w:p w:rsidR="006334D3" w:rsidRDefault="006334D3" w:rsidP="006334D3">
      <w:pPr>
        <w:jc w:val="both"/>
        <w:rPr>
          <w:rFonts w:cstheme="minorHAnsi"/>
        </w:rPr>
      </w:pPr>
      <w:r w:rsidRPr="00161FC7">
        <w:t xml:space="preserve">- Arundhati </w:t>
      </w:r>
      <w:r>
        <w:t>Roy</w:t>
      </w:r>
      <w:r w:rsidRPr="00161FC7">
        <w:t xml:space="preserve"> -</w:t>
      </w:r>
      <w:r w:rsidRPr="00161FC7">
        <w:rPr>
          <w:rFonts w:ascii="Arial" w:hAnsi="Arial" w:cs="Arial"/>
          <w:b/>
          <w:bCs/>
        </w:rPr>
        <w:t xml:space="preserve"> </w:t>
      </w:r>
      <w:r w:rsidRPr="00161FC7">
        <w:rPr>
          <w:rFonts w:cstheme="minorHAnsi"/>
          <w:bCs/>
          <w:i/>
        </w:rPr>
        <w:t>The Politics of Power</w:t>
      </w:r>
      <w:r w:rsidRPr="00161FC7">
        <w:rPr>
          <w:rFonts w:cstheme="minorHAnsi"/>
          <w:bCs/>
        </w:rPr>
        <w:t>,</w:t>
      </w:r>
      <w:r w:rsidRPr="00161FC7">
        <w:rPr>
          <w:rFonts w:cstheme="minorHAnsi"/>
          <w:b/>
          <w:bCs/>
        </w:rPr>
        <w:t xml:space="preserve"> </w:t>
      </w:r>
      <w:r w:rsidRPr="00161FC7">
        <w:rPr>
          <w:rFonts w:cstheme="minorHAnsi"/>
          <w:i/>
          <w:iCs/>
        </w:rPr>
        <w:t>The Nation</w:t>
      </w:r>
      <w:r w:rsidRPr="00161FC7">
        <w:rPr>
          <w:rFonts w:cstheme="minorHAnsi"/>
        </w:rPr>
        <w:t xml:space="preserve"> 18 February 2002</w:t>
      </w:r>
    </w:p>
    <w:p w:rsidR="006334D3" w:rsidRPr="00161FC7" w:rsidRDefault="006334D3" w:rsidP="006334D3">
      <w:pPr>
        <w:pStyle w:val="FootnoteText"/>
        <w:rPr>
          <w:sz w:val="22"/>
          <w:szCs w:val="22"/>
        </w:rPr>
      </w:pPr>
      <w:r w:rsidRPr="00161FC7">
        <w:rPr>
          <w:sz w:val="22"/>
          <w:szCs w:val="22"/>
        </w:rPr>
        <w:t xml:space="preserve">- Susan </w:t>
      </w:r>
      <w:r>
        <w:rPr>
          <w:sz w:val="22"/>
          <w:szCs w:val="22"/>
        </w:rPr>
        <w:t>Stanford Friedman</w:t>
      </w:r>
      <w:r w:rsidRPr="00161FC7">
        <w:rPr>
          <w:sz w:val="22"/>
          <w:szCs w:val="22"/>
        </w:rPr>
        <w:t xml:space="preserve"> - </w:t>
      </w:r>
      <w:r w:rsidRPr="00161FC7">
        <w:rPr>
          <w:i/>
          <w:sz w:val="22"/>
          <w:szCs w:val="22"/>
        </w:rPr>
        <w:t>Race Relations in Roy’s Post-colonial India</w:t>
      </w:r>
      <w:r w:rsidRPr="00161FC7">
        <w:rPr>
          <w:sz w:val="22"/>
          <w:szCs w:val="22"/>
        </w:rPr>
        <w:t xml:space="preserve"> in </w:t>
      </w:r>
      <w:r w:rsidRPr="00161FC7">
        <w:rPr>
          <w:i/>
          <w:sz w:val="22"/>
          <w:szCs w:val="22"/>
        </w:rPr>
        <w:t xml:space="preserve">GeoModernisms: Race, Modernism, Modernity </w:t>
      </w:r>
      <w:r w:rsidRPr="00161FC7">
        <w:rPr>
          <w:sz w:val="22"/>
          <w:szCs w:val="22"/>
        </w:rPr>
        <w:t>ed. Laura Doyle &amp; Laura Winkiel. Indiana University Press, Indiana (2005)</w:t>
      </w:r>
    </w:p>
    <w:p w:rsidR="00A5521F" w:rsidRDefault="00A5521F" w:rsidP="006334D3">
      <w:pPr>
        <w:jc w:val="both"/>
      </w:pPr>
    </w:p>
    <w:p w:rsidR="006334D3" w:rsidRDefault="00A5521F" w:rsidP="006334D3">
      <w:pPr>
        <w:jc w:val="both"/>
      </w:pPr>
      <w:r>
        <w:t>-Berthold Schoene- The Cosmopolitan Novel Edinburgh University Press, Edinburgh 2011</w:t>
      </w:r>
    </w:p>
    <w:p w:rsidR="008F7DE5" w:rsidRPr="00F94077" w:rsidRDefault="008F7DE5" w:rsidP="006334D3">
      <w:pPr>
        <w:pStyle w:val="FootnoteText"/>
        <w:rPr>
          <w:color w:val="000000" w:themeColor="text1"/>
          <w:sz w:val="24"/>
          <w:szCs w:val="24"/>
        </w:rPr>
      </w:pPr>
      <w:r w:rsidRPr="00F94077">
        <w:rPr>
          <w:color w:val="538135" w:themeColor="accent6" w:themeShade="BF"/>
          <w:sz w:val="24"/>
          <w:szCs w:val="24"/>
        </w:rPr>
        <w:lastRenderedPageBreak/>
        <w:t>-</w:t>
      </w:r>
      <w:hyperlink r:id="rId9" w:history="1">
        <w:r w:rsidRPr="00F94077">
          <w:rPr>
            <w:rStyle w:val="Hyperlink"/>
            <w:color w:val="000000" w:themeColor="text1"/>
            <w:sz w:val="24"/>
            <w:szCs w:val="24"/>
          </w:rPr>
          <w:t>https://monthlyreview.org/2001/06/01/imperialism-and-globalization/</w:t>
        </w:r>
      </w:hyperlink>
    </w:p>
    <w:p w:rsidR="008F7DE5" w:rsidRPr="00F94077" w:rsidRDefault="008F7DE5" w:rsidP="006334D3">
      <w:pPr>
        <w:pStyle w:val="FootnoteText"/>
        <w:rPr>
          <w:color w:val="000000" w:themeColor="text1"/>
          <w:sz w:val="24"/>
          <w:szCs w:val="24"/>
        </w:rPr>
      </w:pPr>
    </w:p>
    <w:p w:rsidR="006334D3" w:rsidRPr="00F94077" w:rsidRDefault="008F7DE5" w:rsidP="006334D3">
      <w:pPr>
        <w:pStyle w:val="FootnoteText"/>
        <w:rPr>
          <w:color w:val="000000" w:themeColor="text1"/>
          <w:sz w:val="24"/>
          <w:szCs w:val="24"/>
        </w:rPr>
      </w:pPr>
      <w:r w:rsidRPr="00F94077">
        <w:rPr>
          <w:color w:val="000000" w:themeColor="text1"/>
          <w:sz w:val="24"/>
          <w:szCs w:val="24"/>
        </w:rPr>
        <w:t>-</w:t>
      </w:r>
      <w:hyperlink r:id="rId10" w:history="1">
        <w:r w:rsidR="006334D3" w:rsidRPr="00F94077">
          <w:rPr>
            <w:rStyle w:val="Hyperlink"/>
            <w:color w:val="000000" w:themeColor="text1"/>
            <w:sz w:val="24"/>
            <w:szCs w:val="24"/>
          </w:rPr>
          <w:t>h</w:t>
        </w:r>
        <w:r w:rsidR="006334D3" w:rsidRPr="00F94077">
          <w:rPr>
            <w:rStyle w:val="Hyperlink"/>
            <w:color w:val="000000" w:themeColor="text1"/>
            <w:sz w:val="24"/>
            <w:szCs w:val="24"/>
          </w:rPr>
          <w:t>ttps://www.britannica.com/technology/semaphore</w:t>
        </w:r>
      </w:hyperlink>
    </w:p>
    <w:p w:rsidR="008F7DE5" w:rsidRPr="00F94077" w:rsidRDefault="008F7DE5" w:rsidP="006334D3">
      <w:pPr>
        <w:pStyle w:val="FootnoteText"/>
        <w:rPr>
          <w:color w:val="000000" w:themeColor="text1"/>
          <w:sz w:val="24"/>
          <w:szCs w:val="24"/>
        </w:rPr>
      </w:pPr>
    </w:p>
    <w:p w:rsidR="00AB7832" w:rsidRPr="00F94077" w:rsidRDefault="00AB7832" w:rsidP="00AB7832">
      <w:pPr>
        <w:pStyle w:val="FootnoteText"/>
        <w:rPr>
          <w:color w:val="000000" w:themeColor="text1"/>
          <w:sz w:val="24"/>
          <w:szCs w:val="24"/>
        </w:rPr>
      </w:pPr>
      <w:r w:rsidRPr="00F94077">
        <w:rPr>
          <w:color w:val="000000" w:themeColor="text1"/>
          <w:sz w:val="24"/>
          <w:szCs w:val="24"/>
        </w:rPr>
        <w:t>-</w:t>
      </w:r>
      <w:hyperlink r:id="rId11" w:history="1">
        <w:r w:rsidRPr="00F94077">
          <w:rPr>
            <w:rStyle w:val="Hyperlink"/>
            <w:color w:val="000000" w:themeColor="text1"/>
            <w:sz w:val="24"/>
            <w:szCs w:val="24"/>
          </w:rPr>
          <w:t>https://militaryhistorynow.com/2014/01/08/barbed-wire-war-how-one-farmers-</w:t>
        </w:r>
        <w:r w:rsidRPr="00F94077">
          <w:rPr>
            <w:rStyle w:val="Hyperlink"/>
            <w:color w:val="000000" w:themeColor="text1"/>
            <w:sz w:val="24"/>
            <w:szCs w:val="24"/>
          </w:rPr>
          <w:t>innovation-changed-the-battlefield/</w:t>
        </w:r>
      </w:hyperlink>
    </w:p>
    <w:p w:rsidR="008F7DE5" w:rsidRPr="00F94077" w:rsidRDefault="008F7DE5" w:rsidP="006334D3">
      <w:pPr>
        <w:pStyle w:val="FootnoteText"/>
        <w:rPr>
          <w:color w:val="000000" w:themeColor="text1"/>
          <w:sz w:val="24"/>
          <w:szCs w:val="24"/>
        </w:rPr>
      </w:pPr>
    </w:p>
    <w:p w:rsidR="006334D3" w:rsidRPr="00F94077" w:rsidRDefault="008F7DE5" w:rsidP="006334D3">
      <w:pPr>
        <w:pStyle w:val="FootnoteText"/>
        <w:rPr>
          <w:color w:val="000000" w:themeColor="text1"/>
          <w:sz w:val="24"/>
          <w:szCs w:val="24"/>
        </w:rPr>
      </w:pPr>
      <w:r w:rsidRPr="00F94077">
        <w:rPr>
          <w:color w:val="000000" w:themeColor="text1"/>
          <w:sz w:val="24"/>
          <w:szCs w:val="24"/>
        </w:rPr>
        <w:t>-</w:t>
      </w:r>
      <w:hyperlink r:id="rId12" w:history="1">
        <w:r w:rsidR="006334D3" w:rsidRPr="00F94077">
          <w:rPr>
            <w:rStyle w:val="Hyperlink"/>
            <w:color w:val="000000" w:themeColor="text1"/>
            <w:sz w:val="24"/>
            <w:szCs w:val="24"/>
          </w:rPr>
          <w:t>https://www2.bc.edu/marian-simion/th406/readings/0420anderson.pdf</w:t>
        </w:r>
      </w:hyperlink>
    </w:p>
    <w:p w:rsidR="008F7DE5" w:rsidRPr="00F94077" w:rsidRDefault="008F7DE5" w:rsidP="006334D3">
      <w:pPr>
        <w:pStyle w:val="FootnoteText"/>
        <w:rPr>
          <w:color w:val="000000" w:themeColor="text1"/>
          <w:sz w:val="24"/>
          <w:szCs w:val="24"/>
        </w:rPr>
      </w:pPr>
    </w:p>
    <w:p w:rsidR="006334D3" w:rsidRPr="00F94077" w:rsidRDefault="008F7DE5" w:rsidP="006334D3">
      <w:pPr>
        <w:pStyle w:val="FootnoteText"/>
        <w:rPr>
          <w:color w:val="000000" w:themeColor="text1"/>
          <w:sz w:val="24"/>
          <w:szCs w:val="24"/>
        </w:rPr>
      </w:pPr>
      <w:r w:rsidRPr="00F94077">
        <w:rPr>
          <w:color w:val="000000" w:themeColor="text1"/>
          <w:sz w:val="24"/>
          <w:szCs w:val="24"/>
        </w:rPr>
        <w:t>-</w:t>
      </w:r>
      <w:hyperlink r:id="rId13" w:history="1">
        <w:r w:rsidR="006334D3" w:rsidRPr="00F94077">
          <w:rPr>
            <w:rStyle w:val="Hyperlink"/>
            <w:color w:val="000000" w:themeColor="text1"/>
            <w:sz w:val="24"/>
            <w:szCs w:val="24"/>
          </w:rPr>
          <w:t>http://csmt.uchicago.edu/glossary2004/collectiveconsciousness.htm</w:t>
        </w:r>
      </w:hyperlink>
    </w:p>
    <w:p w:rsidR="008F7DE5" w:rsidRPr="00F94077" w:rsidRDefault="008F7DE5" w:rsidP="006334D3">
      <w:pPr>
        <w:pStyle w:val="FootnoteText"/>
        <w:rPr>
          <w:color w:val="000000" w:themeColor="text1"/>
          <w:sz w:val="24"/>
          <w:szCs w:val="24"/>
        </w:rPr>
      </w:pPr>
    </w:p>
    <w:p w:rsidR="008F7DE5" w:rsidRPr="00F94077" w:rsidRDefault="008F7DE5" w:rsidP="006334D3">
      <w:pPr>
        <w:pStyle w:val="FootnoteText"/>
        <w:rPr>
          <w:color w:val="000000" w:themeColor="text1"/>
          <w:sz w:val="24"/>
          <w:szCs w:val="24"/>
        </w:rPr>
      </w:pPr>
      <w:r w:rsidRPr="00F94077">
        <w:rPr>
          <w:color w:val="000000" w:themeColor="text1"/>
          <w:sz w:val="24"/>
          <w:szCs w:val="24"/>
        </w:rPr>
        <w:t>-</w:t>
      </w:r>
      <w:hyperlink r:id="rId14" w:history="1">
        <w:r w:rsidR="006334D3" w:rsidRPr="00F94077">
          <w:rPr>
            <w:rStyle w:val="Hyperlink"/>
            <w:color w:val="000000" w:themeColor="text1"/>
            <w:sz w:val="24"/>
            <w:szCs w:val="24"/>
          </w:rPr>
          <w:t>http://www.ric.edu/faculty/rpotter/temp/geog_and_some.html</w:t>
        </w:r>
      </w:hyperlink>
      <w:r w:rsidR="006334D3" w:rsidRPr="00F94077">
        <w:rPr>
          <w:color w:val="000000" w:themeColor="text1"/>
          <w:sz w:val="24"/>
          <w:szCs w:val="24"/>
        </w:rPr>
        <w:t xml:space="preserve"> </w:t>
      </w:r>
    </w:p>
    <w:p w:rsidR="008F7DE5" w:rsidRPr="00F94077" w:rsidRDefault="008F7DE5" w:rsidP="006334D3">
      <w:pPr>
        <w:pStyle w:val="FootnoteText"/>
        <w:rPr>
          <w:color w:val="000000" w:themeColor="text1"/>
          <w:sz w:val="24"/>
          <w:szCs w:val="24"/>
        </w:rPr>
      </w:pPr>
    </w:p>
    <w:p w:rsidR="006334D3" w:rsidRPr="00F94077" w:rsidRDefault="008F7DE5" w:rsidP="006334D3">
      <w:pPr>
        <w:pStyle w:val="FootnoteText"/>
        <w:rPr>
          <w:color w:val="000000" w:themeColor="text1"/>
          <w:sz w:val="24"/>
          <w:szCs w:val="24"/>
        </w:rPr>
      </w:pPr>
      <w:r w:rsidRPr="00F94077">
        <w:rPr>
          <w:color w:val="000000" w:themeColor="text1"/>
          <w:sz w:val="24"/>
          <w:szCs w:val="24"/>
        </w:rPr>
        <w:t>-</w:t>
      </w:r>
      <w:hyperlink r:id="rId15" w:history="1">
        <w:r w:rsidR="006334D3" w:rsidRPr="00F94077">
          <w:rPr>
            <w:rStyle w:val="Hyperlink"/>
            <w:color w:val="000000" w:themeColor="text1"/>
            <w:sz w:val="24"/>
            <w:szCs w:val="24"/>
          </w:rPr>
          <w:t>https://www.britannica.com/technology/telegraph</w:t>
        </w:r>
      </w:hyperlink>
      <w:r w:rsidR="006334D3" w:rsidRPr="00F94077">
        <w:rPr>
          <w:color w:val="000000" w:themeColor="text1"/>
          <w:sz w:val="24"/>
          <w:szCs w:val="24"/>
        </w:rPr>
        <w:t xml:space="preserve"> </w:t>
      </w:r>
    </w:p>
    <w:p w:rsidR="008F7DE5" w:rsidRPr="00F94077" w:rsidRDefault="008F7DE5" w:rsidP="006334D3">
      <w:pPr>
        <w:pStyle w:val="FootnoteText"/>
        <w:rPr>
          <w:rStyle w:val="HTMLCite"/>
          <w:color w:val="000000" w:themeColor="text1"/>
          <w:sz w:val="24"/>
          <w:szCs w:val="24"/>
        </w:rPr>
      </w:pPr>
    </w:p>
    <w:p w:rsidR="006334D3" w:rsidRPr="00F94077" w:rsidRDefault="008F7DE5" w:rsidP="006334D3">
      <w:pPr>
        <w:pStyle w:val="FootnoteText"/>
        <w:rPr>
          <w:color w:val="000000" w:themeColor="text1"/>
          <w:sz w:val="24"/>
          <w:szCs w:val="24"/>
        </w:rPr>
      </w:pPr>
      <w:r w:rsidRPr="00F94077">
        <w:rPr>
          <w:rStyle w:val="HTMLCite"/>
          <w:color w:val="000000" w:themeColor="text1"/>
          <w:sz w:val="24"/>
          <w:szCs w:val="24"/>
        </w:rPr>
        <w:t>-</w:t>
      </w:r>
      <w:hyperlink r:id="rId16" w:history="1">
        <w:r w:rsidR="006334D3" w:rsidRPr="00F94077">
          <w:rPr>
            <w:rStyle w:val="Hyperlink"/>
            <w:color w:val="000000" w:themeColor="text1"/>
            <w:sz w:val="24"/>
            <w:szCs w:val="24"/>
          </w:rPr>
          <w:t>https://www.india.gov.in/my-government/constitution-india</w:t>
        </w:r>
      </w:hyperlink>
    </w:p>
    <w:p w:rsidR="008F7DE5" w:rsidRPr="00F94077" w:rsidRDefault="008F7DE5" w:rsidP="006334D3">
      <w:pPr>
        <w:pStyle w:val="FootnoteText"/>
        <w:rPr>
          <w:color w:val="000000" w:themeColor="text1"/>
          <w:sz w:val="24"/>
          <w:szCs w:val="24"/>
        </w:rPr>
      </w:pPr>
    </w:p>
    <w:p w:rsidR="006334D3" w:rsidRPr="00F94077" w:rsidRDefault="008F7DE5" w:rsidP="006334D3">
      <w:pPr>
        <w:pStyle w:val="FootnoteText"/>
        <w:rPr>
          <w:color w:val="000000" w:themeColor="text1"/>
          <w:sz w:val="24"/>
          <w:szCs w:val="24"/>
        </w:rPr>
      </w:pPr>
      <w:r w:rsidRPr="00F94077">
        <w:rPr>
          <w:color w:val="000000" w:themeColor="text1"/>
          <w:sz w:val="24"/>
          <w:szCs w:val="24"/>
        </w:rPr>
        <w:t>-</w:t>
      </w:r>
      <w:hyperlink r:id="rId17" w:history="1">
        <w:r w:rsidR="006334D3" w:rsidRPr="00F94077">
          <w:rPr>
            <w:rStyle w:val="Hyperlink"/>
            <w:color w:val="000000" w:themeColor="text1"/>
            <w:sz w:val="24"/>
            <w:szCs w:val="24"/>
          </w:rPr>
          <w:t>https://voxdev.org/topic/institutions-political-economy/drawing-line-short-and-long-term-consequences-partitioning-india</w:t>
        </w:r>
      </w:hyperlink>
      <w:r w:rsidR="006334D3" w:rsidRPr="00F94077">
        <w:rPr>
          <w:color w:val="000000" w:themeColor="text1"/>
          <w:sz w:val="24"/>
          <w:szCs w:val="24"/>
        </w:rPr>
        <w:t xml:space="preserve">  </w:t>
      </w:r>
    </w:p>
    <w:p w:rsidR="00DD3EE6" w:rsidRPr="00F94077" w:rsidRDefault="00DD3EE6" w:rsidP="00947AB2">
      <w:pPr>
        <w:jc w:val="both"/>
        <w:rPr>
          <w:rFonts w:eastAsia="Times New Roman" w:cstheme="minorHAnsi"/>
          <w:color w:val="538135" w:themeColor="accent6" w:themeShade="BF"/>
          <w:sz w:val="24"/>
          <w:szCs w:val="24"/>
          <w:lang w:eastAsia="en-GB"/>
        </w:rPr>
      </w:pPr>
    </w:p>
    <w:sectPr w:rsidR="00DD3EE6" w:rsidRPr="00F94077" w:rsidSect="00CA56D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52C4" w:rsidRDefault="00B252C4" w:rsidP="00977547">
      <w:pPr>
        <w:spacing w:after="0" w:line="240" w:lineRule="auto"/>
      </w:pPr>
      <w:r>
        <w:separator/>
      </w:r>
    </w:p>
  </w:endnote>
  <w:endnote w:type="continuationSeparator" w:id="1">
    <w:p w:rsidR="00B252C4" w:rsidRDefault="00B252C4" w:rsidP="009775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52C4" w:rsidRDefault="00B252C4" w:rsidP="00977547">
      <w:pPr>
        <w:spacing w:after="0" w:line="240" w:lineRule="auto"/>
      </w:pPr>
      <w:r>
        <w:separator/>
      </w:r>
    </w:p>
  </w:footnote>
  <w:footnote w:type="continuationSeparator" w:id="1">
    <w:p w:rsidR="00B252C4" w:rsidRDefault="00B252C4" w:rsidP="00977547">
      <w:pPr>
        <w:spacing w:after="0" w:line="240" w:lineRule="auto"/>
      </w:pPr>
      <w:r>
        <w:continuationSeparator/>
      </w:r>
    </w:p>
  </w:footnote>
  <w:footnote w:id="2">
    <w:p w:rsidR="001F57D9" w:rsidRDefault="001F57D9">
      <w:pPr>
        <w:pStyle w:val="FootnoteText"/>
      </w:pPr>
      <w:r>
        <w:rPr>
          <w:rStyle w:val="FootnoteReference"/>
        </w:rPr>
        <w:footnoteRef/>
      </w:r>
      <w:r>
        <w:t xml:space="preserve"> </w:t>
      </w:r>
      <w:hyperlink r:id="rId1" w:history="1">
        <w:r w:rsidRPr="001F57D9">
          <w:rPr>
            <w:rStyle w:val="Hyperlink"/>
          </w:rPr>
          <w:t>https://monthlyreview.org/2001/06/01/imperialism-and-globalization/</w:t>
        </w:r>
      </w:hyperlink>
    </w:p>
  </w:footnote>
  <w:footnote w:id="3">
    <w:p w:rsidR="006334D3" w:rsidRDefault="006334D3" w:rsidP="006334D3">
      <w:pPr>
        <w:pStyle w:val="FootnoteText"/>
      </w:pPr>
      <w:r>
        <w:rPr>
          <w:rStyle w:val="FootnoteReference"/>
        </w:rPr>
        <w:footnoteRef/>
      </w:r>
      <w:r>
        <w:t xml:space="preserve"> </w:t>
      </w:r>
      <w:hyperlink r:id="rId2" w:history="1">
        <w:r w:rsidRPr="009021ED">
          <w:rPr>
            <w:rStyle w:val="Hyperlink"/>
          </w:rPr>
          <w:t>https://www.britannica.com/technology/telegraph</w:t>
        </w:r>
      </w:hyperlink>
      <w:r>
        <w:t xml:space="preserve"> </w:t>
      </w:r>
    </w:p>
  </w:footnote>
  <w:footnote w:id="4">
    <w:p w:rsidR="006334D3" w:rsidRDefault="006334D3" w:rsidP="006334D3">
      <w:pPr>
        <w:pStyle w:val="FootnoteText"/>
      </w:pPr>
      <w:r>
        <w:rPr>
          <w:rStyle w:val="FootnoteReference"/>
        </w:rPr>
        <w:footnoteRef/>
      </w:r>
      <w:r>
        <w:t xml:space="preserve"> </w:t>
      </w:r>
      <w:hyperlink r:id="rId3" w:history="1">
        <w:r w:rsidRPr="00222F3F">
          <w:rPr>
            <w:rStyle w:val="Hyperlink"/>
          </w:rPr>
          <w:t>https://www.britannica.com/technology/semaphore</w:t>
        </w:r>
      </w:hyperlink>
    </w:p>
  </w:footnote>
  <w:footnote w:id="5">
    <w:p w:rsidR="006334D3" w:rsidRDefault="006334D3" w:rsidP="006334D3">
      <w:pPr>
        <w:pStyle w:val="FootnoteText"/>
      </w:pPr>
      <w:r>
        <w:rPr>
          <w:rStyle w:val="FootnoteReference"/>
        </w:rPr>
        <w:footnoteRef/>
      </w:r>
      <w:r>
        <w:t xml:space="preserve"> </w:t>
      </w:r>
      <w:hyperlink r:id="rId4" w:history="1">
        <w:r w:rsidRPr="00B25898">
          <w:rPr>
            <w:rStyle w:val="Hyperlink"/>
          </w:rPr>
          <w:t>https://militaryhistorynow.com/2014/01/08/barbed-wire-war-how-one-farmers-innovation-changed-the-battlefield/</w:t>
        </w:r>
      </w:hyperlink>
    </w:p>
  </w:footnote>
  <w:footnote w:id="6">
    <w:p w:rsidR="006334D3" w:rsidRDefault="006334D3" w:rsidP="006334D3">
      <w:pPr>
        <w:pStyle w:val="FootnoteText"/>
      </w:pPr>
      <w:r>
        <w:rPr>
          <w:rStyle w:val="FootnoteReference"/>
        </w:rPr>
        <w:footnoteRef/>
      </w:r>
      <w:r>
        <w:t xml:space="preserve"> </w:t>
      </w:r>
      <w:hyperlink r:id="rId5" w:history="1">
        <w:r w:rsidRPr="00222F3F">
          <w:rPr>
            <w:rStyle w:val="Hyperlink"/>
          </w:rPr>
          <w:t>https://www2.bc.edu/marian-simion/th406/readings/0420anderson.pdf</w:t>
        </w:r>
      </w:hyperlink>
    </w:p>
  </w:footnote>
  <w:footnote w:id="7">
    <w:p w:rsidR="006334D3" w:rsidRDefault="006334D3" w:rsidP="006334D3">
      <w:pPr>
        <w:pStyle w:val="FootnoteText"/>
      </w:pPr>
      <w:r>
        <w:rPr>
          <w:rStyle w:val="FootnoteReference"/>
        </w:rPr>
        <w:footnoteRef/>
      </w:r>
      <w:r>
        <w:t xml:space="preserve"> </w:t>
      </w:r>
      <w:hyperlink r:id="rId6" w:history="1">
        <w:r w:rsidRPr="00CC7F93">
          <w:rPr>
            <w:rStyle w:val="Hyperlink"/>
          </w:rPr>
          <w:t>http://csmt.uchicago.edu/glossary2004/collectiveconsciousness.htm</w:t>
        </w:r>
      </w:hyperlink>
    </w:p>
  </w:footnote>
  <w:footnote w:id="8">
    <w:p w:rsidR="006334D3" w:rsidRDefault="006334D3" w:rsidP="006334D3">
      <w:pPr>
        <w:pStyle w:val="FootnoteText"/>
      </w:pPr>
      <w:r>
        <w:rPr>
          <w:rStyle w:val="FootnoteReference"/>
        </w:rPr>
        <w:footnoteRef/>
      </w:r>
      <w:r>
        <w:t xml:space="preserve"> Bocok, Robert- </w:t>
      </w:r>
      <w:r w:rsidRPr="00394A9F">
        <w:rPr>
          <w:i/>
        </w:rPr>
        <w:t>Hegemony</w:t>
      </w:r>
      <w:r>
        <w:t xml:space="preserve"> Ellis Horwood Limited, Chichester 1986 p.53</w:t>
      </w:r>
    </w:p>
  </w:footnote>
  <w:footnote w:id="9">
    <w:p w:rsidR="006334D3" w:rsidRPr="003B48B7" w:rsidRDefault="006334D3" w:rsidP="003B48B7">
      <w:pPr>
        <w:pStyle w:val="NoSpacing"/>
        <w:rPr>
          <w:sz w:val="20"/>
          <w:szCs w:val="20"/>
        </w:rPr>
      </w:pPr>
      <w:r w:rsidRPr="003B48B7">
        <w:rPr>
          <w:sz w:val="20"/>
          <w:szCs w:val="20"/>
        </w:rPr>
        <w:footnoteRef/>
      </w:r>
      <w:r w:rsidRPr="003B48B7">
        <w:rPr>
          <w:sz w:val="20"/>
          <w:szCs w:val="20"/>
        </w:rPr>
        <w:t xml:space="preserve">  Hill, Christopher-  (1958) Puritanism and Revolution, Martin Secker  &amp; Warberg Limited, London p62</w:t>
      </w:r>
    </w:p>
  </w:footnote>
  <w:footnote w:id="10">
    <w:p w:rsidR="006334D3" w:rsidRDefault="006334D3" w:rsidP="003B48B7">
      <w:pPr>
        <w:pStyle w:val="NoSpacing"/>
        <w:rPr>
          <w:sz w:val="24"/>
          <w:szCs w:val="24"/>
        </w:rPr>
      </w:pPr>
      <w:r w:rsidRPr="003B48B7">
        <w:rPr>
          <w:sz w:val="20"/>
          <w:szCs w:val="20"/>
        </w:rPr>
        <w:footnoteRef/>
      </w:r>
      <w:r w:rsidRPr="003B48B7">
        <w:rPr>
          <w:sz w:val="20"/>
          <w:szCs w:val="20"/>
        </w:rPr>
        <w:t xml:space="preserve">  Salter, Mark B.- (2002) Barbarians and Civilisation in International Relations, Pluto Press, London, Sterling- Virginia  p21</w:t>
      </w:r>
    </w:p>
  </w:footnote>
  <w:footnote w:id="11">
    <w:p w:rsidR="006334D3" w:rsidRDefault="006334D3" w:rsidP="006334D3">
      <w:pPr>
        <w:pStyle w:val="FootnoteText"/>
      </w:pPr>
      <w:r>
        <w:rPr>
          <w:rStyle w:val="FootnoteReference"/>
        </w:rPr>
        <w:footnoteRef/>
      </w:r>
      <w:r>
        <w:t xml:space="preserve"> </w:t>
      </w:r>
      <w:hyperlink r:id="rId7" w:history="1">
        <w:r w:rsidRPr="00E67DD8">
          <w:rPr>
            <w:rStyle w:val="Hyperlink"/>
          </w:rPr>
          <w:t>http://www.ric.edu/faculty/rpotter/temp/geog_and_some.html</w:t>
        </w:r>
      </w:hyperlink>
    </w:p>
  </w:footnote>
  <w:footnote w:id="12">
    <w:p w:rsidR="006334D3" w:rsidRDefault="006334D3" w:rsidP="006334D3">
      <w:pPr>
        <w:pStyle w:val="FootnoteText"/>
      </w:pPr>
      <w:r>
        <w:rPr>
          <w:rStyle w:val="FootnoteReference"/>
        </w:rPr>
        <w:footnoteRef/>
      </w:r>
      <w:r>
        <w:t xml:space="preserve"> </w:t>
      </w:r>
      <w:r w:rsidR="003B48B7">
        <w:t xml:space="preserve">Watts, Cedric. </w:t>
      </w:r>
      <w:r w:rsidR="003B48B7" w:rsidRPr="003B48B7">
        <w:rPr>
          <w:i/>
        </w:rPr>
        <w:t>Introduction</w:t>
      </w:r>
      <w:r>
        <w:t xml:space="preserve"> </w:t>
      </w:r>
      <w:r w:rsidR="003B48B7">
        <w:t xml:space="preserve">to </w:t>
      </w:r>
      <w:r w:rsidRPr="00C4538F">
        <w:rPr>
          <w:i/>
        </w:rPr>
        <w:t>Heart of Darkness and Other Tales</w:t>
      </w:r>
      <w:r>
        <w:t xml:space="preserve"> </w:t>
      </w:r>
      <w:r w:rsidRPr="00E27E2D">
        <w:rPr>
          <w:i/>
        </w:rPr>
        <w:t>by Joseph Conrad</w:t>
      </w:r>
      <w:r>
        <w:rPr>
          <w:i/>
        </w:rPr>
        <w:t>.</w:t>
      </w:r>
      <w:r>
        <w:t xml:space="preserve"> Oxford University Press, Oxford 1990. P.xxiv</w:t>
      </w:r>
    </w:p>
  </w:footnote>
  <w:footnote w:id="13">
    <w:p w:rsidR="006334D3" w:rsidRDefault="006334D3" w:rsidP="006334D3">
      <w:pPr>
        <w:pStyle w:val="FootnoteText"/>
      </w:pPr>
      <w:r>
        <w:rPr>
          <w:rStyle w:val="FootnoteReference"/>
        </w:rPr>
        <w:footnoteRef/>
      </w:r>
      <w:r>
        <w:t xml:space="preserve"> Rawson, Eric- (2017) </w:t>
      </w:r>
      <w:r w:rsidRPr="00522E1A">
        <w:rPr>
          <w:rFonts w:eastAsia="Times New Roman" w:cstheme="minorHAnsi"/>
          <w:i/>
          <w:lang w:eastAsia="en-GB"/>
        </w:rPr>
        <w:t>‘</w:t>
      </w:r>
      <w:r w:rsidRPr="00BE4B89">
        <w:rPr>
          <w:rFonts w:eastAsia="Times New Roman" w:cstheme="minorHAnsi"/>
          <w:i/>
          <w:lang w:eastAsia="en-GB"/>
        </w:rPr>
        <w:t>A dying vibration</w:t>
      </w:r>
      <w:r w:rsidRPr="00522E1A">
        <w:rPr>
          <w:rFonts w:eastAsia="Times New Roman" w:cstheme="minorHAnsi"/>
          <w:i/>
          <w:lang w:eastAsia="en-GB"/>
        </w:rPr>
        <w:t xml:space="preserve">’ </w:t>
      </w:r>
      <w:r w:rsidRPr="00BE4B89">
        <w:rPr>
          <w:rFonts w:eastAsia="Times New Roman" w:cstheme="minorHAnsi"/>
          <w:i/>
          <w:lang w:eastAsia="en-GB"/>
        </w:rPr>
        <w:t>Sound and Silence in</w:t>
      </w:r>
      <w:r w:rsidRPr="00522E1A">
        <w:rPr>
          <w:rFonts w:eastAsia="Times New Roman" w:cstheme="minorHAnsi"/>
          <w:i/>
          <w:lang w:eastAsia="en-GB"/>
        </w:rPr>
        <w:t xml:space="preserve"> </w:t>
      </w:r>
      <w:r w:rsidRPr="00BE4B89">
        <w:rPr>
          <w:rFonts w:eastAsia="Times New Roman" w:cstheme="minorHAnsi"/>
          <w:i/>
          <w:lang w:eastAsia="en-GB"/>
        </w:rPr>
        <w:t>Heart</w:t>
      </w:r>
      <w:r w:rsidRPr="00522E1A">
        <w:rPr>
          <w:rFonts w:eastAsia="Times New Roman" w:cstheme="minorHAnsi"/>
          <w:i/>
          <w:lang w:eastAsia="en-GB"/>
        </w:rPr>
        <w:t xml:space="preserve"> </w:t>
      </w:r>
      <w:r w:rsidRPr="00BE4B89">
        <w:rPr>
          <w:rFonts w:eastAsia="Times New Roman" w:cstheme="minorHAnsi"/>
          <w:i/>
          <w:lang w:eastAsia="en-GB"/>
        </w:rPr>
        <w:t>of</w:t>
      </w:r>
      <w:r w:rsidRPr="00522E1A">
        <w:rPr>
          <w:rFonts w:eastAsia="Times New Roman" w:cstheme="minorHAnsi"/>
          <w:i/>
          <w:lang w:eastAsia="en-GB"/>
        </w:rPr>
        <w:t xml:space="preserve"> </w:t>
      </w:r>
      <w:r w:rsidRPr="00BE4B89">
        <w:rPr>
          <w:rFonts w:eastAsia="Times New Roman" w:cstheme="minorHAnsi"/>
          <w:i/>
          <w:lang w:eastAsia="en-GB"/>
        </w:rPr>
        <w:t>Darkness</w:t>
      </w:r>
      <w:r w:rsidRPr="00522E1A">
        <w:rPr>
          <w:rFonts w:eastAsia="Times New Roman" w:cstheme="minorHAnsi"/>
          <w:lang w:eastAsia="en-GB"/>
        </w:rPr>
        <w:t xml:space="preserve">. </w:t>
      </w:r>
      <w:r w:rsidRPr="00BE4B89">
        <w:rPr>
          <w:rFonts w:eastAsia="Times New Roman" w:cstheme="minorHAnsi"/>
          <w:lang w:eastAsia="en-GB"/>
        </w:rPr>
        <w:t>University of Southern California</w:t>
      </w:r>
      <w:r>
        <w:rPr>
          <w:rFonts w:eastAsia="Times New Roman" w:cstheme="minorHAnsi"/>
          <w:lang w:eastAsia="en-GB"/>
        </w:rPr>
        <w:t>. P37</w:t>
      </w:r>
    </w:p>
  </w:footnote>
  <w:footnote w:id="14">
    <w:p w:rsidR="006334D3" w:rsidRDefault="006334D3" w:rsidP="006334D3">
      <w:pPr>
        <w:pStyle w:val="FootnoteText"/>
      </w:pPr>
      <w:r>
        <w:rPr>
          <w:rStyle w:val="FootnoteReference"/>
        </w:rPr>
        <w:footnoteRef/>
      </w:r>
      <w:r>
        <w:t xml:space="preserve"> Ibid.</w:t>
      </w:r>
    </w:p>
  </w:footnote>
  <w:footnote w:id="15">
    <w:p w:rsidR="006334D3" w:rsidRDefault="006334D3" w:rsidP="006334D3">
      <w:pPr>
        <w:pStyle w:val="FootnoteText"/>
      </w:pPr>
      <w:r>
        <w:rPr>
          <w:rStyle w:val="FootnoteReference"/>
        </w:rPr>
        <w:footnoteRef/>
      </w:r>
      <w:r>
        <w:t xml:space="preserve"> Ibid. p38</w:t>
      </w:r>
    </w:p>
  </w:footnote>
  <w:footnote w:id="16">
    <w:p w:rsidR="006334D3" w:rsidRDefault="006334D3" w:rsidP="006334D3">
      <w:pPr>
        <w:pStyle w:val="FootnoteText"/>
      </w:pPr>
      <w:r>
        <w:rPr>
          <w:rStyle w:val="FootnoteReference"/>
        </w:rPr>
        <w:footnoteRef/>
      </w:r>
      <w:r>
        <w:t xml:space="preserve"> Ibid. p49</w:t>
      </w:r>
    </w:p>
  </w:footnote>
  <w:footnote w:id="17">
    <w:p w:rsidR="006334D3" w:rsidRDefault="006334D3" w:rsidP="006334D3">
      <w:pPr>
        <w:pStyle w:val="FootnoteText"/>
      </w:pPr>
      <w:r>
        <w:rPr>
          <w:rStyle w:val="FootnoteReference"/>
        </w:rPr>
        <w:footnoteRef/>
      </w:r>
      <w:r>
        <w:t xml:space="preserve"> Osborne, Roger- Civilisation: </w:t>
      </w:r>
      <w:r w:rsidRPr="00943274">
        <w:rPr>
          <w:i/>
        </w:rPr>
        <w:t>A New History off the Western World</w:t>
      </w:r>
      <w:r>
        <w:t xml:space="preserve"> (Penguin 2006</w:t>
      </w:r>
    </w:p>
  </w:footnote>
  <w:footnote w:id="18">
    <w:p w:rsidR="006334D3" w:rsidRDefault="006334D3" w:rsidP="006334D3">
      <w:pPr>
        <w:pStyle w:val="FootnoteText"/>
      </w:pPr>
      <w:r>
        <w:rPr>
          <w:rStyle w:val="FootnoteReference"/>
        </w:rPr>
        <w:footnoteRef/>
      </w:r>
      <w:r>
        <w:t xml:space="preserve"> Roy Arundhati-</w:t>
      </w:r>
      <w:r w:rsidRPr="00D50363">
        <w:rPr>
          <w:i/>
        </w:rPr>
        <w:t>The God Of Small Things</w:t>
      </w:r>
      <w:r>
        <w:t xml:space="preserve"> Harper Collins, London p.187</w:t>
      </w:r>
    </w:p>
  </w:footnote>
  <w:footnote w:id="19">
    <w:p w:rsidR="006334D3" w:rsidRDefault="006334D3" w:rsidP="006334D3">
      <w:pPr>
        <w:pStyle w:val="FootnoteText"/>
      </w:pPr>
      <w:r>
        <w:rPr>
          <w:rStyle w:val="FootnoteReference"/>
        </w:rPr>
        <w:footnoteRef/>
      </w:r>
      <w:r>
        <w:t xml:space="preserve"> </w:t>
      </w:r>
      <w:hyperlink r:id="rId8" w:history="1">
        <w:r w:rsidRPr="00175B5E">
          <w:rPr>
            <w:rStyle w:val="Hyperlink"/>
          </w:rPr>
          <w:t>https://www.india.gov.in/my-government/constitution-india</w:t>
        </w:r>
      </w:hyperlink>
    </w:p>
  </w:footnote>
  <w:footnote w:id="20">
    <w:p w:rsidR="006334D3" w:rsidRDefault="006334D3" w:rsidP="006334D3">
      <w:pPr>
        <w:pStyle w:val="FootnoteText"/>
      </w:pPr>
      <w:r>
        <w:rPr>
          <w:rStyle w:val="FootnoteReference"/>
        </w:rPr>
        <w:footnoteRef/>
      </w:r>
      <w:r>
        <w:t xml:space="preserve"> </w:t>
      </w:r>
      <w:hyperlink r:id="rId9" w:history="1">
        <w:r w:rsidRPr="00CC5A68">
          <w:rPr>
            <w:rStyle w:val="Hyperlink"/>
          </w:rPr>
          <w:t>https://voxdev.org/topic/institutions-political-economy/drawing-line-short-and-long-term-consequences-partitioning-india</w:t>
        </w:r>
      </w:hyperlink>
      <w:r>
        <w:t xml:space="preserve">  Bharadwaj et al 2008</w:t>
      </w:r>
    </w:p>
  </w:footnote>
  <w:footnote w:id="21">
    <w:p w:rsidR="006334D3" w:rsidRDefault="006334D3" w:rsidP="006334D3">
      <w:pPr>
        <w:pStyle w:val="FootnoteText"/>
      </w:pPr>
      <w:r>
        <w:rPr>
          <w:rStyle w:val="FootnoteReference"/>
        </w:rPr>
        <w:footnoteRef/>
      </w:r>
      <w:r>
        <w:t xml:space="preserve"> Stanford Friedman, Susan- </w:t>
      </w:r>
      <w:r w:rsidRPr="00A62837">
        <w:rPr>
          <w:i/>
        </w:rPr>
        <w:t>Race Relations in Roy’s Post-colonial India</w:t>
      </w:r>
      <w:r>
        <w:t xml:space="preserve"> in </w:t>
      </w:r>
      <w:r w:rsidRPr="00A62837">
        <w:rPr>
          <w:i/>
        </w:rPr>
        <w:t xml:space="preserve">GeoModernisms: Race, Modernism, Modernity </w:t>
      </w:r>
      <w:r>
        <w:t>ed. Laura Doyle &amp; Laura Winkiel. Indiana University Press, Indiana (2005)</w:t>
      </w:r>
    </w:p>
  </w:footnote>
  <w:footnote w:id="22">
    <w:p w:rsidR="006334D3" w:rsidRDefault="006334D3" w:rsidP="006334D3">
      <w:pPr>
        <w:pStyle w:val="FootnoteText"/>
      </w:pPr>
      <w:r>
        <w:rPr>
          <w:rStyle w:val="FootnoteReference"/>
        </w:rPr>
        <w:footnoteRef/>
      </w:r>
      <w:r>
        <w:t xml:space="preserve"> Ghosh, Bishnupriya- </w:t>
      </w:r>
      <w:r w:rsidRPr="00363CF1">
        <w:rPr>
          <w:i/>
        </w:rPr>
        <w:t>When Borne Across</w:t>
      </w:r>
      <w:r>
        <w:t xml:space="preserve"> 2004 p.19</w:t>
      </w:r>
    </w:p>
  </w:footnote>
  <w:footnote w:id="23">
    <w:p w:rsidR="006334D3" w:rsidRDefault="006334D3" w:rsidP="006334D3">
      <w:pPr>
        <w:pStyle w:val="FootnoteText"/>
      </w:pPr>
      <w:r>
        <w:rPr>
          <w:rStyle w:val="FootnoteReference"/>
        </w:rPr>
        <w:footnoteRef/>
      </w:r>
      <w:r>
        <w:t xml:space="preserve"> Roy, Arundhati-</w:t>
      </w:r>
      <w:r>
        <w:rPr>
          <w:rFonts w:ascii="Arial" w:hAnsi="Arial" w:cs="Arial"/>
          <w:b/>
          <w:bCs/>
        </w:rPr>
        <w:t xml:space="preserve"> </w:t>
      </w:r>
      <w:r w:rsidRPr="00C4538F">
        <w:rPr>
          <w:rFonts w:cstheme="minorHAnsi"/>
          <w:bCs/>
          <w:i/>
        </w:rPr>
        <w:t>The Politics of Power</w:t>
      </w:r>
      <w:r w:rsidRPr="002C4F28">
        <w:rPr>
          <w:rFonts w:cstheme="minorHAnsi"/>
          <w:bCs/>
        </w:rPr>
        <w:t>,</w:t>
      </w:r>
      <w:r w:rsidRPr="002C4F28">
        <w:rPr>
          <w:rFonts w:cstheme="minorHAnsi"/>
          <w:b/>
          <w:bCs/>
        </w:rPr>
        <w:t xml:space="preserve"> </w:t>
      </w:r>
      <w:r w:rsidRPr="002C4F28">
        <w:rPr>
          <w:rFonts w:cstheme="minorHAnsi"/>
          <w:i/>
          <w:iCs/>
        </w:rPr>
        <w:t>The Nation</w:t>
      </w:r>
      <w:r w:rsidRPr="002C4F28">
        <w:rPr>
          <w:rFonts w:cstheme="minorHAnsi"/>
        </w:rPr>
        <w:t xml:space="preserve"> 18 February 2002</w:t>
      </w:r>
      <w:r>
        <w:rPr>
          <w:rFonts w:ascii="Arial" w:hAnsi="Arial" w:cs="Arial"/>
        </w:rPr>
        <w:t xml:space="preserve"> </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D47B17"/>
    <w:multiLevelType w:val="hybridMultilevel"/>
    <w:tmpl w:val="D1CC2882"/>
    <w:lvl w:ilvl="0" w:tplc="C5B2B1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C83474"/>
    <w:multiLevelType w:val="hybridMultilevel"/>
    <w:tmpl w:val="238AB1B0"/>
    <w:lvl w:ilvl="0" w:tplc="C5D867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3430A78"/>
    <w:multiLevelType w:val="hybridMultilevel"/>
    <w:tmpl w:val="CFDE29EA"/>
    <w:lvl w:ilvl="0" w:tplc="7E1C76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77547"/>
    <w:rsid w:val="00053086"/>
    <w:rsid w:val="0006623B"/>
    <w:rsid w:val="000A3561"/>
    <w:rsid w:val="000D7EF2"/>
    <w:rsid w:val="00195574"/>
    <w:rsid w:val="001C2952"/>
    <w:rsid w:val="001F57D9"/>
    <w:rsid w:val="00212E6A"/>
    <w:rsid w:val="00216B62"/>
    <w:rsid w:val="00245D4A"/>
    <w:rsid w:val="0030077E"/>
    <w:rsid w:val="00305E4E"/>
    <w:rsid w:val="0036685F"/>
    <w:rsid w:val="003B48B7"/>
    <w:rsid w:val="0041324C"/>
    <w:rsid w:val="004322EA"/>
    <w:rsid w:val="00461C84"/>
    <w:rsid w:val="00465183"/>
    <w:rsid w:val="004720CB"/>
    <w:rsid w:val="00491F2A"/>
    <w:rsid w:val="004A2F4D"/>
    <w:rsid w:val="004A3D1B"/>
    <w:rsid w:val="004E6243"/>
    <w:rsid w:val="004F3E29"/>
    <w:rsid w:val="00516B4C"/>
    <w:rsid w:val="0058407E"/>
    <w:rsid w:val="006044CA"/>
    <w:rsid w:val="00606024"/>
    <w:rsid w:val="006122AC"/>
    <w:rsid w:val="006334D3"/>
    <w:rsid w:val="00664E5D"/>
    <w:rsid w:val="00666557"/>
    <w:rsid w:val="00667D09"/>
    <w:rsid w:val="006F48E2"/>
    <w:rsid w:val="006F5D1E"/>
    <w:rsid w:val="007120D3"/>
    <w:rsid w:val="00714638"/>
    <w:rsid w:val="007D6FB7"/>
    <w:rsid w:val="00806EF7"/>
    <w:rsid w:val="00842F5C"/>
    <w:rsid w:val="008431B2"/>
    <w:rsid w:val="008629D9"/>
    <w:rsid w:val="00892EAC"/>
    <w:rsid w:val="008B10C4"/>
    <w:rsid w:val="008B3133"/>
    <w:rsid w:val="008F22F2"/>
    <w:rsid w:val="008F7DE5"/>
    <w:rsid w:val="0091796B"/>
    <w:rsid w:val="00946F8A"/>
    <w:rsid w:val="00947AB2"/>
    <w:rsid w:val="00967C81"/>
    <w:rsid w:val="00977547"/>
    <w:rsid w:val="009C0353"/>
    <w:rsid w:val="009E43C7"/>
    <w:rsid w:val="00A06BC7"/>
    <w:rsid w:val="00A2111D"/>
    <w:rsid w:val="00A25D67"/>
    <w:rsid w:val="00A31ABF"/>
    <w:rsid w:val="00A44073"/>
    <w:rsid w:val="00A5521F"/>
    <w:rsid w:val="00A92EE0"/>
    <w:rsid w:val="00AA6803"/>
    <w:rsid w:val="00AB7832"/>
    <w:rsid w:val="00AC7858"/>
    <w:rsid w:val="00B147ED"/>
    <w:rsid w:val="00B252C4"/>
    <w:rsid w:val="00B90564"/>
    <w:rsid w:val="00BB2715"/>
    <w:rsid w:val="00BC250E"/>
    <w:rsid w:val="00C00840"/>
    <w:rsid w:val="00C03091"/>
    <w:rsid w:val="00C54730"/>
    <w:rsid w:val="00C63882"/>
    <w:rsid w:val="00C65FDC"/>
    <w:rsid w:val="00C77FC6"/>
    <w:rsid w:val="00C919A0"/>
    <w:rsid w:val="00CC1BA8"/>
    <w:rsid w:val="00D14594"/>
    <w:rsid w:val="00D253AC"/>
    <w:rsid w:val="00D32E9D"/>
    <w:rsid w:val="00D847E7"/>
    <w:rsid w:val="00DC3B1B"/>
    <w:rsid w:val="00DD3EE6"/>
    <w:rsid w:val="00DF38CB"/>
    <w:rsid w:val="00E321B3"/>
    <w:rsid w:val="00E64797"/>
    <w:rsid w:val="00ED0647"/>
    <w:rsid w:val="00ED3420"/>
    <w:rsid w:val="00EF2E8D"/>
    <w:rsid w:val="00EF6E4B"/>
    <w:rsid w:val="00F35A4B"/>
    <w:rsid w:val="00F8481C"/>
    <w:rsid w:val="00F94077"/>
    <w:rsid w:val="00F95555"/>
    <w:rsid w:val="00FA14DB"/>
    <w:rsid w:val="00FB32B7"/>
    <w:rsid w:val="00FE124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7547"/>
  </w:style>
  <w:style w:type="paragraph" w:styleId="Heading3">
    <w:name w:val="heading 3"/>
    <w:basedOn w:val="Normal"/>
    <w:link w:val="Heading3Char"/>
    <w:qFormat/>
    <w:rsid w:val="00947AB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7547"/>
    <w:pPr>
      <w:spacing w:after="0" w:line="240" w:lineRule="auto"/>
    </w:pPr>
    <w:rPr>
      <w:sz w:val="20"/>
      <w:szCs w:val="20"/>
    </w:rPr>
  </w:style>
  <w:style w:type="character" w:customStyle="1" w:styleId="FootnoteTextChar">
    <w:name w:val="Footnote Text Char"/>
    <w:basedOn w:val="DefaultParagraphFont"/>
    <w:link w:val="FootnoteText"/>
    <w:uiPriority w:val="99"/>
    <w:rsid w:val="00977547"/>
    <w:rPr>
      <w:sz w:val="20"/>
      <w:szCs w:val="20"/>
    </w:rPr>
  </w:style>
  <w:style w:type="character" w:styleId="FootnoteReference">
    <w:name w:val="footnote reference"/>
    <w:basedOn w:val="DefaultParagraphFont"/>
    <w:uiPriority w:val="99"/>
    <w:semiHidden/>
    <w:unhideWhenUsed/>
    <w:rsid w:val="00977547"/>
    <w:rPr>
      <w:vertAlign w:val="superscript"/>
    </w:rPr>
  </w:style>
  <w:style w:type="paragraph" w:styleId="Header">
    <w:name w:val="header"/>
    <w:basedOn w:val="Normal"/>
    <w:link w:val="HeaderChar"/>
    <w:uiPriority w:val="99"/>
    <w:semiHidden/>
    <w:unhideWhenUsed/>
    <w:rsid w:val="00664E5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4E5D"/>
  </w:style>
  <w:style w:type="paragraph" w:styleId="Footer">
    <w:name w:val="footer"/>
    <w:basedOn w:val="Normal"/>
    <w:link w:val="FooterChar"/>
    <w:uiPriority w:val="99"/>
    <w:semiHidden/>
    <w:unhideWhenUsed/>
    <w:rsid w:val="00664E5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64E5D"/>
  </w:style>
  <w:style w:type="character" w:styleId="Hyperlink">
    <w:name w:val="Hyperlink"/>
    <w:basedOn w:val="DefaultParagraphFont"/>
    <w:uiPriority w:val="99"/>
    <w:unhideWhenUsed/>
    <w:rsid w:val="00DD3EE6"/>
    <w:rPr>
      <w:color w:val="0563C1" w:themeColor="hyperlink"/>
      <w:u w:val="single"/>
    </w:rPr>
  </w:style>
  <w:style w:type="character" w:customStyle="1" w:styleId="Heading3Char">
    <w:name w:val="Heading 3 Char"/>
    <w:basedOn w:val="DefaultParagraphFont"/>
    <w:link w:val="Heading3"/>
    <w:rsid w:val="00947AB2"/>
    <w:rPr>
      <w:rFonts w:ascii="Tahoma" w:eastAsia="SimSun" w:hAnsi="Tahoma" w:cs="Tahoma"/>
      <w:b/>
      <w:bCs/>
      <w:sz w:val="20"/>
      <w:szCs w:val="20"/>
      <w:lang w:eastAsia="zh-CN"/>
    </w:rPr>
  </w:style>
  <w:style w:type="paragraph" w:styleId="NormalWeb">
    <w:name w:val="Normal (Web)"/>
    <w:basedOn w:val="Normal"/>
    <w:rsid w:val="00947AB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947A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7AB2"/>
    <w:rPr>
      <w:rFonts w:ascii="Tahoma" w:hAnsi="Tahoma" w:cs="Tahoma"/>
      <w:sz w:val="16"/>
      <w:szCs w:val="16"/>
    </w:rPr>
  </w:style>
  <w:style w:type="paragraph" w:customStyle="1" w:styleId="style7">
    <w:name w:val="style7"/>
    <w:basedOn w:val="Normal"/>
    <w:rsid w:val="00245D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5D4A"/>
    <w:rPr>
      <w:b/>
      <w:bCs/>
    </w:rPr>
  </w:style>
  <w:style w:type="character" w:customStyle="1" w:styleId="style8">
    <w:name w:val="style8"/>
    <w:basedOn w:val="DefaultParagraphFont"/>
    <w:rsid w:val="00245D4A"/>
  </w:style>
  <w:style w:type="character" w:styleId="HTMLCite">
    <w:name w:val="HTML Cite"/>
    <w:basedOn w:val="DefaultParagraphFont"/>
    <w:uiPriority w:val="99"/>
    <w:semiHidden/>
    <w:unhideWhenUsed/>
    <w:rsid w:val="00245D4A"/>
    <w:rPr>
      <w:i/>
      <w:iCs/>
    </w:rPr>
  </w:style>
  <w:style w:type="character" w:styleId="Emphasis">
    <w:name w:val="Emphasis"/>
    <w:basedOn w:val="DefaultParagraphFont"/>
    <w:uiPriority w:val="20"/>
    <w:qFormat/>
    <w:rsid w:val="006334D3"/>
    <w:rPr>
      <w:i/>
      <w:iCs/>
    </w:rPr>
  </w:style>
  <w:style w:type="paragraph" w:styleId="NoSpacing">
    <w:name w:val="No Spacing"/>
    <w:uiPriority w:val="1"/>
    <w:qFormat/>
    <w:rsid w:val="003B48B7"/>
    <w:pPr>
      <w:spacing w:after="0" w:line="240" w:lineRule="auto"/>
    </w:pPr>
  </w:style>
  <w:style w:type="character" w:customStyle="1" w:styleId="st">
    <w:name w:val="st"/>
    <w:basedOn w:val="DefaultParagraphFont"/>
    <w:rsid w:val="00666557"/>
  </w:style>
  <w:style w:type="character" w:styleId="FollowedHyperlink">
    <w:name w:val="FollowedHyperlink"/>
    <w:basedOn w:val="DefaultParagraphFont"/>
    <w:uiPriority w:val="99"/>
    <w:semiHidden/>
    <w:unhideWhenUsed/>
    <w:rsid w:val="008F7DE5"/>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481238071">
      <w:bodyDiv w:val="1"/>
      <w:marLeft w:val="0"/>
      <w:marRight w:val="0"/>
      <w:marTop w:val="0"/>
      <w:marBottom w:val="0"/>
      <w:divBdr>
        <w:top w:val="none" w:sz="0" w:space="0" w:color="auto"/>
        <w:left w:val="none" w:sz="0" w:space="0" w:color="auto"/>
        <w:bottom w:val="none" w:sz="0" w:space="0" w:color="auto"/>
        <w:right w:val="none" w:sz="0" w:space="0" w:color="auto"/>
      </w:divBdr>
      <w:divsChild>
        <w:div w:id="629163819">
          <w:marLeft w:val="0"/>
          <w:marRight w:val="0"/>
          <w:marTop w:val="0"/>
          <w:marBottom w:val="0"/>
          <w:divBdr>
            <w:top w:val="none" w:sz="0" w:space="0" w:color="auto"/>
            <w:left w:val="none" w:sz="0" w:space="0" w:color="auto"/>
            <w:bottom w:val="none" w:sz="0" w:space="0" w:color="auto"/>
            <w:right w:val="none" w:sz="0" w:space="0" w:color="auto"/>
          </w:divBdr>
        </w:div>
        <w:div w:id="1373312122">
          <w:marLeft w:val="0"/>
          <w:marRight w:val="0"/>
          <w:marTop w:val="0"/>
          <w:marBottom w:val="0"/>
          <w:divBdr>
            <w:top w:val="none" w:sz="0" w:space="0" w:color="auto"/>
            <w:left w:val="none" w:sz="0" w:space="0" w:color="auto"/>
            <w:bottom w:val="none" w:sz="0" w:space="0" w:color="auto"/>
            <w:right w:val="none" w:sz="0" w:space="0" w:color="auto"/>
          </w:divBdr>
        </w:div>
      </w:divsChild>
    </w:div>
    <w:div w:id="659969124">
      <w:bodyDiv w:val="1"/>
      <w:marLeft w:val="0"/>
      <w:marRight w:val="0"/>
      <w:marTop w:val="0"/>
      <w:marBottom w:val="0"/>
      <w:divBdr>
        <w:top w:val="none" w:sz="0" w:space="0" w:color="auto"/>
        <w:left w:val="none" w:sz="0" w:space="0" w:color="auto"/>
        <w:bottom w:val="none" w:sz="0" w:space="0" w:color="auto"/>
        <w:right w:val="none" w:sz="0" w:space="0" w:color="auto"/>
      </w:divBdr>
      <w:divsChild>
        <w:div w:id="864825078">
          <w:marLeft w:val="0"/>
          <w:marRight w:val="0"/>
          <w:marTop w:val="0"/>
          <w:marBottom w:val="0"/>
          <w:divBdr>
            <w:top w:val="none" w:sz="0" w:space="0" w:color="auto"/>
            <w:left w:val="none" w:sz="0" w:space="0" w:color="auto"/>
            <w:bottom w:val="none" w:sz="0" w:space="0" w:color="auto"/>
            <w:right w:val="none" w:sz="0" w:space="0" w:color="auto"/>
          </w:divBdr>
        </w:div>
        <w:div w:id="987710049">
          <w:marLeft w:val="0"/>
          <w:marRight w:val="0"/>
          <w:marTop w:val="0"/>
          <w:marBottom w:val="0"/>
          <w:divBdr>
            <w:top w:val="none" w:sz="0" w:space="0" w:color="auto"/>
            <w:left w:val="none" w:sz="0" w:space="0" w:color="auto"/>
            <w:bottom w:val="none" w:sz="0" w:space="0" w:color="auto"/>
            <w:right w:val="none" w:sz="0" w:space="0" w:color="auto"/>
          </w:divBdr>
        </w:div>
      </w:divsChild>
    </w:div>
    <w:div w:id="1158616076">
      <w:bodyDiv w:val="1"/>
      <w:marLeft w:val="0"/>
      <w:marRight w:val="0"/>
      <w:marTop w:val="0"/>
      <w:marBottom w:val="0"/>
      <w:divBdr>
        <w:top w:val="none" w:sz="0" w:space="0" w:color="auto"/>
        <w:left w:val="none" w:sz="0" w:space="0" w:color="auto"/>
        <w:bottom w:val="none" w:sz="0" w:space="0" w:color="auto"/>
        <w:right w:val="none" w:sz="0" w:space="0" w:color="auto"/>
      </w:divBdr>
      <w:divsChild>
        <w:div w:id="1988630261">
          <w:marLeft w:val="0"/>
          <w:marRight w:val="0"/>
          <w:marTop w:val="0"/>
          <w:marBottom w:val="0"/>
          <w:divBdr>
            <w:top w:val="none" w:sz="0" w:space="0" w:color="auto"/>
            <w:left w:val="none" w:sz="0" w:space="0" w:color="auto"/>
            <w:bottom w:val="none" w:sz="0" w:space="0" w:color="auto"/>
            <w:right w:val="none" w:sz="0" w:space="0" w:color="auto"/>
          </w:divBdr>
        </w:div>
        <w:div w:id="978613122">
          <w:marLeft w:val="0"/>
          <w:marRight w:val="0"/>
          <w:marTop w:val="0"/>
          <w:marBottom w:val="0"/>
          <w:divBdr>
            <w:top w:val="none" w:sz="0" w:space="0" w:color="auto"/>
            <w:left w:val="none" w:sz="0" w:space="0" w:color="auto"/>
            <w:bottom w:val="none" w:sz="0" w:space="0" w:color="auto"/>
            <w:right w:val="none" w:sz="0" w:space="0" w:color="auto"/>
          </w:divBdr>
        </w:div>
        <w:div w:id="1849249527">
          <w:marLeft w:val="0"/>
          <w:marRight w:val="0"/>
          <w:marTop w:val="0"/>
          <w:marBottom w:val="0"/>
          <w:divBdr>
            <w:top w:val="none" w:sz="0" w:space="0" w:color="auto"/>
            <w:left w:val="none" w:sz="0" w:space="0" w:color="auto"/>
            <w:bottom w:val="none" w:sz="0" w:space="0" w:color="auto"/>
            <w:right w:val="none" w:sz="0" w:space="0" w:color="auto"/>
          </w:divBdr>
        </w:div>
        <w:div w:id="1760755731">
          <w:marLeft w:val="0"/>
          <w:marRight w:val="0"/>
          <w:marTop w:val="0"/>
          <w:marBottom w:val="0"/>
          <w:divBdr>
            <w:top w:val="none" w:sz="0" w:space="0" w:color="auto"/>
            <w:left w:val="none" w:sz="0" w:space="0" w:color="auto"/>
            <w:bottom w:val="none" w:sz="0" w:space="0" w:color="auto"/>
            <w:right w:val="none" w:sz="0" w:space="0" w:color="auto"/>
          </w:divBdr>
        </w:div>
        <w:div w:id="1378776074">
          <w:marLeft w:val="0"/>
          <w:marRight w:val="0"/>
          <w:marTop w:val="0"/>
          <w:marBottom w:val="0"/>
          <w:divBdr>
            <w:top w:val="none" w:sz="0" w:space="0" w:color="auto"/>
            <w:left w:val="none" w:sz="0" w:space="0" w:color="auto"/>
            <w:bottom w:val="none" w:sz="0" w:space="0" w:color="auto"/>
            <w:right w:val="none" w:sz="0" w:space="0" w:color="auto"/>
          </w:divBdr>
        </w:div>
      </w:divsChild>
    </w:div>
    <w:div w:id="1228761510">
      <w:bodyDiv w:val="1"/>
      <w:marLeft w:val="0"/>
      <w:marRight w:val="0"/>
      <w:marTop w:val="0"/>
      <w:marBottom w:val="0"/>
      <w:divBdr>
        <w:top w:val="none" w:sz="0" w:space="0" w:color="auto"/>
        <w:left w:val="none" w:sz="0" w:space="0" w:color="auto"/>
        <w:bottom w:val="none" w:sz="0" w:space="0" w:color="auto"/>
        <w:right w:val="none" w:sz="0" w:space="0" w:color="auto"/>
      </w:divBdr>
      <w:divsChild>
        <w:div w:id="851917346">
          <w:marLeft w:val="0"/>
          <w:marRight w:val="0"/>
          <w:marTop w:val="0"/>
          <w:marBottom w:val="0"/>
          <w:divBdr>
            <w:top w:val="none" w:sz="0" w:space="0" w:color="auto"/>
            <w:left w:val="none" w:sz="0" w:space="0" w:color="auto"/>
            <w:bottom w:val="none" w:sz="0" w:space="0" w:color="auto"/>
            <w:right w:val="none" w:sz="0" w:space="0" w:color="auto"/>
          </w:divBdr>
          <w:divsChild>
            <w:div w:id="9019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030355">
      <w:bodyDiv w:val="1"/>
      <w:marLeft w:val="0"/>
      <w:marRight w:val="0"/>
      <w:marTop w:val="0"/>
      <w:marBottom w:val="0"/>
      <w:divBdr>
        <w:top w:val="none" w:sz="0" w:space="0" w:color="auto"/>
        <w:left w:val="none" w:sz="0" w:space="0" w:color="auto"/>
        <w:bottom w:val="none" w:sz="0" w:space="0" w:color="auto"/>
        <w:right w:val="none" w:sz="0" w:space="0" w:color="auto"/>
      </w:divBdr>
      <w:divsChild>
        <w:div w:id="1003438981">
          <w:marLeft w:val="0"/>
          <w:marRight w:val="0"/>
          <w:marTop w:val="0"/>
          <w:marBottom w:val="0"/>
          <w:divBdr>
            <w:top w:val="none" w:sz="0" w:space="0" w:color="auto"/>
            <w:left w:val="none" w:sz="0" w:space="0" w:color="auto"/>
            <w:bottom w:val="none" w:sz="0" w:space="0" w:color="auto"/>
            <w:right w:val="none" w:sz="0" w:space="0" w:color="auto"/>
          </w:divBdr>
        </w:div>
        <w:div w:id="1466658253">
          <w:marLeft w:val="0"/>
          <w:marRight w:val="0"/>
          <w:marTop w:val="0"/>
          <w:marBottom w:val="0"/>
          <w:divBdr>
            <w:top w:val="none" w:sz="0" w:space="0" w:color="auto"/>
            <w:left w:val="none" w:sz="0" w:space="0" w:color="auto"/>
            <w:bottom w:val="none" w:sz="0" w:space="0" w:color="auto"/>
            <w:right w:val="none" w:sz="0" w:space="0" w:color="auto"/>
          </w:divBdr>
        </w:div>
        <w:div w:id="19069117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csmt.uchicago.edu/glossary2004/collectiveconsciousness.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2.bc.edu/marian-simion/th406/readings/0420anderson.pdf" TargetMode="External"/><Relationship Id="rId17" Type="http://schemas.openxmlformats.org/officeDocument/2006/relationships/hyperlink" Target="https://voxdev.org/topic/institutions-political-economy/drawing-line-short-and-long-term-consequences-partitioning-india" TargetMode="External"/><Relationship Id="rId2" Type="http://schemas.openxmlformats.org/officeDocument/2006/relationships/numbering" Target="numbering.xml"/><Relationship Id="rId16" Type="http://schemas.openxmlformats.org/officeDocument/2006/relationships/hyperlink" Target="https://www.india.gov.in/my-government/constitution-ind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ilitaryhistorynow.com/2014/01/08/barbed-wire-war-how-one-farmers-innovation-changed-the-battlefield/" TargetMode="External"/><Relationship Id="rId5" Type="http://schemas.openxmlformats.org/officeDocument/2006/relationships/webSettings" Target="webSettings.xml"/><Relationship Id="rId15" Type="http://schemas.openxmlformats.org/officeDocument/2006/relationships/hyperlink" Target="https://www.britannica.com/technology/telegraph" TargetMode="External"/><Relationship Id="rId10" Type="http://schemas.openxmlformats.org/officeDocument/2006/relationships/hyperlink" Target="https://www.britannica.com/technology/semapho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nthlyreview.org/2001/06/01/imperialism-and-globalization/" TargetMode="External"/><Relationship Id="rId14" Type="http://schemas.openxmlformats.org/officeDocument/2006/relationships/hyperlink" Target="http://www.ric.edu/faculty/rpotter/temp/geog_and_some.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india.gov.in/my-government/constitution-india" TargetMode="External"/><Relationship Id="rId3" Type="http://schemas.openxmlformats.org/officeDocument/2006/relationships/hyperlink" Target="https://www.britannica.com/technology/semaphore" TargetMode="External"/><Relationship Id="rId7" Type="http://schemas.openxmlformats.org/officeDocument/2006/relationships/hyperlink" Target="http://www.ric.edu/faculty/rpotter/temp/geog_and_some.html" TargetMode="External"/><Relationship Id="rId2" Type="http://schemas.openxmlformats.org/officeDocument/2006/relationships/hyperlink" Target="https://www.britannica.com/technology/telegraph" TargetMode="External"/><Relationship Id="rId1" Type="http://schemas.openxmlformats.org/officeDocument/2006/relationships/hyperlink" Target="https://monthlyreview.org/2001/06/01/imperialism-and-globalization/" TargetMode="External"/><Relationship Id="rId6" Type="http://schemas.openxmlformats.org/officeDocument/2006/relationships/hyperlink" Target="http://csmt.uchicago.edu/glossary2004/collectiveconsciousness.htm" TargetMode="External"/><Relationship Id="rId5" Type="http://schemas.openxmlformats.org/officeDocument/2006/relationships/hyperlink" Target="https://www2.bc.edu/marian-simion/th406/readings/0420anderson.pdf" TargetMode="External"/><Relationship Id="rId4" Type="http://schemas.openxmlformats.org/officeDocument/2006/relationships/hyperlink" Target="https://militaryhistorynow.com/2014/01/08/barbed-wire-war-how-one-farmers-innovation-changed-the-battlefield/" TargetMode="External"/><Relationship Id="rId9" Type="http://schemas.openxmlformats.org/officeDocument/2006/relationships/hyperlink" Target="https://voxdev.org/topic/institutions-political-economy/drawing-line-short-and-long-term-consequences-partitioning-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40AE0E-8145-4C6F-BFC5-20E64C242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jimbu</dc:creator>
  <cp:lastModifiedBy>jimbu</cp:lastModifiedBy>
  <cp:revision>12</cp:revision>
  <dcterms:created xsi:type="dcterms:W3CDTF">2018-05-14T18:23:00Z</dcterms:created>
  <dcterms:modified xsi:type="dcterms:W3CDTF">2018-05-14T21:03:00Z</dcterms:modified>
</cp:coreProperties>
</file>