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288" w:lineRule="auto"/>
        <w:jc w:val="center"/>
        <w:rPr>
          <w:rFonts w:ascii="Times New Roman" w:cs="Times New Roman" w:hAnsi="Times New Roman" w:eastAsia="Times New Roman"/>
          <w:b w:val="1"/>
          <w:bCs w:val="1"/>
          <w:sz w:val="30"/>
          <w:szCs w:val="30"/>
          <w:u w:val="single"/>
        </w:rPr>
      </w:pPr>
      <w:r>
        <w:rPr>
          <w:rFonts w:ascii="Times New Roman" w:hAnsi="Times New Roman"/>
          <w:b w:val="1"/>
          <w:bCs w:val="1"/>
          <w:sz w:val="30"/>
          <w:szCs w:val="30"/>
          <w:u w:val="single"/>
          <w:rtl w:val="0"/>
          <w:lang w:val="en-US"/>
        </w:rPr>
        <w:t>Lifestyle of the Rich and Famous</w:t>
      </w:r>
    </w:p>
    <w:p>
      <w:pPr>
        <w:pStyle w:val="Body"/>
        <w:spacing w:line="288" w:lineRule="auto"/>
        <w:jc w:val="center"/>
        <w:rPr>
          <w:rFonts w:ascii="Times New Roman" w:cs="Times New Roman" w:hAnsi="Times New Roman" w:eastAsia="Times New Roman"/>
          <w:sz w:val="30"/>
          <w:szCs w:val="30"/>
          <w:u w:val="single"/>
        </w:rPr>
      </w:pPr>
      <w:r>
        <w:rPr>
          <w:rFonts w:ascii="Times New Roman" w:hAnsi="Times New Roman"/>
          <w:sz w:val="30"/>
          <w:szCs w:val="30"/>
          <w:u w:val="single"/>
          <w:rtl w:val="0"/>
          <w:lang w:val="en-US"/>
        </w:rPr>
        <w:t>A Critical Analysis</w:t>
      </w:r>
    </w:p>
    <w:p>
      <w:pPr>
        <w:pStyle w:val="Body"/>
        <w:spacing w:line="288" w:lineRule="auto"/>
        <w:jc w:val="center"/>
        <w:rPr>
          <w:rFonts w:ascii="Times New Roman" w:cs="Times New Roman" w:hAnsi="Times New Roman" w:eastAsia="Times New Roman"/>
          <w:sz w:val="30"/>
          <w:szCs w:val="30"/>
          <w:u w:val="single"/>
        </w:rPr>
      </w:pPr>
    </w:p>
    <w:p>
      <w:pPr>
        <w:pStyle w:val="Body"/>
        <w:spacing w:line="288" w:lineRule="auto"/>
        <w:jc w:val="left"/>
        <w:rPr>
          <w:rFonts w:ascii="Times New Roman" w:cs="Times New Roman" w:hAnsi="Times New Roman" w:eastAsia="Times New Roman"/>
          <w:sz w:val="30"/>
          <w:szCs w:val="30"/>
          <w:u w:val="single"/>
        </w:rPr>
      </w:pPr>
      <w:r>
        <w:rPr>
          <w:rFonts w:ascii="Times New Roman" w:hAnsi="Times New Roman"/>
          <w:sz w:val="30"/>
          <w:szCs w:val="30"/>
          <w:u w:val="single"/>
          <w:rtl w:val="0"/>
          <w:lang w:val="en-US"/>
        </w:rPr>
        <w:t>Abstract:</w:t>
      </w:r>
    </w:p>
    <w:p>
      <w:pPr>
        <w:pStyle w:val="Body"/>
        <w:spacing w:line="288" w:lineRule="auto"/>
        <w:jc w:val="left"/>
        <w:rPr>
          <w:rFonts w:ascii="Times New Roman" w:cs="Times New Roman" w:hAnsi="Times New Roman" w:eastAsia="Times New Roman"/>
          <w:sz w:val="30"/>
          <w:szCs w:val="30"/>
        </w:rPr>
      </w:pPr>
      <w:r>
        <w:rPr>
          <w:rFonts w:ascii="Times New Roman" w:cs="Times New Roman" w:hAnsi="Times New Roman" w:eastAsia="Times New Roman"/>
          <w:sz w:val="30"/>
          <w:szCs w:val="30"/>
          <w:rtl w:val="0"/>
        </w:rPr>
        <w:tab/>
        <w:t>“</w:t>
      </w:r>
      <w:r>
        <w:rPr>
          <w:rFonts w:ascii="Times New Roman" w:hAnsi="Times New Roman"/>
          <w:i w:val="1"/>
          <w:iCs w:val="1"/>
          <w:sz w:val="30"/>
          <w:szCs w:val="30"/>
          <w:rtl w:val="0"/>
          <w:lang w:val="en-US"/>
        </w:rPr>
        <w:t>Lifestyle of the Rich and Famous</w:t>
      </w:r>
      <w:r>
        <w:rPr>
          <w:rFonts w:ascii="Times New Roman" w:hAnsi="Times New Roman" w:hint="default"/>
          <w:i w:val="1"/>
          <w:iCs w:val="1"/>
          <w:sz w:val="30"/>
          <w:szCs w:val="30"/>
          <w:rtl w:val="0"/>
          <w:lang w:val="en-US"/>
        </w:rPr>
        <w:t>”</w:t>
      </w:r>
      <w:r>
        <w:rPr>
          <w:rFonts w:ascii="Times New Roman" w:hAnsi="Times New Roman"/>
          <w:sz w:val="30"/>
          <w:szCs w:val="30"/>
          <w:rtl w:val="0"/>
          <w:lang w:val="en-US"/>
        </w:rPr>
        <w:t xml:space="preserve"> is a critical analysis of the elitist population of Rome at the beginning of the Roman Empire under the reign of Emperor Augustus. The main aim of this piece of academic work is to discuss and analyse, in detail, Rome</w:t>
      </w:r>
      <w:r>
        <w:rPr>
          <w:rFonts w:ascii="Times New Roman" w:hAnsi="Times New Roman" w:hint="default"/>
          <w:sz w:val="30"/>
          <w:szCs w:val="30"/>
          <w:rtl w:val="0"/>
          <w:lang w:val="en-US"/>
        </w:rPr>
        <w:t>’</w:t>
      </w:r>
      <w:r>
        <w:rPr>
          <w:rFonts w:ascii="Times New Roman" w:hAnsi="Times New Roman"/>
          <w:sz w:val="30"/>
          <w:szCs w:val="30"/>
          <w:rtl w:val="0"/>
          <w:lang w:val="en-US"/>
        </w:rPr>
        <w:t xml:space="preserve">s elitist population, in particular their lifestyles, how they would have conducted themselves in the public eye, and what role, if any, they would have had to play in the complex political game being played throughout the Roman Empire in its early days, whilst Augustus sought to strengthen his position as </w:t>
      </w:r>
      <w:r>
        <w:rPr>
          <w:rFonts w:ascii="Times New Roman" w:hAnsi="Times New Roman"/>
          <w:i w:val="1"/>
          <w:iCs w:val="1"/>
          <w:sz w:val="30"/>
          <w:szCs w:val="30"/>
          <w:rtl w:val="0"/>
          <w:lang w:val="en-US"/>
        </w:rPr>
        <w:t>Imperator.</w:t>
      </w:r>
      <w:r>
        <w:rPr>
          <w:rFonts w:ascii="Times New Roman" w:hAnsi="Times New Roman"/>
          <w:sz w:val="30"/>
          <w:szCs w:val="30"/>
          <w:rtl w:val="0"/>
          <w:lang w:val="en-US"/>
        </w:rPr>
        <w:t xml:space="preserve"> </w:t>
      </w:r>
    </w:p>
    <w:p>
      <w:pPr>
        <w:pStyle w:val="Body"/>
        <w:spacing w:line="288" w:lineRule="auto"/>
        <w:jc w:val="left"/>
        <w:rPr>
          <w:rFonts w:ascii="Times New Roman" w:cs="Times New Roman" w:hAnsi="Times New Roman" w:eastAsia="Times New Roman"/>
          <w:sz w:val="30"/>
          <w:szCs w:val="30"/>
        </w:rPr>
      </w:pPr>
      <w:r>
        <w:rPr>
          <w:rFonts w:ascii="Times New Roman" w:cs="Times New Roman" w:hAnsi="Times New Roman" w:eastAsia="Times New Roman"/>
          <w:sz w:val="30"/>
          <w:szCs w:val="30"/>
          <w:rtl w:val="0"/>
        </w:rPr>
        <w:tab/>
        <w:t>However, although mostly focusing on the beginning of the Roman Empire, there will also be some overlapping dates and political figures from the end of the Roman Republic, for example that of Cicero, who arguably is also a key famous figure within the Roman elite, as well as playing a part in the ongoing power struggle that Augustus faced to gain full control of what was to become the Roman Empire. Although predominantly a orator and a lawyer, Cicero also played a pivotal role in the political aspects of Roman society, famously positioning himself as an outspoken opponent of Mark Anthony during the conflicts that followed Julius Caesar</w:t>
      </w:r>
      <w:r>
        <w:rPr>
          <w:rFonts w:ascii="Times New Roman" w:hAnsi="Times New Roman" w:hint="default"/>
          <w:sz w:val="30"/>
          <w:szCs w:val="30"/>
          <w:rtl w:val="0"/>
          <w:lang w:val="en-US"/>
        </w:rPr>
        <w:t>’</w:t>
      </w:r>
      <w:r>
        <w:rPr>
          <w:rFonts w:ascii="Times New Roman" w:hAnsi="Times New Roman"/>
          <w:sz w:val="30"/>
          <w:szCs w:val="30"/>
          <w:rtl w:val="0"/>
          <w:lang w:val="en-US"/>
        </w:rPr>
        <w:t>s death, which would eventually lead to Augustus</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ascension into a political powerhouse. </w:t>
      </w:r>
    </w:p>
    <w:p>
      <w:pPr>
        <w:pStyle w:val="Body"/>
        <w:spacing w:line="288" w:lineRule="auto"/>
        <w:jc w:val="left"/>
        <w:rPr>
          <w:rFonts w:ascii="Times New Roman" w:cs="Times New Roman" w:hAnsi="Times New Roman" w:eastAsia="Times New Roman"/>
          <w:sz w:val="30"/>
          <w:szCs w:val="30"/>
        </w:rPr>
      </w:pPr>
      <w:r>
        <w:rPr>
          <w:rFonts w:ascii="Times New Roman" w:cs="Times New Roman" w:hAnsi="Times New Roman" w:eastAsia="Times New Roman"/>
          <w:sz w:val="30"/>
          <w:szCs w:val="30"/>
          <w:rtl w:val="0"/>
        </w:rPr>
        <w:tab/>
        <w:t>As well as this in depth study into the political role that the elite may have had, this academic work will also be looking into what could be the elite</w:t>
      </w:r>
      <w:r>
        <w:rPr>
          <w:rFonts w:ascii="Times New Roman" w:hAnsi="Times New Roman" w:hint="default"/>
          <w:sz w:val="30"/>
          <w:szCs w:val="30"/>
          <w:rtl w:val="0"/>
          <w:lang w:val="en-US"/>
        </w:rPr>
        <w:t>’</w:t>
      </w:r>
      <w:r>
        <w:rPr>
          <w:rFonts w:ascii="Times New Roman" w:hAnsi="Times New Roman"/>
          <w:sz w:val="30"/>
          <w:szCs w:val="30"/>
          <w:rtl w:val="0"/>
          <w:lang w:val="en-US"/>
        </w:rPr>
        <w:t xml:space="preserve">s more </w:t>
      </w:r>
      <w:r>
        <w:rPr>
          <w:rFonts w:ascii="Times New Roman" w:hAnsi="Times New Roman" w:hint="default"/>
          <w:sz w:val="30"/>
          <w:szCs w:val="30"/>
          <w:rtl w:val="0"/>
          <w:lang w:val="en-US"/>
        </w:rPr>
        <w:t>‘</w:t>
      </w:r>
      <w:r>
        <w:rPr>
          <w:rFonts w:ascii="Times New Roman" w:hAnsi="Times New Roman"/>
          <w:sz w:val="30"/>
          <w:szCs w:val="30"/>
          <w:rtl w:val="0"/>
          <w:lang w:val="en-US"/>
        </w:rPr>
        <w:t>private</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aspects of life. In particular, looking into the more general aspects of their lifestyles. This section of the piece of work will look to analyse how the Roman Elite during this era would conduct themselves during their </w:t>
      </w:r>
      <w:r>
        <w:rPr>
          <w:rFonts w:ascii="Times New Roman" w:hAnsi="Times New Roman" w:hint="default"/>
          <w:sz w:val="30"/>
          <w:szCs w:val="30"/>
          <w:rtl w:val="0"/>
          <w:lang w:val="en-US"/>
        </w:rPr>
        <w:t>“</w:t>
      </w:r>
      <w:r>
        <w:rPr>
          <w:rFonts w:ascii="Times New Roman" w:hAnsi="Times New Roman"/>
          <w:sz w:val="30"/>
          <w:szCs w:val="30"/>
          <w:rtl w:val="0"/>
          <w:lang w:val="en-US"/>
        </w:rPr>
        <w:t>free-time</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away from the public life. However, the term </w:t>
      </w:r>
      <w:r>
        <w:rPr>
          <w:rFonts w:ascii="Times New Roman" w:hAnsi="Times New Roman" w:hint="default"/>
          <w:sz w:val="30"/>
          <w:szCs w:val="30"/>
          <w:rtl w:val="0"/>
          <w:lang w:val="en-US"/>
        </w:rPr>
        <w:t>“</w:t>
      </w:r>
      <w:r>
        <w:rPr>
          <w:rFonts w:ascii="Times New Roman" w:hAnsi="Times New Roman"/>
          <w:sz w:val="30"/>
          <w:szCs w:val="30"/>
          <w:rtl w:val="0"/>
          <w:lang w:val="en-US"/>
        </w:rPr>
        <w:t>free-time</w:t>
      </w:r>
      <w:r>
        <w:rPr>
          <w:rFonts w:ascii="Times New Roman" w:hAnsi="Times New Roman" w:hint="default"/>
          <w:sz w:val="30"/>
          <w:szCs w:val="30"/>
          <w:rtl w:val="0"/>
          <w:lang w:val="en-US"/>
        </w:rPr>
        <w:t xml:space="preserve">” </w:t>
      </w:r>
      <w:r>
        <w:rPr>
          <w:rFonts w:ascii="Times New Roman" w:hAnsi="Times New Roman"/>
          <w:sz w:val="30"/>
          <w:szCs w:val="30"/>
          <w:rtl w:val="0"/>
          <w:lang w:val="en-US"/>
        </w:rPr>
        <w:t>is used loosely here, as this section will predominantly look at the banquets and symposiums which were a frequent occurrence in the life of the wealthier citizens of Rome. This section will also be detailing the importance of these banquets and symposiums in the elitist world, discussing whether they were simply a time for over-indulgence or if they were simply a political tool to ascertain political dominance.</w:t>
      </w:r>
    </w:p>
    <w:p>
      <w:pPr>
        <w:pStyle w:val="Body"/>
        <w:spacing w:line="288" w:lineRule="auto"/>
        <w:jc w:val="left"/>
        <w:rPr>
          <w:rFonts w:ascii="Times New Roman" w:cs="Times New Roman" w:hAnsi="Times New Roman" w:eastAsia="Times New Roman"/>
          <w:sz w:val="30"/>
          <w:szCs w:val="30"/>
        </w:rPr>
      </w:pPr>
      <w:r>
        <w:rPr>
          <w:rFonts w:ascii="Times New Roman" w:cs="Times New Roman" w:hAnsi="Times New Roman" w:eastAsia="Times New Roman"/>
          <w:sz w:val="30"/>
          <w:szCs w:val="30"/>
          <w:rtl w:val="0"/>
        </w:rPr>
        <w:tab/>
        <w:t xml:space="preserve">Finally, this academic work will seek to study the more public lifestyle of the elitists of Rome, specifically how they would conduct themselves in the public eye. This section will seek to answer whether the Elitists would have continued to have displayed a life of luxury and indulgence outwardly when in public, or, perhaps for political reasons, a sense of modesty on these matters to gain the favour of the people, the plebs, so as to stand in good light among the lower classes of Roman society. </w:t>
      </w:r>
    </w:p>
    <w:p>
      <w:pPr>
        <w:pStyle w:val="Body"/>
        <w:spacing w:line="288" w:lineRule="auto"/>
        <w:jc w:val="left"/>
        <w:rPr>
          <w:rFonts w:ascii="Times New Roman" w:cs="Times New Roman" w:hAnsi="Times New Roman" w:eastAsia="Times New Roman"/>
          <w:sz w:val="30"/>
          <w:szCs w:val="30"/>
        </w:rPr>
      </w:pPr>
      <w:r>
        <w:rPr>
          <w:rFonts w:ascii="Times New Roman" w:cs="Times New Roman" w:hAnsi="Times New Roman" w:eastAsia="Times New Roman"/>
          <w:sz w:val="30"/>
          <w:szCs w:val="30"/>
          <w:rtl w:val="0"/>
        </w:rPr>
        <w:tab/>
        <w:t>The overall outcome of this critical analysis will be to highlight the various aspects of the lifestyles of the Roman Elite during this time period. To come to a decisive conclusion as to whether the elite were a hubristic breed, looking to flaunt their wealth, or whether there was a much more important political gain to be made from this lavish lifestyle.</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u w:val="single"/>
        </w:rPr>
      </w:pPr>
      <w:r>
        <w:rPr>
          <w:rFonts w:ascii="Times New Roman" w:hAnsi="Times New Roman"/>
          <w:sz w:val="30"/>
          <w:szCs w:val="30"/>
          <w:u w:val="single"/>
          <w:rtl w:val="0"/>
          <w:lang w:val="en-US"/>
        </w:rPr>
        <w:t>Bibliography</w:t>
      </w:r>
    </w:p>
    <w:p>
      <w:pPr>
        <w:pStyle w:val="Body"/>
        <w:spacing w:line="288" w:lineRule="auto"/>
        <w:jc w:val="left"/>
        <w:rPr>
          <w:rFonts w:ascii="Times New Roman" w:cs="Times New Roman" w:hAnsi="Times New Roman" w:eastAsia="Times New Roman"/>
          <w:sz w:val="30"/>
          <w:szCs w:val="30"/>
          <w:u w:val="single"/>
        </w:rPr>
      </w:pPr>
      <w:r>
        <w:rPr>
          <w:rFonts w:ascii="Times New Roman" w:hAnsi="Times New Roman"/>
          <w:sz w:val="30"/>
          <w:szCs w:val="30"/>
          <w:u w:val="single"/>
          <w:rtl w:val="0"/>
          <w:lang w:val="en-US"/>
        </w:rPr>
        <w:t>Ancient Sources</w:t>
      </w: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Cassius Dio, </w:t>
      </w:r>
      <w:r>
        <w:rPr>
          <w:rFonts w:ascii="Times New Roman" w:hAnsi="Times New Roman"/>
          <w:i w:val="1"/>
          <w:iCs w:val="1"/>
          <w:sz w:val="30"/>
          <w:szCs w:val="30"/>
          <w:rtl w:val="0"/>
          <w:lang w:val="en-US"/>
        </w:rPr>
        <w:t xml:space="preserve">The Roman History: The Reign of Augustus. </w:t>
      </w:r>
      <w:r>
        <w:rPr>
          <w:rFonts w:ascii="Times New Roman" w:hAnsi="Times New Roman"/>
          <w:sz w:val="30"/>
          <w:szCs w:val="30"/>
          <w:rtl w:val="0"/>
          <w:lang w:val="en-US"/>
        </w:rPr>
        <w:t>I. Scott-Kilvert (trans.). 1987. London: The Penguin Group.</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Plutarch, </w:t>
      </w:r>
      <w:r>
        <w:rPr>
          <w:rFonts w:ascii="Times New Roman" w:hAnsi="Times New Roman"/>
          <w:i w:val="1"/>
          <w:iCs w:val="1"/>
          <w:sz w:val="30"/>
          <w:szCs w:val="30"/>
          <w:rtl w:val="0"/>
          <w:lang w:val="en-US"/>
        </w:rPr>
        <w:t xml:space="preserve">The Life of Cicero. </w:t>
      </w:r>
      <w:r>
        <w:rPr>
          <w:rFonts w:ascii="Times New Roman" w:hAnsi="Times New Roman"/>
          <w:sz w:val="30"/>
          <w:szCs w:val="30"/>
          <w:rtl w:val="0"/>
          <w:lang w:val="en-US"/>
        </w:rPr>
        <w:t>J. L. Moles (trans.). 1989. Warminster: Aris &amp; Phillips.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Suetonius, </w:t>
      </w:r>
      <w:r>
        <w:rPr>
          <w:rFonts w:ascii="Times New Roman" w:hAnsi="Times New Roman"/>
          <w:i w:val="1"/>
          <w:iCs w:val="1"/>
          <w:sz w:val="30"/>
          <w:szCs w:val="30"/>
          <w:rtl w:val="0"/>
          <w:lang w:val="en-US"/>
        </w:rPr>
        <w:t xml:space="preserve">The Twelve Caesars. </w:t>
      </w:r>
      <w:r>
        <w:rPr>
          <w:rFonts w:ascii="Times New Roman" w:hAnsi="Times New Roman"/>
          <w:sz w:val="30"/>
          <w:szCs w:val="30"/>
          <w:rtl w:val="0"/>
          <w:lang w:val="en-US"/>
        </w:rPr>
        <w:t>R. Graves (trans.). 2007. London: The Penguin Group.</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Tacitus, </w:t>
      </w:r>
      <w:r>
        <w:rPr>
          <w:rFonts w:ascii="Times New Roman" w:hAnsi="Times New Roman"/>
          <w:i w:val="1"/>
          <w:iCs w:val="1"/>
          <w:sz w:val="30"/>
          <w:szCs w:val="30"/>
          <w:rtl w:val="0"/>
          <w:lang w:val="en-US"/>
        </w:rPr>
        <w:t xml:space="preserve">The Agricola and The Germania. </w:t>
      </w:r>
      <w:r>
        <w:rPr>
          <w:rFonts w:ascii="Times New Roman" w:hAnsi="Times New Roman"/>
          <w:sz w:val="30"/>
          <w:szCs w:val="30"/>
          <w:rtl w:val="0"/>
          <w:lang w:val="en-US"/>
        </w:rPr>
        <w:t>H. Mattingly (trans.). S. A. Handford (revised trans.). 1970. London: The Penguin Group.</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Tacitus, </w:t>
      </w:r>
      <w:r>
        <w:rPr>
          <w:rFonts w:ascii="Times New Roman" w:hAnsi="Times New Roman"/>
          <w:i w:val="1"/>
          <w:iCs w:val="1"/>
          <w:sz w:val="30"/>
          <w:szCs w:val="30"/>
          <w:rtl w:val="0"/>
          <w:lang w:val="en-US"/>
        </w:rPr>
        <w:t xml:space="preserve">The Annals of Imperial Rome. </w:t>
      </w:r>
      <w:r>
        <w:rPr>
          <w:rFonts w:ascii="Times New Roman" w:hAnsi="Times New Roman"/>
          <w:sz w:val="30"/>
          <w:szCs w:val="30"/>
          <w:rtl w:val="0"/>
          <w:lang w:val="en-US"/>
        </w:rPr>
        <w:t>M. Grant (trans.). London: The Penguin Group.</w:t>
      </w:r>
    </w:p>
    <w:p>
      <w:pPr>
        <w:pStyle w:val="Body"/>
        <w:spacing w:line="288" w:lineRule="auto"/>
        <w:jc w:val="left"/>
        <w:rPr>
          <w:rFonts w:ascii="Times New Roman" w:cs="Times New Roman" w:hAnsi="Times New Roman" w:eastAsia="Times New Roman"/>
          <w:sz w:val="30"/>
          <w:szCs w:val="30"/>
          <w:u w:val="single"/>
        </w:rPr>
      </w:pPr>
    </w:p>
    <w:p>
      <w:pPr>
        <w:pStyle w:val="Body"/>
        <w:spacing w:line="288" w:lineRule="auto"/>
        <w:jc w:val="left"/>
        <w:rPr>
          <w:rFonts w:ascii="Times New Roman" w:cs="Times New Roman" w:hAnsi="Times New Roman" w:eastAsia="Times New Roman"/>
          <w:sz w:val="30"/>
          <w:szCs w:val="30"/>
          <w:u w:val="single"/>
        </w:rPr>
      </w:pPr>
      <w:r>
        <w:rPr>
          <w:rFonts w:ascii="Times New Roman" w:hAnsi="Times New Roman"/>
          <w:sz w:val="30"/>
          <w:szCs w:val="30"/>
          <w:u w:val="single"/>
          <w:rtl w:val="0"/>
          <w:lang w:val="en-US"/>
        </w:rPr>
        <w:t>Modern Scholarship</w:t>
      </w: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Bleicken, J. 2010. </w:t>
      </w:r>
      <w:r>
        <w:rPr>
          <w:rFonts w:ascii="Times New Roman" w:hAnsi="Times New Roman"/>
          <w:i w:val="1"/>
          <w:iCs w:val="1"/>
          <w:sz w:val="30"/>
          <w:szCs w:val="30"/>
          <w:rtl w:val="0"/>
          <w:lang w:val="en-US"/>
        </w:rPr>
        <w:t xml:space="preserve">Augustus: Eine Biographie. </w:t>
      </w:r>
      <w:r>
        <w:rPr>
          <w:rFonts w:ascii="Times New Roman" w:hAnsi="Times New Roman"/>
          <w:sz w:val="30"/>
          <w:szCs w:val="30"/>
          <w:rtl w:val="0"/>
          <w:lang w:val="en-US"/>
        </w:rPr>
        <w:t>Berlin: Rowohlt Taschenbuch.</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Boardman, J., Griffin, J. &amp; Murray, O. 2001. </w:t>
      </w:r>
      <w:r>
        <w:rPr>
          <w:rFonts w:ascii="Times New Roman" w:hAnsi="Times New Roman"/>
          <w:i w:val="1"/>
          <w:iCs w:val="1"/>
          <w:sz w:val="30"/>
          <w:szCs w:val="30"/>
          <w:rtl w:val="0"/>
          <w:lang w:val="en-US"/>
        </w:rPr>
        <w:t xml:space="preserve">The Oxford History of the Roman World. </w:t>
      </w:r>
      <w:r>
        <w:rPr>
          <w:rFonts w:ascii="Times New Roman" w:hAnsi="Times New Roman"/>
          <w:sz w:val="30"/>
          <w:szCs w:val="30"/>
          <w:rtl w:val="0"/>
          <w:lang w:val="en-US"/>
        </w:rPr>
        <w:t>Oxford: Oxford University Press.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Buchan, J. 1937. </w:t>
      </w:r>
      <w:r>
        <w:rPr>
          <w:rFonts w:ascii="Times New Roman" w:hAnsi="Times New Roman"/>
          <w:i w:val="1"/>
          <w:iCs w:val="1"/>
          <w:sz w:val="30"/>
          <w:szCs w:val="30"/>
          <w:rtl w:val="0"/>
          <w:lang w:val="en-US"/>
        </w:rPr>
        <w:t xml:space="preserve">Augustus. </w:t>
      </w:r>
      <w:r>
        <w:rPr>
          <w:rFonts w:ascii="Times New Roman" w:hAnsi="Times New Roman"/>
          <w:sz w:val="30"/>
          <w:szCs w:val="30"/>
          <w:rtl w:val="0"/>
          <w:lang w:val="en-US"/>
        </w:rPr>
        <w:t>Boston: Houghton Mifflin.</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Cary, M. &amp; Scullard, H. H. 1986. </w:t>
      </w:r>
      <w:r>
        <w:rPr>
          <w:rFonts w:ascii="Times New Roman" w:hAnsi="Times New Roman"/>
          <w:i w:val="1"/>
          <w:iCs w:val="1"/>
          <w:sz w:val="30"/>
          <w:szCs w:val="30"/>
          <w:rtl w:val="0"/>
          <w:lang w:val="en-US"/>
        </w:rPr>
        <w:t xml:space="preserve">A History of Rome. </w:t>
      </w:r>
      <w:r>
        <w:rPr>
          <w:rFonts w:ascii="Times New Roman" w:hAnsi="Times New Roman"/>
          <w:sz w:val="30"/>
          <w:szCs w:val="30"/>
          <w:rtl w:val="0"/>
          <w:lang w:val="en-US"/>
        </w:rPr>
        <w:t>Basingstoke: Macmillan Education LTD.</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Connolly, P. &amp; Dodge, H. 2001. </w:t>
      </w:r>
      <w:r>
        <w:rPr>
          <w:rFonts w:ascii="Times New Roman" w:hAnsi="Times New Roman"/>
          <w:i w:val="1"/>
          <w:iCs w:val="1"/>
          <w:sz w:val="30"/>
          <w:szCs w:val="30"/>
          <w:rtl w:val="0"/>
          <w:lang w:val="en-US"/>
        </w:rPr>
        <w:t>The Ancient City.</w:t>
      </w:r>
      <w:r>
        <w:rPr>
          <w:rFonts w:ascii="Times New Roman" w:hAnsi="Times New Roman"/>
          <w:sz w:val="30"/>
          <w:szCs w:val="30"/>
          <w:rtl w:val="0"/>
          <w:lang w:val="en-US"/>
        </w:rPr>
        <w:t xml:space="preserve"> Oxford: Oxford University Press.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Cotterell, A. (ed.). 1980. </w:t>
      </w:r>
      <w:r>
        <w:rPr>
          <w:rFonts w:ascii="Times New Roman" w:hAnsi="Times New Roman"/>
          <w:i w:val="1"/>
          <w:iCs w:val="1"/>
          <w:sz w:val="30"/>
          <w:szCs w:val="30"/>
          <w:rtl w:val="0"/>
          <w:lang w:val="en-US"/>
        </w:rPr>
        <w:t xml:space="preserve">The Penguin Encyclopedia of Ancient Civilisations. </w:t>
      </w:r>
      <w:r>
        <w:rPr>
          <w:rFonts w:ascii="Times New Roman" w:hAnsi="Times New Roman"/>
          <w:sz w:val="30"/>
          <w:szCs w:val="30"/>
          <w:rtl w:val="0"/>
          <w:lang w:val="en-US"/>
        </w:rPr>
        <w:t>London: The Penguin Group.</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Crawford, M. 1992. </w:t>
      </w:r>
      <w:r>
        <w:rPr>
          <w:rFonts w:ascii="Times New Roman" w:hAnsi="Times New Roman"/>
          <w:i w:val="1"/>
          <w:iCs w:val="1"/>
          <w:sz w:val="30"/>
          <w:szCs w:val="30"/>
          <w:rtl w:val="0"/>
          <w:lang w:val="en-US"/>
        </w:rPr>
        <w:t xml:space="preserve">The Roman Republic. </w:t>
      </w:r>
      <w:r>
        <w:rPr>
          <w:rFonts w:ascii="Times New Roman" w:hAnsi="Times New Roman"/>
          <w:sz w:val="30"/>
          <w:szCs w:val="30"/>
          <w:rtl w:val="0"/>
          <w:lang w:val="en-US"/>
        </w:rPr>
        <w:t>London: Harper Collins Publishers.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Eck, W. 2007. </w:t>
      </w:r>
      <w:r>
        <w:rPr>
          <w:rFonts w:ascii="Times New Roman" w:hAnsi="Times New Roman"/>
          <w:i w:val="1"/>
          <w:iCs w:val="1"/>
          <w:sz w:val="30"/>
          <w:szCs w:val="30"/>
          <w:rtl w:val="0"/>
          <w:lang w:val="en-US"/>
        </w:rPr>
        <w:t xml:space="preserve">The Age of Augustus. </w:t>
      </w:r>
      <w:r>
        <w:rPr>
          <w:rFonts w:ascii="Times New Roman" w:hAnsi="Times New Roman"/>
          <w:sz w:val="30"/>
          <w:szCs w:val="30"/>
          <w:rtl w:val="0"/>
          <w:lang w:val="en-US"/>
        </w:rPr>
        <w:t>Hoboken: Wiley-Blackwell.</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Holland, T. 2009. </w:t>
      </w:r>
      <w:r>
        <w:rPr>
          <w:rFonts w:ascii="Times New Roman" w:hAnsi="Times New Roman"/>
          <w:i w:val="1"/>
          <w:iCs w:val="1"/>
          <w:sz w:val="30"/>
          <w:szCs w:val="30"/>
          <w:rtl w:val="0"/>
          <w:lang w:val="en-US"/>
        </w:rPr>
        <w:t xml:space="preserve">Rubicon. </w:t>
      </w:r>
      <w:r>
        <w:rPr>
          <w:rFonts w:ascii="Times New Roman" w:hAnsi="Times New Roman"/>
          <w:sz w:val="30"/>
          <w:szCs w:val="30"/>
          <w:rtl w:val="0"/>
          <w:lang w:val="en-US"/>
        </w:rPr>
        <w:t>London: Abacus.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Jones, A. H. M. 1970. </w:t>
      </w:r>
      <w:r>
        <w:rPr>
          <w:rFonts w:ascii="Times New Roman" w:hAnsi="Times New Roman"/>
          <w:i w:val="1"/>
          <w:iCs w:val="1"/>
          <w:sz w:val="30"/>
          <w:szCs w:val="30"/>
          <w:rtl w:val="0"/>
          <w:lang w:val="en-US"/>
        </w:rPr>
        <w:t xml:space="preserve">Augustus. </w:t>
      </w:r>
      <w:r>
        <w:rPr>
          <w:rFonts w:ascii="Times New Roman" w:hAnsi="Times New Roman"/>
          <w:sz w:val="30"/>
          <w:szCs w:val="30"/>
          <w:rtl w:val="0"/>
          <w:lang w:val="en-US"/>
        </w:rPr>
        <w:t>London: Chatto &amp; Windus.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Radice, B. 1973. </w:t>
      </w:r>
      <w:r>
        <w:rPr>
          <w:rFonts w:ascii="Times New Roman" w:hAnsi="Times New Roman"/>
          <w:i w:val="1"/>
          <w:iCs w:val="1"/>
          <w:sz w:val="30"/>
          <w:szCs w:val="30"/>
          <w:rtl w:val="0"/>
          <w:lang w:val="en-US"/>
        </w:rPr>
        <w:t>Who</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 xml:space="preserve">s Who in the Ancient World. </w:t>
      </w:r>
      <w:r>
        <w:rPr>
          <w:rFonts w:ascii="Times New Roman" w:hAnsi="Times New Roman"/>
          <w:sz w:val="30"/>
          <w:szCs w:val="30"/>
          <w:rtl w:val="0"/>
          <w:lang w:val="en-US"/>
        </w:rPr>
        <w:t>London: The Penguin Group.</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Roberts, J. 2007. </w:t>
      </w:r>
      <w:r>
        <w:rPr>
          <w:rFonts w:ascii="Times New Roman" w:hAnsi="Times New Roman"/>
          <w:i w:val="1"/>
          <w:iCs w:val="1"/>
          <w:sz w:val="30"/>
          <w:szCs w:val="30"/>
          <w:rtl w:val="0"/>
          <w:lang w:val="en-US"/>
        </w:rPr>
        <w:t xml:space="preserve">Oxford Dictionary of the Classical World. </w:t>
      </w:r>
      <w:r>
        <w:rPr>
          <w:rFonts w:ascii="Times New Roman" w:hAnsi="Times New Roman"/>
          <w:sz w:val="30"/>
          <w:szCs w:val="30"/>
          <w:rtl w:val="0"/>
          <w:lang w:val="en-US"/>
        </w:rPr>
        <w:t>Oxford: Oxford University Press.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Syme, R. 2002. </w:t>
      </w:r>
      <w:r>
        <w:rPr>
          <w:rFonts w:ascii="Times New Roman" w:hAnsi="Times New Roman"/>
          <w:i w:val="1"/>
          <w:iCs w:val="1"/>
          <w:sz w:val="30"/>
          <w:szCs w:val="30"/>
          <w:rtl w:val="0"/>
          <w:lang w:val="en-US"/>
        </w:rPr>
        <w:t xml:space="preserve">The Roman Revolution. </w:t>
      </w:r>
      <w:r>
        <w:rPr>
          <w:rFonts w:ascii="Times New Roman" w:hAnsi="Times New Roman"/>
          <w:sz w:val="30"/>
          <w:szCs w:val="30"/>
          <w:rtl w:val="0"/>
          <w:lang w:val="en-US"/>
        </w:rPr>
        <w:t>Oxford: Oxford University Press.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Tozan, M. 2016. </w:t>
      </w:r>
      <w:r>
        <w:rPr>
          <w:rFonts w:ascii="Times New Roman" w:hAnsi="Times New Roman"/>
          <w:i w:val="1"/>
          <w:iCs w:val="1"/>
          <w:sz w:val="30"/>
          <w:szCs w:val="30"/>
          <w:rtl w:val="0"/>
          <w:lang w:val="en-US"/>
        </w:rPr>
        <w:t>CICERO'NUN CILICIA VAL</w:t>
      </w:r>
      <w:r>
        <w:rPr>
          <w:rFonts w:ascii="Times New Roman" w:hAnsi="Times New Roman" w:hint="default"/>
          <w:i w:val="1"/>
          <w:iCs w:val="1"/>
          <w:sz w:val="30"/>
          <w:szCs w:val="30"/>
          <w:rtl w:val="0"/>
        </w:rPr>
        <w:t>İ</w:t>
      </w:r>
      <w:r>
        <w:rPr>
          <w:rFonts w:ascii="Times New Roman" w:hAnsi="Times New Roman"/>
          <w:i w:val="1"/>
          <w:iCs w:val="1"/>
          <w:sz w:val="30"/>
          <w:szCs w:val="30"/>
          <w:rtl w:val="0"/>
        </w:rPr>
        <w:t>L</w:t>
      </w:r>
      <w:r>
        <w:rPr>
          <w:rFonts w:ascii="Times New Roman" w:hAnsi="Times New Roman" w:hint="default"/>
          <w:i w:val="1"/>
          <w:iCs w:val="1"/>
          <w:sz w:val="30"/>
          <w:szCs w:val="30"/>
          <w:rtl w:val="0"/>
        </w:rPr>
        <w:t>İĞİ</w:t>
      </w:r>
      <w:r>
        <w:rPr>
          <w:rFonts w:ascii="Times New Roman" w:hAnsi="Times New Roman"/>
          <w:i w:val="1"/>
          <w:iCs w:val="1"/>
          <w:sz w:val="30"/>
          <w:szCs w:val="30"/>
          <w:rtl w:val="0"/>
          <w:lang w:val="en-US"/>
        </w:rPr>
        <w:t xml:space="preserve">. (The Cilician Governorship of Cicero). </w:t>
      </w:r>
      <w:r>
        <w:rPr>
          <w:rFonts w:ascii="Times New Roman" w:hAnsi="Times New Roman"/>
          <w:sz w:val="30"/>
          <w:szCs w:val="30"/>
          <w:rtl w:val="0"/>
          <w:lang w:val="en-US"/>
        </w:rPr>
        <w:t>CEDRUS</w:t>
      </w:r>
    </w:p>
    <w:p>
      <w:pPr>
        <w:pStyle w:val="Body"/>
        <w:spacing w:line="288" w:lineRule="auto"/>
        <w:jc w:val="left"/>
        <w:rPr>
          <w:rFonts w:ascii="Times New Roman" w:cs="Times New Roman" w:hAnsi="Times New Roman" w:eastAsia="Times New Roman"/>
          <w:sz w:val="30"/>
          <w:szCs w:val="30"/>
        </w:rPr>
      </w:pPr>
    </w:p>
    <w:p>
      <w:pPr>
        <w:pStyle w:val="Body"/>
        <w:spacing w:line="288" w:lineRule="auto"/>
        <w:jc w:val="left"/>
        <w:rPr>
          <w:rFonts w:ascii="Times New Roman" w:cs="Times New Roman" w:hAnsi="Times New Roman" w:eastAsia="Times New Roman"/>
          <w:sz w:val="30"/>
          <w:szCs w:val="30"/>
        </w:rPr>
      </w:pPr>
      <w:r>
        <w:rPr>
          <w:rFonts w:ascii="Times New Roman" w:hAnsi="Times New Roman"/>
          <w:sz w:val="30"/>
          <w:szCs w:val="30"/>
          <w:rtl w:val="0"/>
          <w:lang w:val="en-US"/>
        </w:rPr>
        <w:t xml:space="preserve">Wallace-Hadrill, A. 2014. </w:t>
      </w:r>
      <w:r>
        <w:rPr>
          <w:rFonts w:ascii="Times New Roman" w:hAnsi="Times New Roman"/>
          <w:i w:val="1"/>
          <w:iCs w:val="1"/>
          <w:sz w:val="30"/>
          <w:szCs w:val="30"/>
          <w:rtl w:val="0"/>
          <w:lang w:val="en-US"/>
        </w:rPr>
        <w:t xml:space="preserve">Augustan Rome. </w:t>
      </w:r>
      <w:r>
        <w:rPr>
          <w:rFonts w:ascii="Times New Roman" w:hAnsi="Times New Roman"/>
          <w:sz w:val="30"/>
          <w:szCs w:val="30"/>
          <w:rtl w:val="0"/>
          <w:lang w:val="en-US"/>
        </w:rPr>
        <w:t>London: Bloomsbury Publishing PLC.</w:t>
      </w:r>
    </w:p>
    <w:p>
      <w:pPr>
        <w:pStyle w:val="Body"/>
        <w:spacing w:line="288" w:lineRule="auto"/>
        <w:jc w:val="left"/>
      </w:pPr>
      <w:r>
        <w:rPr>
          <w:rFonts w:ascii="Times New Roman" w:cs="Times New Roman" w:hAnsi="Times New Roman" w:eastAsia="Times New Roman"/>
          <w:sz w:val="30"/>
          <w:szCs w:val="3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