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834EED" w14:textId="77777777" w:rsidR="005E1ECD" w:rsidRDefault="005E1ECD" w:rsidP="005E1ECD">
      <w:pPr>
        <w:pStyle w:val="Normal1"/>
        <w:spacing w:line="480" w:lineRule="auto"/>
      </w:pPr>
    </w:p>
    <w:p w14:paraId="6D77CE4F" w14:textId="77777777" w:rsidR="005E1ECD" w:rsidRDefault="005E1ECD" w:rsidP="005E1ECD">
      <w:pPr>
        <w:pStyle w:val="Normal1"/>
        <w:spacing w:line="480" w:lineRule="auto"/>
      </w:pPr>
    </w:p>
    <w:p w14:paraId="2832A257" w14:textId="77777777" w:rsidR="005E1ECD" w:rsidRDefault="005E1ECD" w:rsidP="005E1ECD">
      <w:pPr>
        <w:pStyle w:val="Normal1"/>
        <w:spacing w:line="480" w:lineRule="auto"/>
      </w:pPr>
    </w:p>
    <w:p w14:paraId="398A9DFA" w14:textId="77777777" w:rsidR="005E1ECD" w:rsidRDefault="005E1ECD" w:rsidP="005E1ECD">
      <w:pPr>
        <w:pStyle w:val="Normal1"/>
        <w:spacing w:line="480" w:lineRule="auto"/>
      </w:pPr>
    </w:p>
    <w:p w14:paraId="15DB4668" w14:textId="77777777" w:rsidR="005E1ECD" w:rsidRDefault="005E1ECD" w:rsidP="005E1ECD">
      <w:pPr>
        <w:pStyle w:val="Normal1"/>
        <w:spacing w:line="480" w:lineRule="auto"/>
        <w:jc w:val="center"/>
      </w:pPr>
    </w:p>
    <w:p w14:paraId="1828BB4E" w14:textId="77777777" w:rsidR="005E1ECD" w:rsidRDefault="005E1ECD" w:rsidP="005E1ECD">
      <w:pPr>
        <w:pStyle w:val="a3"/>
        <w:spacing w:line="480" w:lineRule="auto"/>
        <w:jc w:val="center"/>
        <w:rPr>
          <w:b/>
          <w:sz w:val="40"/>
          <w:szCs w:val="40"/>
        </w:rPr>
      </w:pPr>
      <w:bookmarkStart w:id="0" w:name="_7o1jdjiekhnn" w:colFirst="0" w:colLast="0"/>
      <w:bookmarkEnd w:id="0"/>
      <w:r>
        <w:rPr>
          <w:b/>
          <w:sz w:val="40"/>
          <w:szCs w:val="40"/>
        </w:rPr>
        <w:t xml:space="preserve">Module Name: Sustainable Hospitality &amp; Tourism Management   </w:t>
      </w:r>
    </w:p>
    <w:p w14:paraId="6DA669AA" w14:textId="77777777" w:rsidR="005E1ECD" w:rsidRDefault="005E1ECD" w:rsidP="005E1ECD">
      <w:pPr>
        <w:pStyle w:val="a3"/>
        <w:spacing w:line="480" w:lineRule="auto"/>
        <w:jc w:val="center"/>
        <w:rPr>
          <w:b/>
          <w:sz w:val="40"/>
          <w:szCs w:val="40"/>
        </w:rPr>
      </w:pPr>
      <w:r>
        <w:rPr>
          <w:b/>
          <w:sz w:val="40"/>
          <w:szCs w:val="40"/>
        </w:rPr>
        <w:t>BMIH5006</w:t>
      </w:r>
    </w:p>
    <w:p w14:paraId="24307FCB" w14:textId="77777777" w:rsidR="005E1ECD" w:rsidRDefault="005E1ECD" w:rsidP="005E1ECD">
      <w:pPr>
        <w:pStyle w:val="a3"/>
        <w:spacing w:line="480" w:lineRule="auto"/>
        <w:jc w:val="center"/>
        <w:rPr>
          <w:b/>
          <w:sz w:val="40"/>
          <w:szCs w:val="40"/>
        </w:rPr>
      </w:pPr>
      <w:bookmarkStart w:id="1" w:name="_gt3qlj4kemya" w:colFirst="0" w:colLast="0"/>
      <w:bookmarkEnd w:id="1"/>
      <w:r>
        <w:rPr>
          <w:b/>
          <w:sz w:val="40"/>
          <w:szCs w:val="40"/>
        </w:rPr>
        <w:t>Student Name: Tatiana Raileanu</w:t>
      </w:r>
    </w:p>
    <w:p w14:paraId="73A34AE9" w14:textId="77777777" w:rsidR="005E1ECD" w:rsidRDefault="005E1ECD" w:rsidP="005E1ECD">
      <w:pPr>
        <w:pStyle w:val="a3"/>
        <w:spacing w:line="480" w:lineRule="auto"/>
        <w:jc w:val="center"/>
        <w:rPr>
          <w:b/>
          <w:sz w:val="40"/>
          <w:szCs w:val="40"/>
        </w:rPr>
      </w:pPr>
      <w:bookmarkStart w:id="2" w:name="_aqa7qxg4kx2j" w:colFirst="0" w:colLast="0"/>
      <w:bookmarkEnd w:id="2"/>
      <w:r>
        <w:rPr>
          <w:b/>
          <w:sz w:val="40"/>
          <w:szCs w:val="40"/>
        </w:rPr>
        <w:t>Student ID:2211942</w:t>
      </w:r>
      <w:r>
        <w:br w:type="page"/>
      </w:r>
    </w:p>
    <w:p w14:paraId="5A7DC760" w14:textId="77777777" w:rsidR="005E1ECD" w:rsidRPr="00120AA4" w:rsidRDefault="005E1ECD" w:rsidP="005E1ECD">
      <w:pPr>
        <w:keepNext/>
        <w:keepLines/>
        <w:spacing w:before="400" w:after="120" w:line="480" w:lineRule="auto"/>
        <w:outlineLvl w:val="0"/>
        <w:rPr>
          <w:b/>
          <w:sz w:val="28"/>
          <w:szCs w:val="28"/>
          <w:lang w:val="en-GB" w:eastAsia="en-IN"/>
        </w:rPr>
      </w:pPr>
      <w:bookmarkStart w:id="3" w:name="_1v9y3l47p5qi" w:colFirst="0" w:colLast="0"/>
      <w:bookmarkEnd w:id="3"/>
      <w:r w:rsidRPr="00120AA4">
        <w:rPr>
          <w:b/>
          <w:sz w:val="28"/>
          <w:szCs w:val="28"/>
          <w:lang w:val="en-GB" w:eastAsia="en-IN"/>
        </w:rPr>
        <w:lastRenderedPageBreak/>
        <w:t xml:space="preserve">Introduction </w:t>
      </w:r>
    </w:p>
    <w:p w14:paraId="26569C19" w14:textId="77777777" w:rsidR="005E1ECD" w:rsidRPr="00120AA4" w:rsidRDefault="005E1ECD" w:rsidP="005E1ECD">
      <w:pPr>
        <w:spacing w:after="0" w:line="480" w:lineRule="auto"/>
        <w:rPr>
          <w:lang w:val="en-GB" w:eastAsia="en-IN"/>
        </w:rPr>
      </w:pPr>
      <w:r w:rsidRPr="00120AA4">
        <w:rPr>
          <w:lang w:val="en-GB" w:eastAsia="en-IN"/>
        </w:rPr>
        <w:t xml:space="preserve">Companies these days are increasing their focus on maintaining corporate social responsibility, whether it is to mitigate women’s pay rights or to evaluate the strategies for better impact on the environment. Therefore, from the optical perseverance, companies that are aware towards corporate social responsibility appear more attractive to the stakeholders such as employees, </w:t>
      </w:r>
      <w:proofErr w:type="gramStart"/>
      <w:r w:rsidRPr="00120AA4">
        <w:rPr>
          <w:lang w:val="en-GB" w:eastAsia="en-IN"/>
        </w:rPr>
        <w:t>customers</w:t>
      </w:r>
      <w:proofErr w:type="gramEnd"/>
      <w:r w:rsidRPr="00120AA4">
        <w:rPr>
          <w:lang w:val="en-GB" w:eastAsia="en-IN"/>
        </w:rPr>
        <w:t xml:space="preserve"> and other authorities (</w:t>
      </w:r>
      <w:proofErr w:type="spellStart"/>
      <w:r w:rsidRPr="00120AA4">
        <w:rPr>
          <w:lang w:val="en-GB" w:eastAsia="en-IN"/>
        </w:rPr>
        <w:t>Haski</w:t>
      </w:r>
      <w:proofErr w:type="spellEnd"/>
      <w:r w:rsidRPr="00120AA4">
        <w:rPr>
          <w:lang w:val="en-GB" w:eastAsia="en-IN"/>
        </w:rPr>
        <w:t xml:space="preserve">-Leventhal, 2018). By properly mitigating CSR in their business operations a company will be able to create an impact on the lives of the people living at the bottom lines. Nevertheless, the industry of hospitality is one of the most flourishing industries that provides diverse career options and professions to numerous people. Hence, it is essential for the industry to mitigate good CSR practices to impact the lives of the people positively. One of the major names in the hospitality industry is undoubtedly Hilton. Hilton is one of the leading American multinational companies in the hospitality industry that offers a broad portfolio of managed and franchised hotels, timeshares, and resort properties. This essay will focus on explaining and evaluating how Hilton is mitigating their CSR practices for the betterment of the people and the environment. Afterwards, this essay will explain the key focus and impact of CSR practices on sustainability. Later, it will also discuss the challenges and opportunities faced by the company to mitigate the proper CSR practices in the company. </w:t>
      </w:r>
    </w:p>
    <w:p w14:paraId="63AF25F9" w14:textId="77777777" w:rsidR="005E1ECD" w:rsidRDefault="005E1ECD" w:rsidP="005E1ECD">
      <w:pPr>
        <w:rPr>
          <w:b/>
          <w:sz w:val="28"/>
          <w:szCs w:val="28"/>
        </w:rPr>
      </w:pPr>
      <w:r>
        <w:br w:type="page"/>
      </w:r>
    </w:p>
    <w:p w14:paraId="5150B8D1" w14:textId="77777777" w:rsidR="005E1ECD" w:rsidRDefault="005E1ECD" w:rsidP="005E1ECD">
      <w:pPr>
        <w:pStyle w:val="1"/>
      </w:pPr>
      <w:r>
        <w:lastRenderedPageBreak/>
        <w:t>Discussion</w:t>
      </w:r>
    </w:p>
    <w:p w14:paraId="20CF1154" w14:textId="77777777" w:rsidR="005E1ECD" w:rsidRPr="00120AA4" w:rsidRDefault="005E1ECD" w:rsidP="005E1ECD">
      <w:pPr>
        <w:spacing w:after="0" w:line="480" w:lineRule="auto"/>
        <w:rPr>
          <w:lang w:val="en-GB" w:eastAsia="en-IN"/>
        </w:rPr>
      </w:pPr>
      <w:r w:rsidRPr="00120AA4">
        <w:rPr>
          <w:lang w:val="en-GB" w:eastAsia="en-IN"/>
        </w:rPr>
        <w:t xml:space="preserve">Hilton is one of the leading companies in the industry that serves their pledge as a socially responsible organisation that commits themselves to create unforgettable experiences while supporting their team members or making improvements by doing it properly business. Hence, the company is extremely committed to reducing waste while driving with the approach of circular economy. The company has pledged to reduce 50% of its waste by the year 2030 </w:t>
      </w:r>
      <w:sdt>
        <w:sdtPr>
          <w:rPr>
            <w:lang w:val="en-GB" w:eastAsia="en-IN"/>
          </w:rPr>
          <w:id w:val="333420651"/>
          <w:citation/>
        </w:sdtPr>
        <w:sdtContent>
          <w:r w:rsidRPr="00120AA4">
            <w:rPr>
              <w:lang w:val="en-GB" w:eastAsia="en-IN"/>
            </w:rPr>
            <w:fldChar w:fldCharType="begin"/>
          </w:r>
          <w:r w:rsidRPr="00120AA4">
            <w:rPr>
              <w:lang w:val="en-US" w:eastAsia="en-IN"/>
            </w:rPr>
            <w:instrText xml:space="preserve"> CITATION Hil22 \l 1033 </w:instrText>
          </w:r>
          <w:r w:rsidRPr="00120AA4">
            <w:rPr>
              <w:lang w:val="en-GB" w:eastAsia="en-IN"/>
            </w:rPr>
            <w:fldChar w:fldCharType="separate"/>
          </w:r>
          <w:r w:rsidRPr="00120AA4">
            <w:rPr>
              <w:noProof/>
              <w:lang w:val="en-US" w:eastAsia="en-IN"/>
            </w:rPr>
            <w:t>(Hilton, 2022)</w:t>
          </w:r>
          <w:r w:rsidRPr="00120AA4">
            <w:rPr>
              <w:lang w:val="en-GB" w:eastAsia="en-IN"/>
            </w:rPr>
            <w:fldChar w:fldCharType="end"/>
          </w:r>
        </w:sdtContent>
      </w:sdt>
      <w:r w:rsidRPr="00120AA4">
        <w:rPr>
          <w:lang w:val="en-GB" w:eastAsia="en-IN"/>
        </w:rPr>
        <w:t xml:space="preserve">. Hilton highly focuses prevention and recycling of waste along with upcycling and donating food as these are the most essential components when it comes to taking greener initiatives. </w:t>
      </w:r>
    </w:p>
    <w:p w14:paraId="42D89078" w14:textId="77777777" w:rsidR="005E1ECD" w:rsidRPr="00120AA4" w:rsidRDefault="005E1ECD" w:rsidP="005E1ECD">
      <w:pPr>
        <w:spacing w:after="0" w:line="480" w:lineRule="auto"/>
        <w:rPr>
          <w:lang w:val="en-GB" w:eastAsia="en-IN"/>
        </w:rPr>
      </w:pPr>
      <w:r w:rsidRPr="00120AA4">
        <w:rPr>
          <w:lang w:val="en-GB" w:eastAsia="en-IN"/>
        </w:rPr>
        <w:t xml:space="preserve">The world is attuned to various environmental concerns these days and the hospitality industry needs to strategically redefine its future with sustainability in mind. Travelling can be either leisure or business but in both cases because of the emerging awareness towards sustainability, Hilton is very much invested in mitigating exclusive environmental concerns that the hotel industry is facing. In the current era is essential for businesses to mark themselves with heightened CSR in the operations of the organisation. Embracing eco-friendliness can significantly elevate the corporate social responsibility of the company. With the help of this heightened CSR Hilton is building trust among its stakeholders while building goodwill among the employees. It can be stated that CSR is closely related to sustainability practices, however, these two elements are not the same. The term CSR distinctly relates to the initiatives that Hilton is mitigating short-term initiatives (Wickham et al., 2021). </w:t>
      </w:r>
      <w:proofErr w:type="gramStart"/>
      <w:r w:rsidRPr="00120AA4">
        <w:rPr>
          <w:lang w:val="en-GB" w:eastAsia="en-IN"/>
        </w:rPr>
        <w:t>Whereas,</w:t>
      </w:r>
      <w:proofErr w:type="gramEnd"/>
      <w:r w:rsidRPr="00120AA4">
        <w:rPr>
          <w:lang w:val="en-GB" w:eastAsia="en-IN"/>
        </w:rPr>
        <w:t xml:space="preserve"> the term sustainability is something that Hilton is focusing on for further survival and future growth of the business. The company supports sustainability while supporting the social, economic, and environmental elements of the CSR report. CSR can significantly impact the company in terms of aligning it with its practices to achieve the organisational goals while mitigating its operations. For instance, Hilton has marked a global day for handwashing to expand the use of </w:t>
      </w:r>
      <w:r w:rsidRPr="00120AA4">
        <w:rPr>
          <w:lang w:val="en-GB" w:eastAsia="en-IN"/>
        </w:rPr>
        <w:lastRenderedPageBreak/>
        <w:t xml:space="preserve">soaps. This showcased that their commitment to maintaining CSR has a significant impact on eco-friendliness and sustainability. This decade's program has helped the company to save lives as well as save millions of pounds of soap from landfills </w:t>
      </w:r>
      <w:sdt>
        <w:sdtPr>
          <w:rPr>
            <w:lang w:val="en-GB" w:eastAsia="en-IN"/>
          </w:rPr>
          <w:id w:val="-1790571378"/>
          <w:citation/>
        </w:sdtPr>
        <w:sdtContent>
          <w:r w:rsidRPr="00120AA4">
            <w:rPr>
              <w:lang w:val="en-GB" w:eastAsia="en-IN"/>
            </w:rPr>
            <w:fldChar w:fldCharType="begin"/>
          </w:r>
          <w:r w:rsidRPr="00120AA4">
            <w:rPr>
              <w:lang w:val="en-US" w:eastAsia="en-IN"/>
            </w:rPr>
            <w:instrText xml:space="preserve"> CITATION Hil24 \l 1033 </w:instrText>
          </w:r>
          <w:r w:rsidRPr="00120AA4">
            <w:rPr>
              <w:lang w:val="en-GB" w:eastAsia="en-IN"/>
            </w:rPr>
            <w:fldChar w:fldCharType="separate"/>
          </w:r>
          <w:r w:rsidRPr="00120AA4">
            <w:rPr>
              <w:noProof/>
              <w:lang w:val="en-US" w:eastAsia="en-IN"/>
            </w:rPr>
            <w:t>(Hilton, 2024)</w:t>
          </w:r>
          <w:r w:rsidRPr="00120AA4">
            <w:rPr>
              <w:lang w:val="en-GB" w:eastAsia="en-IN"/>
            </w:rPr>
            <w:fldChar w:fldCharType="end"/>
          </w:r>
        </w:sdtContent>
      </w:sdt>
      <w:r w:rsidRPr="00120AA4">
        <w:rPr>
          <w:lang w:val="en-GB" w:eastAsia="en-IN"/>
        </w:rPr>
        <w:t xml:space="preserve">. With the help of Hilton’s decade soap program helped 1000s of children from underserved categories to fight against the hygiene epidemic plague. Apart from that the company has also launched Travel, With Purpose 2030 goals in the year 2018 </w:t>
      </w:r>
      <w:sdt>
        <w:sdtPr>
          <w:rPr>
            <w:lang w:val="en-GB" w:eastAsia="en-IN"/>
          </w:rPr>
          <w:id w:val="462003852"/>
          <w:citation/>
        </w:sdtPr>
        <w:sdtContent>
          <w:r w:rsidRPr="00120AA4">
            <w:rPr>
              <w:lang w:val="en-GB" w:eastAsia="en-IN"/>
            </w:rPr>
            <w:fldChar w:fldCharType="begin"/>
          </w:r>
          <w:r w:rsidRPr="00120AA4">
            <w:rPr>
              <w:lang w:val="en-US" w:eastAsia="en-IN"/>
            </w:rPr>
            <w:instrText xml:space="preserve">CITATION Hil19 \l 1033 </w:instrText>
          </w:r>
          <w:r w:rsidRPr="00120AA4">
            <w:rPr>
              <w:lang w:val="en-GB" w:eastAsia="en-IN"/>
            </w:rPr>
            <w:fldChar w:fldCharType="separate"/>
          </w:r>
          <w:r w:rsidRPr="00120AA4">
            <w:rPr>
              <w:noProof/>
              <w:lang w:val="en-US" w:eastAsia="en-IN"/>
            </w:rPr>
            <w:t>(Hilton , 2019)</w:t>
          </w:r>
          <w:r w:rsidRPr="00120AA4">
            <w:rPr>
              <w:lang w:val="en-GB" w:eastAsia="en-IN"/>
            </w:rPr>
            <w:fldChar w:fldCharType="end"/>
          </w:r>
        </w:sdtContent>
      </w:sdt>
      <w:r w:rsidRPr="00120AA4">
        <w:rPr>
          <w:lang w:val="en-GB" w:eastAsia="en-IN"/>
        </w:rPr>
        <w:t xml:space="preserve">. In this launch, the company has carefully consulted both their external and internal stakeholders of the company so that they can carefully evaluate if it aligns with the programs with the integration of strategic insights. To mitigate the analysis Hilton has mapped the 100% of their pipelines and hotels against their social and environmental risk. The company has also surveyed around 145,000 guests at Hilton to mitigate the risks </w:t>
      </w:r>
      <w:sdt>
        <w:sdtPr>
          <w:rPr>
            <w:lang w:val="en-GB" w:eastAsia="en-IN"/>
          </w:rPr>
          <w:id w:val="-1917159236"/>
          <w:citation/>
        </w:sdtPr>
        <w:sdtContent>
          <w:r w:rsidRPr="00120AA4">
            <w:rPr>
              <w:lang w:val="en-GB" w:eastAsia="en-IN"/>
            </w:rPr>
            <w:fldChar w:fldCharType="begin"/>
          </w:r>
          <w:r w:rsidRPr="00120AA4">
            <w:rPr>
              <w:lang w:val="en-US" w:eastAsia="en-IN"/>
            </w:rPr>
            <w:instrText xml:space="preserve"> CITATION Hil19 \l 1033 </w:instrText>
          </w:r>
          <w:r w:rsidRPr="00120AA4">
            <w:rPr>
              <w:lang w:val="en-GB" w:eastAsia="en-IN"/>
            </w:rPr>
            <w:fldChar w:fldCharType="separate"/>
          </w:r>
          <w:r w:rsidRPr="00120AA4">
            <w:rPr>
              <w:noProof/>
              <w:lang w:val="en-US" w:eastAsia="en-IN"/>
            </w:rPr>
            <w:t>(Hilton , 2019)</w:t>
          </w:r>
          <w:r w:rsidRPr="00120AA4">
            <w:rPr>
              <w:lang w:val="en-GB" w:eastAsia="en-IN"/>
            </w:rPr>
            <w:fldChar w:fldCharType="end"/>
          </w:r>
        </w:sdtContent>
      </w:sdt>
      <w:r w:rsidRPr="00120AA4">
        <w:rPr>
          <w:lang w:val="en-GB" w:eastAsia="en-IN"/>
        </w:rPr>
        <w:t xml:space="preserve">. This allowed the company to gradually mitigate the global risk of the enterprise. Apart from the risks, the company also enjoys various opportunities that come with properly mitigating good CSR. </w:t>
      </w:r>
    </w:p>
    <w:p w14:paraId="092B13FA" w14:textId="77777777" w:rsidR="005E1ECD" w:rsidRPr="00120AA4" w:rsidRDefault="005E1ECD" w:rsidP="005E1ECD">
      <w:pPr>
        <w:spacing w:after="0" w:line="480" w:lineRule="auto"/>
        <w:rPr>
          <w:lang w:val="en-GB" w:eastAsia="en-IN"/>
        </w:rPr>
      </w:pPr>
      <w:r w:rsidRPr="00120AA4">
        <w:rPr>
          <w:lang w:val="en-GB" w:eastAsia="en-IN"/>
        </w:rPr>
        <w:t>Implementing CSR can potentially benefit businesses in significant ways to create a positive impact and differentiation among other brands. One of the main opportunities that Hilton can potentially enjoy is tapping into the new growing market which demands services and products (</w:t>
      </w:r>
      <w:proofErr w:type="spellStart"/>
      <w:r w:rsidRPr="00120AA4">
        <w:rPr>
          <w:lang w:val="en-GB" w:eastAsia="en-IN"/>
        </w:rPr>
        <w:t>Batabyal</w:t>
      </w:r>
      <w:proofErr w:type="spellEnd"/>
      <w:r w:rsidRPr="00120AA4">
        <w:rPr>
          <w:lang w:val="en-GB" w:eastAsia="en-IN"/>
        </w:rPr>
        <w:t xml:space="preserve">, 2018). For example, Hilton can cater and offer services according to the needs and preferences of middle-class customers. Another opportunity that Hilton can leverage by mitigating the CSR practices by innovating and improving to reduce cost, </w:t>
      </w:r>
      <w:proofErr w:type="gramStart"/>
      <w:r w:rsidRPr="00120AA4">
        <w:rPr>
          <w:lang w:val="en-GB" w:eastAsia="en-IN"/>
        </w:rPr>
        <w:t>risk</w:t>
      </w:r>
      <w:proofErr w:type="gramEnd"/>
      <w:r w:rsidRPr="00120AA4">
        <w:rPr>
          <w:lang w:val="en-GB" w:eastAsia="en-IN"/>
        </w:rPr>
        <w:t xml:space="preserve"> and impacts. By improving the practices and processes to efficiently increase the quality, efficiency, and resilience (</w:t>
      </w:r>
      <w:proofErr w:type="spellStart"/>
      <w:r w:rsidRPr="00120AA4">
        <w:rPr>
          <w:lang w:val="en-GB" w:eastAsia="en-IN"/>
        </w:rPr>
        <w:t>Korstanje</w:t>
      </w:r>
      <w:proofErr w:type="spellEnd"/>
      <w:r w:rsidRPr="00120AA4">
        <w:rPr>
          <w:lang w:val="en-GB" w:eastAsia="en-IN"/>
        </w:rPr>
        <w:t xml:space="preserve"> et al., 2020). Hilton’s mitigation and evaluation of CSR can distinctively improve the public trust and company brand. In the current landscape when digitalisation is at its peak, awareness related to sustainability is also growing drastically. Therefore, it is more likely for the customers to spend on organisations that have products and services that essentially is known to affect society positively. Other than that Hilton also </w:t>
      </w:r>
      <w:proofErr w:type="gramStart"/>
      <w:r w:rsidRPr="00120AA4">
        <w:rPr>
          <w:lang w:val="en-GB" w:eastAsia="en-IN"/>
        </w:rPr>
        <w:t>is able to</w:t>
      </w:r>
      <w:proofErr w:type="gramEnd"/>
      <w:r w:rsidRPr="00120AA4">
        <w:rPr>
          <w:lang w:val="en-GB" w:eastAsia="en-IN"/>
        </w:rPr>
        <w:t xml:space="preserve"> retain and </w:t>
      </w:r>
      <w:r w:rsidRPr="00120AA4">
        <w:rPr>
          <w:lang w:val="en-GB" w:eastAsia="en-IN"/>
        </w:rPr>
        <w:lastRenderedPageBreak/>
        <w:t xml:space="preserve">attract top talents because of their excellent CSR practices. There is a current trend going on where people are diligently giving back to society. Being socially responsible can help the company attract various customers while generating revenue growth for them. Hilton clearly understands the responsibility of critically protecting and preserving the planet while sustaining beautiful destinations and reducing greenhouse emissions since 2009 for future generations. Having a strong profile in CSR allows the company to encourage their investors and prove to them that their money is being used for a good cause. This helps the company to elevate the trust of the investors in the company while increasing its brand image and credibility in the market. </w:t>
      </w:r>
      <w:bookmarkStart w:id="4" w:name="_iyybf4u6rhib" w:colFirst="0" w:colLast="0"/>
      <w:bookmarkEnd w:id="4"/>
    </w:p>
    <w:p w14:paraId="54AA2321" w14:textId="77777777" w:rsidR="005E1ECD" w:rsidRDefault="005E1ECD" w:rsidP="005E1ECD">
      <w:pPr>
        <w:pStyle w:val="Normal1"/>
        <w:spacing w:line="480" w:lineRule="auto"/>
      </w:pPr>
      <w:r>
        <w:t xml:space="preserve">Corporate social responsibility has different and a vital benefit for any company to implement in their overall operations. With the given opportunities that the CSR normally provide to the company, it also processes some challenges with the company should consider while moving on. Costing is one of the heaviest challenges that the company has to deal with when implementing sustainability practices in its operations. Sustainable practice is normally considered to be an upfront Investment where things like energy-efficient appliances and staff training are included in the process of corporate social responsibility (Cezarino </w:t>
      </w:r>
      <w:r w:rsidRPr="00087F67">
        <w:rPr>
          <w:i/>
          <w:iCs/>
        </w:rPr>
        <w:t>et al.,</w:t>
      </w:r>
      <w:r>
        <w:t xml:space="preserve"> 2022). Managing the bill can be potentially reduced by attracting environmental consciousness to the business. Further challenges can be standardising the location of the implementation of CSR in the business. Hilton currently has operations across the globe which makes it hard for them to manage a particular sustainable practice in a location. Implementing CSR globally in their business can be challenging as it can take a high amount of time as well as manpower. This will also create a challenge for them to ensure the consistent implementation of CSR and manage the resources of the business efficiently. Implementing CSR in the business is particularly efficient for Hilton alone (Bianco, 2020). Implementing a policy and practice requires management and measuring the impact around how it is affecting the operation and </w:t>
      </w:r>
      <w:r>
        <w:lastRenderedPageBreak/>
        <w:t xml:space="preserve">overall process. Measuring the impact can be challenging for Hilton as it can limit the demonstration of the program to the stakeholders and other partners who are the beneficiaries of the company. Another challenge of implementation of the CSR can be the monitoring of the supply chain. Hilton normally follows a complex network of supply chain processes,  implementing the CSR in the process will lead them to a difficult process of monitoring and managing the supply chain efficiently. Understanding the impact the CSR is having on the Hilton business can also be reduced and inefficient as time passes by. One of the most common and considerable challenges can be the perspective of the guest's behaviour.  Implementation of CSR in the business can be an easy process however the behaviour of the guest can impact the sustainability and the overall impact of the hotel efficiently. Along with the guest behaviour the labour practices can also be efficient to understand and manage the sustainability practice in the hotel. Despite the rules and regulations some of the labourers and employees act in their own accordance which affects the implementation of CSR in the Hilton business </w:t>
      </w:r>
      <w:sdt>
        <w:sdtPr>
          <w:id w:val="1552427809"/>
          <w:citation/>
        </w:sdtPr>
        <w:sdtContent>
          <w:r>
            <w:fldChar w:fldCharType="begin"/>
          </w:r>
          <w:r>
            <w:rPr>
              <w:lang w:val="en-US"/>
            </w:rPr>
            <w:instrText xml:space="preserve"> CITATION Jen23 \l 1033 </w:instrText>
          </w:r>
          <w:r>
            <w:fldChar w:fldCharType="separate"/>
          </w:r>
          <w:r w:rsidRPr="00501485">
            <w:rPr>
              <w:noProof/>
              <w:lang w:val="en-US"/>
            </w:rPr>
            <w:t>(Lotito, 2023)</w:t>
          </w:r>
          <w:r>
            <w:fldChar w:fldCharType="end"/>
          </w:r>
        </w:sdtContent>
      </w:sdt>
      <w:r>
        <w:t xml:space="preserve">. </w:t>
      </w:r>
    </w:p>
    <w:p w14:paraId="1E128381" w14:textId="77777777" w:rsidR="005E1ECD" w:rsidRDefault="005E1ECD" w:rsidP="005E1ECD">
      <w:pPr>
        <w:pStyle w:val="Normal1"/>
        <w:spacing w:line="480" w:lineRule="auto"/>
      </w:pPr>
      <w:r>
        <w:t xml:space="preserve">Recommendations for improving the process of CSR implementation in the Hilton company can be said to highlight most of the financial benefits of the sustainable practices of the company. This can highly reduce the laws of the absent investment this sustainable practice normally has. Prioritising and maintaining the most cost-efficient measurements of sustainability in the company can help them monitor and measure the CSR process most efficiently. For the cost-efficient method to implement CSR and maintain it efficiently, the company can seek external funding options from different organisations and partners. Partnerships and grants can support the sustainable practices Hilton can provide to the environment efficiently </w:t>
      </w:r>
      <w:sdt>
        <w:sdtPr>
          <w:id w:val="862709582"/>
          <w:citation/>
        </w:sdtPr>
        <w:sdtContent>
          <w:r>
            <w:fldChar w:fldCharType="begin"/>
          </w:r>
          <w:r>
            <w:rPr>
              <w:lang w:val="en-US"/>
            </w:rPr>
            <w:instrText xml:space="preserve"> CITATION Cha20 \l 1033 </w:instrText>
          </w:r>
          <w:r>
            <w:fldChar w:fldCharType="separate"/>
          </w:r>
          <w:r w:rsidRPr="00501485">
            <w:rPr>
              <w:noProof/>
              <w:lang w:val="en-US"/>
            </w:rPr>
            <w:t>(Heyward, 2020)</w:t>
          </w:r>
          <w:r>
            <w:fldChar w:fldCharType="end"/>
          </w:r>
        </w:sdtContent>
      </w:sdt>
      <w:r>
        <w:t xml:space="preserve">. Developing the process to utilise the technology in the process of sustainability and maintaining the CSR in the company can help to communicate within the platform and ensure the information is shared across different locations. This can overall improve the process of implementing CSR in different locations not globally but in a </w:t>
      </w:r>
      <w:r>
        <w:lastRenderedPageBreak/>
        <w:t>diverse range. Employees can be one of the most important resources of the company which they need to maintain the CSR practices. The Hilton company can implement the training programs to the core of the employee values and integrate CSR which can help the employees to manage their overall operation by considering the CSR. Encouraging the guests to reuse the towels and programs to take shorter showers can be challenging however it can offer a chance to maintain the CSR process efficiently for the company. Developing incentive programs within the company to manage the employees and maintaining the practices of Corporate Social Responsibility efficiently can overall benefit the business. Setting standards of sustainability for the suppliers can also establish clear criteria and priorities for social and environmental responsibility. Collaborating with more sustainable suppliers for the company can help them manage their CSR implementation process most efficiently and monitor them in the most efficient way (Edgell, 2020). This also helps the company to reduce the work pressure of maintaining and managing every supplier's sustainability issue. Maintaining a relationship with sustainable suppliers beforehand can already help the Hilton company to process their management of supply from a sustainable source. Maintaining transparency can also help the Hilton hotel to improve their CSR Management process for the guests and the employees overall. Recognising and promoting the success story which showcases the successful CSR efforts can help to inspire different guest policies and Labour practices helping to engage with the process more often and efficiently (Sloan et al., 2017).</w:t>
      </w:r>
      <w:r>
        <w:br w:type="page"/>
      </w:r>
    </w:p>
    <w:p w14:paraId="474BAF86" w14:textId="77777777" w:rsidR="005E1ECD" w:rsidRDefault="005E1ECD" w:rsidP="005E1ECD">
      <w:pPr>
        <w:pStyle w:val="1"/>
      </w:pPr>
      <w:bookmarkStart w:id="5" w:name="_f9jts0cou7ks" w:colFirst="0" w:colLast="0"/>
      <w:bookmarkEnd w:id="5"/>
      <w:r>
        <w:lastRenderedPageBreak/>
        <w:t>Conclusion</w:t>
      </w:r>
    </w:p>
    <w:p w14:paraId="3D998258" w14:textId="77777777" w:rsidR="005E1ECD" w:rsidRDefault="005E1ECD" w:rsidP="005E1ECD">
      <w:pPr>
        <w:pStyle w:val="Normal1"/>
        <w:spacing w:line="480" w:lineRule="auto"/>
      </w:pPr>
      <w:r>
        <w:t>Overall essay has efficiently discussed corporate social responsibility and how a company can benefit from it efficiently. How Hilton can implement CSR in their management process and benefit from it efficiently has also been discussed in the essay. The essay has discussed critically the hotel's CSR policy and why it has been a key focus of Hilton. The policy of CSR in the hotel has explained the priority the Hilton Hotel have in their overall operation around the globe. After analysing the introduction to the CSR policy the Hilton Hotel analysis and follows are mentioned. The key focus area of the CSR policy of the Hilton has been shown in the essay with the impact of the policy on sustainability. Different opportunities have also been aligned with the Hilton CSR policy that can benefit the hotel efficiently. With different opportunities, challenges have also been rationally explained that the company can face with the implementation of the policy in their operations. Lastly, the recommendation process for improvement has also been implemented in the essay for a better understanding of the CSR policy in Hilton.</w:t>
      </w:r>
      <w:r>
        <w:br w:type="page"/>
      </w:r>
    </w:p>
    <w:p w14:paraId="452A3B91" w14:textId="77777777" w:rsidR="005E1ECD" w:rsidRDefault="005E1ECD" w:rsidP="005E1ECD">
      <w:pPr>
        <w:pStyle w:val="1"/>
      </w:pPr>
      <w:bookmarkStart w:id="6" w:name="_a7anf1e1925e" w:colFirst="0" w:colLast="0"/>
      <w:bookmarkEnd w:id="6"/>
      <w:r>
        <w:lastRenderedPageBreak/>
        <w:t>References</w:t>
      </w:r>
    </w:p>
    <w:p w14:paraId="003BFC1A" w14:textId="77777777" w:rsidR="005E1ECD" w:rsidRPr="00120AA4" w:rsidRDefault="005E1ECD" w:rsidP="005E1ECD">
      <w:pPr>
        <w:shd w:val="clear" w:color="auto" w:fill="FFFFFF"/>
        <w:tabs>
          <w:tab w:val="left" w:pos="3168"/>
        </w:tabs>
        <w:spacing w:after="120" w:line="480" w:lineRule="auto"/>
        <w:ind w:right="-154"/>
        <w:rPr>
          <w:lang w:val="en-GB" w:eastAsia="en-IN"/>
        </w:rPr>
      </w:pPr>
      <w:proofErr w:type="spellStart"/>
      <w:r w:rsidRPr="00120AA4">
        <w:rPr>
          <w:lang w:val="en-GB" w:eastAsia="en-IN"/>
        </w:rPr>
        <w:t>Batabyal</w:t>
      </w:r>
      <w:proofErr w:type="spellEnd"/>
      <w:r w:rsidRPr="00120AA4">
        <w:rPr>
          <w:lang w:val="en-GB" w:eastAsia="en-IN"/>
        </w:rPr>
        <w:t xml:space="preserve">. (2018). </w:t>
      </w:r>
      <w:r w:rsidRPr="00120AA4">
        <w:rPr>
          <w:i/>
          <w:lang w:val="en-GB" w:eastAsia="en-IN"/>
        </w:rPr>
        <w:t>Managing Sustainable Tourism Resources.</w:t>
      </w:r>
      <w:r w:rsidRPr="00120AA4">
        <w:rPr>
          <w:lang w:val="en-GB" w:eastAsia="en-IN"/>
        </w:rPr>
        <w:t xml:space="preserve"> IGI Global.</w:t>
      </w:r>
    </w:p>
    <w:p w14:paraId="18431D6E" w14:textId="77777777" w:rsidR="005E1ECD" w:rsidRDefault="005E1ECD" w:rsidP="005E1ECD">
      <w:pPr>
        <w:pStyle w:val="Normal1"/>
        <w:spacing w:line="480" w:lineRule="auto"/>
      </w:pPr>
      <w:r>
        <w:t xml:space="preserve">Bianco, G.B., (2020). Climate change adaptation, coffee, and corporate social responsibility: challenges and opportunities. </w:t>
      </w:r>
      <w:r w:rsidRPr="00501485">
        <w:rPr>
          <w:i/>
          <w:iCs/>
        </w:rPr>
        <w:t>International Journal of Corporate Social Responsibility</w:t>
      </w:r>
      <w:r>
        <w:t>, 5(1), p.3.</w:t>
      </w:r>
    </w:p>
    <w:p w14:paraId="61CCD057" w14:textId="77777777" w:rsidR="005E1ECD" w:rsidRDefault="005E1ECD" w:rsidP="005E1ECD">
      <w:pPr>
        <w:pStyle w:val="Normal1"/>
        <w:spacing w:line="480" w:lineRule="auto"/>
      </w:pPr>
      <w:r>
        <w:t xml:space="preserve">Cezarino, L.O., Liboni, L.B., Hunter, T., Pacheco, L.M. and Martins, F.P., (2022). Corporate social responsibility in emerging markets: Opportunities and challenges for sustainability integration. </w:t>
      </w:r>
      <w:r w:rsidRPr="00501485">
        <w:rPr>
          <w:i/>
          <w:iCs/>
        </w:rPr>
        <w:t>Journal of Cleaner Production,</w:t>
      </w:r>
      <w:r>
        <w:t xml:space="preserve"> 362, p.132224.</w:t>
      </w:r>
    </w:p>
    <w:p w14:paraId="0961777A" w14:textId="77777777" w:rsidR="005E1ECD" w:rsidRDefault="005E1ECD" w:rsidP="005E1ECD">
      <w:pPr>
        <w:pStyle w:val="Normal1"/>
        <w:spacing w:line="480" w:lineRule="auto"/>
      </w:pPr>
      <w:r>
        <w:t xml:space="preserve">Edgell. (2020). </w:t>
      </w:r>
      <w:r w:rsidRPr="00501485">
        <w:rPr>
          <w:i/>
          <w:iCs/>
        </w:rPr>
        <w:t>Managing sustainable tourism : a legacy for the future (Third edition).</w:t>
      </w:r>
      <w:r>
        <w:t xml:space="preserve"> Routledge.</w:t>
      </w:r>
    </w:p>
    <w:p w14:paraId="7B312F26" w14:textId="77777777" w:rsidR="005E1ECD" w:rsidRPr="00120AA4" w:rsidRDefault="005E1ECD" w:rsidP="005E1ECD">
      <w:pPr>
        <w:shd w:val="clear" w:color="auto" w:fill="FFFFFF"/>
        <w:tabs>
          <w:tab w:val="left" w:pos="3168"/>
        </w:tabs>
        <w:spacing w:after="120" w:line="480" w:lineRule="auto"/>
        <w:ind w:right="-154"/>
        <w:rPr>
          <w:lang w:val="en-GB" w:eastAsia="en-IN"/>
        </w:rPr>
      </w:pPr>
      <w:proofErr w:type="spellStart"/>
      <w:r w:rsidRPr="00120AA4">
        <w:rPr>
          <w:lang w:val="en-GB" w:eastAsia="en-IN"/>
        </w:rPr>
        <w:t>Haski</w:t>
      </w:r>
      <w:proofErr w:type="spellEnd"/>
      <w:r w:rsidRPr="00120AA4">
        <w:rPr>
          <w:lang w:val="en-GB" w:eastAsia="en-IN"/>
        </w:rPr>
        <w:t xml:space="preserve">-Leventhal, D. (2018) </w:t>
      </w:r>
      <w:r w:rsidRPr="00120AA4">
        <w:rPr>
          <w:i/>
          <w:lang w:val="en-GB" w:eastAsia="en-IN"/>
        </w:rPr>
        <w:t>Strategic corporate social responsibility: tools &amp; theories for responsible management.</w:t>
      </w:r>
      <w:r w:rsidRPr="00120AA4">
        <w:rPr>
          <w:lang w:val="en-GB" w:eastAsia="en-IN"/>
        </w:rPr>
        <w:t xml:space="preserve"> London: SAGE.</w:t>
      </w:r>
    </w:p>
    <w:p w14:paraId="28EACEF9" w14:textId="77777777" w:rsidR="005E1ECD" w:rsidRDefault="005E1ECD" w:rsidP="005E1ECD">
      <w:pPr>
        <w:pStyle w:val="Normal1"/>
        <w:spacing w:line="480" w:lineRule="auto"/>
      </w:pPr>
      <w:r>
        <w:t>Heyward, C., (2020</w:t>
      </w:r>
      <w:r w:rsidRPr="00501485">
        <w:rPr>
          <w:i/>
          <w:iCs/>
        </w:rPr>
        <w:t>). The Growing Importance Of Social Responsibility In Business.</w:t>
      </w:r>
      <w:r>
        <w:t xml:space="preserve"> [Online] Available at: https://www.forbes.com/sites/forbesbusinesscouncil/2020/11/18/the-growing-importance-of-social-responsibility-in-business/?sh=7a49f85d2283 [Accessed 25 April 2024].</w:t>
      </w:r>
    </w:p>
    <w:p w14:paraId="5312FE32" w14:textId="77777777" w:rsidR="005E1ECD" w:rsidRPr="00120AA4" w:rsidRDefault="005E1ECD" w:rsidP="005E1ECD">
      <w:pPr>
        <w:shd w:val="clear" w:color="auto" w:fill="FFFFFF"/>
        <w:tabs>
          <w:tab w:val="left" w:pos="3168"/>
        </w:tabs>
        <w:spacing w:after="120" w:line="480" w:lineRule="auto"/>
        <w:ind w:right="-154"/>
        <w:rPr>
          <w:lang w:val="en-GB" w:eastAsia="en-IN"/>
        </w:rPr>
      </w:pPr>
      <w:r w:rsidRPr="00120AA4">
        <w:rPr>
          <w:lang w:val="en-GB" w:eastAsia="en-IN"/>
        </w:rPr>
        <w:t xml:space="preserve">Hilton, (2019). </w:t>
      </w:r>
      <w:r w:rsidRPr="00120AA4">
        <w:rPr>
          <w:i/>
          <w:iCs/>
          <w:lang w:val="en-GB" w:eastAsia="en-IN"/>
        </w:rPr>
        <w:t>Hilton 2019 Corporate Responsibility Report.</w:t>
      </w:r>
      <w:r w:rsidRPr="00120AA4">
        <w:rPr>
          <w:lang w:val="en-GB" w:eastAsia="en-IN"/>
        </w:rPr>
        <w:t xml:space="preserve"> [Online] Available at: https://cr.hilton.com/wp-content/uploads/2020/04/Hilton-2019-CR-Report.pdf [Accessed 24 April 2024].</w:t>
      </w:r>
    </w:p>
    <w:p w14:paraId="1AAEB8E8" w14:textId="77777777" w:rsidR="005E1ECD" w:rsidRPr="00120AA4" w:rsidRDefault="005E1ECD" w:rsidP="005E1ECD">
      <w:pPr>
        <w:shd w:val="clear" w:color="auto" w:fill="FFFFFF"/>
        <w:tabs>
          <w:tab w:val="left" w:pos="3168"/>
        </w:tabs>
        <w:spacing w:after="120" w:line="480" w:lineRule="auto"/>
        <w:ind w:right="-154"/>
        <w:rPr>
          <w:lang w:val="en-GB" w:eastAsia="en-IN"/>
        </w:rPr>
      </w:pPr>
      <w:r w:rsidRPr="00120AA4">
        <w:rPr>
          <w:lang w:val="en-GB" w:eastAsia="en-IN"/>
        </w:rPr>
        <w:t xml:space="preserve">Hilton, (2022). </w:t>
      </w:r>
      <w:r w:rsidRPr="00120AA4">
        <w:rPr>
          <w:i/>
          <w:iCs/>
          <w:lang w:val="en-GB" w:eastAsia="en-IN"/>
        </w:rPr>
        <w:t>Waste</w:t>
      </w:r>
      <w:r w:rsidRPr="00120AA4">
        <w:rPr>
          <w:lang w:val="en-GB" w:eastAsia="en-IN"/>
        </w:rPr>
        <w:t>. [Online] Available at: https://esg.hilton.com/environment/#:~:text=Hilton%20is%20committed%20to%20reducing%20waste%20and%20driving%20towards%20a,waste%20by%2050%25%20by%202030 [Accessed 22 April 2024].</w:t>
      </w:r>
    </w:p>
    <w:p w14:paraId="3BF84F9C" w14:textId="77777777" w:rsidR="005E1ECD" w:rsidRPr="00120AA4" w:rsidRDefault="005E1ECD" w:rsidP="005E1ECD">
      <w:pPr>
        <w:shd w:val="clear" w:color="auto" w:fill="FFFFFF"/>
        <w:tabs>
          <w:tab w:val="left" w:pos="3168"/>
        </w:tabs>
        <w:spacing w:after="120" w:line="480" w:lineRule="auto"/>
        <w:ind w:right="-154"/>
        <w:rPr>
          <w:lang w:val="en-GB" w:eastAsia="en-IN"/>
        </w:rPr>
      </w:pPr>
      <w:r w:rsidRPr="00120AA4">
        <w:rPr>
          <w:lang w:val="en-GB" w:eastAsia="en-IN"/>
        </w:rPr>
        <w:lastRenderedPageBreak/>
        <w:t>Hilton, (2024)</w:t>
      </w:r>
      <w:r w:rsidRPr="00120AA4">
        <w:rPr>
          <w:i/>
          <w:iCs/>
          <w:lang w:val="en-GB" w:eastAsia="en-IN"/>
        </w:rPr>
        <w:t>. Hilton Marks Global Handwashing Day by Expanding Soap Recycling Effort Around the World.</w:t>
      </w:r>
      <w:r w:rsidRPr="00120AA4">
        <w:rPr>
          <w:lang w:val="en-GB" w:eastAsia="en-IN"/>
        </w:rPr>
        <w:t xml:space="preserve"> [Online] Available at: https://stories.hilton.com/releases/hilton-bolsters-soap-recycling-efforts-for-global-handwashing-day [Accessed 23 April 2024].</w:t>
      </w:r>
    </w:p>
    <w:p w14:paraId="4012D768" w14:textId="77777777" w:rsidR="005E1ECD" w:rsidRPr="00120AA4" w:rsidRDefault="005E1ECD" w:rsidP="005E1ECD">
      <w:pPr>
        <w:shd w:val="clear" w:color="auto" w:fill="FFFFFF"/>
        <w:tabs>
          <w:tab w:val="left" w:pos="3168"/>
        </w:tabs>
        <w:spacing w:after="120" w:line="480" w:lineRule="auto"/>
        <w:ind w:right="-154"/>
        <w:rPr>
          <w:lang w:val="en-GB" w:eastAsia="en-IN"/>
        </w:rPr>
      </w:pPr>
      <w:proofErr w:type="spellStart"/>
      <w:r w:rsidRPr="00120AA4">
        <w:rPr>
          <w:lang w:val="en-GB" w:eastAsia="en-IN"/>
        </w:rPr>
        <w:t>Korstanje</w:t>
      </w:r>
      <w:proofErr w:type="spellEnd"/>
      <w:r w:rsidRPr="00120AA4">
        <w:rPr>
          <w:lang w:val="en-GB" w:eastAsia="en-IN"/>
        </w:rPr>
        <w:t xml:space="preserve">, George, B., &amp; </w:t>
      </w:r>
      <w:proofErr w:type="spellStart"/>
      <w:r w:rsidRPr="00120AA4">
        <w:rPr>
          <w:lang w:val="en-GB" w:eastAsia="en-IN"/>
        </w:rPr>
        <w:t>Nedelea</w:t>
      </w:r>
      <w:proofErr w:type="spellEnd"/>
      <w:r w:rsidRPr="00120AA4">
        <w:rPr>
          <w:lang w:val="en-GB" w:eastAsia="en-IN"/>
        </w:rPr>
        <w:t>, A. (2020).</w:t>
      </w:r>
      <w:r w:rsidRPr="00120AA4">
        <w:rPr>
          <w:i/>
          <w:lang w:val="en-GB" w:eastAsia="en-IN"/>
        </w:rPr>
        <w:t xml:space="preserve"> Strategies for promoting sustainable hospitality and tourism services.</w:t>
      </w:r>
      <w:r w:rsidRPr="00120AA4">
        <w:rPr>
          <w:lang w:val="en-GB" w:eastAsia="en-IN"/>
        </w:rPr>
        <w:t xml:space="preserve"> IGI Global.</w:t>
      </w:r>
    </w:p>
    <w:p w14:paraId="2DDE926A" w14:textId="77777777" w:rsidR="005E1ECD" w:rsidRDefault="005E1ECD" w:rsidP="005E1ECD">
      <w:pPr>
        <w:pStyle w:val="Normal1"/>
        <w:spacing w:line="480" w:lineRule="auto"/>
      </w:pPr>
      <w:r>
        <w:t xml:space="preserve">Lotito, J., (2023). </w:t>
      </w:r>
      <w:r w:rsidRPr="00501485">
        <w:rPr>
          <w:i/>
          <w:iCs/>
        </w:rPr>
        <w:t>CSR And ESG Face New And Familiar Threats</w:t>
      </w:r>
      <w:r>
        <w:t>. [Online] Available at: https://www.forbes.com/sites/jenniferlotito/2023/08/22/csr-and-esg-face-new-and-familiar-threats/?sh=70f962aa475b [Accessed 24 April 2024].</w:t>
      </w:r>
    </w:p>
    <w:p w14:paraId="4EA3B9FC" w14:textId="77777777" w:rsidR="005E1ECD" w:rsidRPr="00120AA4" w:rsidRDefault="005E1ECD" w:rsidP="005E1ECD">
      <w:pPr>
        <w:shd w:val="clear" w:color="auto" w:fill="FFFFFF"/>
        <w:tabs>
          <w:tab w:val="left" w:pos="3168"/>
        </w:tabs>
        <w:spacing w:after="120" w:line="480" w:lineRule="auto"/>
        <w:ind w:right="-154"/>
        <w:rPr>
          <w:lang w:val="en-GB" w:eastAsia="en-IN"/>
        </w:rPr>
      </w:pPr>
      <w:r w:rsidRPr="00120AA4">
        <w:rPr>
          <w:lang w:val="en-GB" w:eastAsia="en-IN"/>
        </w:rPr>
        <w:t>References</w:t>
      </w:r>
    </w:p>
    <w:p w14:paraId="7A22CB57" w14:textId="77777777" w:rsidR="005E1ECD" w:rsidRDefault="005E1ECD" w:rsidP="005E1ECD">
      <w:pPr>
        <w:pStyle w:val="Normal1"/>
        <w:spacing w:line="480" w:lineRule="auto"/>
      </w:pPr>
      <w:r>
        <w:t xml:space="preserve">Sloan, P., Legrand, W. and Chen, J.S. (2017) </w:t>
      </w:r>
      <w:r w:rsidRPr="00501485">
        <w:rPr>
          <w:i/>
          <w:iCs/>
        </w:rPr>
        <w:t>Sustainability in the hospitality industry : principles of sustainable operations. 3rd</w:t>
      </w:r>
      <w:r>
        <w:t xml:space="preserve"> edn. London: Butterworth-Heinemann.</w:t>
      </w:r>
    </w:p>
    <w:p w14:paraId="23DFBDCC" w14:textId="77777777" w:rsidR="005E1ECD" w:rsidRPr="00120AA4" w:rsidRDefault="005E1ECD" w:rsidP="005E1ECD">
      <w:pPr>
        <w:shd w:val="clear" w:color="auto" w:fill="FFFFFF"/>
        <w:tabs>
          <w:tab w:val="left" w:pos="3168"/>
        </w:tabs>
        <w:spacing w:after="120" w:line="480" w:lineRule="auto"/>
        <w:ind w:right="-154"/>
        <w:rPr>
          <w:lang w:val="en-GB" w:eastAsia="en-IN"/>
        </w:rPr>
      </w:pPr>
      <w:r w:rsidRPr="00120AA4">
        <w:rPr>
          <w:lang w:val="en-GB" w:eastAsia="en-IN"/>
        </w:rPr>
        <w:t xml:space="preserve">Wickham, Donnelly, T., &amp; French, L. (2021). </w:t>
      </w:r>
      <w:r w:rsidRPr="00120AA4">
        <w:rPr>
          <w:i/>
          <w:lang w:val="en-GB" w:eastAsia="en-IN"/>
        </w:rPr>
        <w:t>Strategic Sustainability Management in the Event Sector.</w:t>
      </w:r>
      <w:r w:rsidRPr="00120AA4">
        <w:rPr>
          <w:lang w:val="en-GB" w:eastAsia="en-IN"/>
        </w:rPr>
        <w:t xml:space="preserve"> Event Management, 25(3),</w:t>
      </w:r>
    </w:p>
    <w:p w14:paraId="39E95B1C" w14:textId="77777777" w:rsidR="00302F73" w:rsidRDefault="00302F73"/>
    <w:sectPr w:rsidR="00302F73" w:rsidSect="00E93618">
      <w:headerReference w:type="default" r:id="rId5"/>
      <w:footerReference w:type="default" r:id="rId6"/>
      <w:pgSz w:w="11909" w:h="16834"/>
      <w:pgMar w:top="1440" w:right="1440" w:bottom="1440" w:left="1440" w:header="720" w:footer="720" w:gutter="0"/>
      <w:pgNumType w:start="1"/>
      <w:cols w:space="708"/>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1735307970"/>
      <w:docPartObj>
        <w:docPartGallery w:val="Page Numbers (Bottom of Page)"/>
        <w:docPartUnique/>
      </w:docPartObj>
    </w:sdtPr>
    <w:sdtContent>
      <w:sdt>
        <w:sdtPr>
          <w:rPr>
            <w:b/>
            <w:bCs/>
          </w:rPr>
          <w:id w:val="-1769616900"/>
          <w:docPartObj>
            <w:docPartGallery w:val="Page Numbers (Top of Page)"/>
            <w:docPartUnique/>
          </w:docPartObj>
        </w:sdtPr>
        <w:sdtContent>
          <w:p w14:paraId="0ED6DD74" w14:textId="77777777" w:rsidR="00000000" w:rsidRPr="00E93618" w:rsidRDefault="00000000">
            <w:pPr>
              <w:pStyle w:val="ae"/>
              <w:jc w:val="right"/>
              <w:rPr>
                <w:b/>
                <w:bCs/>
              </w:rPr>
            </w:pPr>
            <w:r w:rsidRPr="00E93618">
              <w:rPr>
                <w:b/>
                <w:bCs/>
              </w:rPr>
              <w:t xml:space="preserve">Page </w:t>
            </w:r>
            <w:r w:rsidRPr="00E93618">
              <w:rPr>
                <w:b/>
                <w:bCs/>
              </w:rPr>
              <w:fldChar w:fldCharType="begin"/>
            </w:r>
            <w:r w:rsidRPr="00E93618">
              <w:rPr>
                <w:b/>
                <w:bCs/>
              </w:rPr>
              <w:instrText xml:space="preserve"> PAGE </w:instrText>
            </w:r>
            <w:r w:rsidRPr="00E93618">
              <w:rPr>
                <w:b/>
                <w:bCs/>
              </w:rPr>
              <w:fldChar w:fldCharType="separate"/>
            </w:r>
            <w:r w:rsidRPr="00E93618">
              <w:rPr>
                <w:b/>
                <w:bCs/>
                <w:noProof/>
              </w:rPr>
              <w:t>2</w:t>
            </w:r>
            <w:r w:rsidRPr="00E93618">
              <w:rPr>
                <w:b/>
                <w:bCs/>
              </w:rPr>
              <w:fldChar w:fldCharType="end"/>
            </w:r>
            <w:r w:rsidRPr="00E93618">
              <w:rPr>
                <w:b/>
                <w:bCs/>
              </w:rPr>
              <w:t xml:space="preserve"> of </w:t>
            </w:r>
            <w:r w:rsidRPr="00E93618">
              <w:rPr>
                <w:b/>
                <w:bCs/>
              </w:rPr>
              <w:fldChar w:fldCharType="begin"/>
            </w:r>
            <w:r w:rsidRPr="00E93618">
              <w:rPr>
                <w:b/>
                <w:bCs/>
              </w:rPr>
              <w:instrText xml:space="preserve"> NUMPAGES  </w:instrText>
            </w:r>
            <w:r w:rsidRPr="00E93618">
              <w:rPr>
                <w:b/>
                <w:bCs/>
              </w:rPr>
              <w:fldChar w:fldCharType="separate"/>
            </w:r>
            <w:r w:rsidRPr="00E93618">
              <w:rPr>
                <w:b/>
                <w:bCs/>
                <w:noProof/>
              </w:rPr>
              <w:t>2</w:t>
            </w:r>
            <w:r w:rsidRPr="00E93618">
              <w:rPr>
                <w:b/>
                <w:bCs/>
              </w:rPr>
              <w:fldChar w:fldCharType="end"/>
            </w:r>
          </w:p>
        </w:sdtContent>
      </w:sdt>
    </w:sdtContent>
  </w:sdt>
  <w:p w14:paraId="63FA7565" w14:textId="77777777" w:rsidR="00000000" w:rsidRDefault="00000000">
    <w:pPr>
      <w:pStyle w:val="ae"/>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80F1E1" w14:textId="77777777" w:rsidR="00000000" w:rsidRDefault="00000000">
    <w:pPr>
      <w:pStyle w:val="ac"/>
      <w:jc w:val="right"/>
      <w:rPr>
        <w:color w:val="7F7F7F" w:themeColor="text1" w:themeTint="80"/>
      </w:rPr>
    </w:pPr>
    <w:r w:rsidRPr="00E93618">
      <w:rPr>
        <w:b/>
        <w:bCs/>
        <w:color w:val="7F7F7F" w:themeColor="text1" w:themeTint="80"/>
      </w:rPr>
      <w:t>Sustainable Hospitality &amp; Tourism Management</w:t>
    </w:r>
  </w:p>
  <w:p w14:paraId="42CC3C79" w14:textId="77777777" w:rsidR="00000000" w:rsidRDefault="00000000">
    <w:pPr>
      <w:pStyle w:val="ac"/>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ECD"/>
    <w:rsid w:val="001E3EC0"/>
    <w:rsid w:val="00302F73"/>
    <w:rsid w:val="005E1ECD"/>
    <w:rsid w:val="00720405"/>
    <w:rsid w:val="00954CF9"/>
  </w:rsids>
  <m:mathPr>
    <m:mathFont m:val="Cambria Math"/>
    <m:brkBin m:val="before"/>
    <m:brkBinSub m:val="--"/>
    <m:smallFrac m:val="0"/>
    <m:dispDef/>
    <m:lMargin m:val="0"/>
    <m:rMargin m:val="0"/>
    <m:defJc m:val="centerGroup"/>
    <m:wrapIndent m:val="1440"/>
    <m:intLim m:val="subSup"/>
    <m:naryLim m:val="undOvr"/>
  </m:mathPr>
  <w:themeFontLang w:val="ru-GB"/>
  <w:clrSchemeMapping w:bg1="light1" w:t1="dark1" w:bg2="light2" w:t2="dark2" w:accent1="accent1" w:accent2="accent2" w:accent3="accent3" w:accent4="accent4" w:accent5="accent5" w:accent6="accent6" w:hyperlink="hyperlink" w:followedHyperlink="followedHyperlink"/>
  <w:decimalSymbol w:val="."/>
  <w:listSeparator w:val=";"/>
  <w14:docId w14:val="38DDAECA"/>
  <w15:chartTrackingRefBased/>
  <w15:docId w15:val="{F77A366F-CEA1-EC49-A70A-1D862C4D5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ru-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E1ECD"/>
    <w:pPr>
      <w:spacing w:after="200" w:line="276" w:lineRule="auto"/>
      <w:jc w:val="both"/>
    </w:pPr>
    <w:rPr>
      <w:rFonts w:ascii="Times New Roman" w:eastAsia="Times New Roman" w:hAnsi="Times New Roman" w:cs="Times New Roman"/>
      <w:kern w:val="0"/>
      <w:lang w:val=""/>
      <w14:ligatures w14:val="none"/>
    </w:rPr>
  </w:style>
  <w:style w:type="paragraph" w:styleId="1">
    <w:name w:val="heading 1"/>
    <w:basedOn w:val="a"/>
    <w:next w:val="a"/>
    <w:link w:val="10"/>
    <w:uiPriority w:val="9"/>
    <w:qFormat/>
    <w:rsid w:val="005E1ECD"/>
    <w:pPr>
      <w:keepNext/>
      <w:keepLines/>
      <w:spacing w:before="360" w:after="80" w:line="240" w:lineRule="auto"/>
      <w:jc w:val="left"/>
      <w:outlineLvl w:val="0"/>
    </w:pPr>
    <w:rPr>
      <w:rFonts w:asciiTheme="majorHAnsi" w:eastAsiaTheme="majorEastAsia" w:hAnsiTheme="majorHAnsi" w:cstheme="majorBidi"/>
      <w:color w:val="0F4761" w:themeColor="accent1" w:themeShade="BF"/>
      <w:kern w:val="2"/>
      <w:sz w:val="40"/>
      <w:szCs w:val="40"/>
      <w:lang w:val="ru-GB"/>
      <w14:ligatures w14:val="standardContextual"/>
    </w:rPr>
  </w:style>
  <w:style w:type="paragraph" w:styleId="2">
    <w:name w:val="heading 2"/>
    <w:basedOn w:val="a"/>
    <w:next w:val="a"/>
    <w:link w:val="20"/>
    <w:uiPriority w:val="9"/>
    <w:semiHidden/>
    <w:unhideWhenUsed/>
    <w:qFormat/>
    <w:rsid w:val="005E1ECD"/>
    <w:pPr>
      <w:keepNext/>
      <w:keepLines/>
      <w:spacing w:before="160" w:after="80" w:line="240" w:lineRule="auto"/>
      <w:jc w:val="left"/>
      <w:outlineLvl w:val="1"/>
    </w:pPr>
    <w:rPr>
      <w:rFonts w:asciiTheme="majorHAnsi" w:eastAsiaTheme="majorEastAsia" w:hAnsiTheme="majorHAnsi" w:cstheme="majorBidi"/>
      <w:color w:val="0F4761" w:themeColor="accent1" w:themeShade="BF"/>
      <w:kern w:val="2"/>
      <w:sz w:val="32"/>
      <w:szCs w:val="32"/>
      <w:lang w:val="ru-GB"/>
      <w14:ligatures w14:val="standardContextual"/>
    </w:rPr>
  </w:style>
  <w:style w:type="paragraph" w:styleId="3">
    <w:name w:val="heading 3"/>
    <w:basedOn w:val="a"/>
    <w:next w:val="a"/>
    <w:link w:val="30"/>
    <w:uiPriority w:val="9"/>
    <w:semiHidden/>
    <w:unhideWhenUsed/>
    <w:qFormat/>
    <w:rsid w:val="005E1ECD"/>
    <w:pPr>
      <w:keepNext/>
      <w:keepLines/>
      <w:spacing w:before="160" w:after="80" w:line="240" w:lineRule="auto"/>
      <w:jc w:val="left"/>
      <w:outlineLvl w:val="2"/>
    </w:pPr>
    <w:rPr>
      <w:rFonts w:asciiTheme="minorHAnsi" w:eastAsiaTheme="majorEastAsia" w:hAnsiTheme="minorHAnsi" w:cstheme="majorBidi"/>
      <w:color w:val="0F4761" w:themeColor="accent1" w:themeShade="BF"/>
      <w:kern w:val="2"/>
      <w:sz w:val="28"/>
      <w:szCs w:val="28"/>
      <w:lang w:val="ru-GB"/>
      <w14:ligatures w14:val="standardContextual"/>
    </w:rPr>
  </w:style>
  <w:style w:type="paragraph" w:styleId="4">
    <w:name w:val="heading 4"/>
    <w:basedOn w:val="a"/>
    <w:next w:val="a"/>
    <w:link w:val="40"/>
    <w:uiPriority w:val="9"/>
    <w:semiHidden/>
    <w:unhideWhenUsed/>
    <w:qFormat/>
    <w:rsid w:val="005E1ECD"/>
    <w:pPr>
      <w:keepNext/>
      <w:keepLines/>
      <w:spacing w:before="80" w:after="40" w:line="240" w:lineRule="auto"/>
      <w:jc w:val="left"/>
      <w:outlineLvl w:val="3"/>
    </w:pPr>
    <w:rPr>
      <w:rFonts w:asciiTheme="minorHAnsi" w:eastAsiaTheme="majorEastAsia" w:hAnsiTheme="minorHAnsi" w:cstheme="majorBidi"/>
      <w:i/>
      <w:iCs/>
      <w:color w:val="0F4761" w:themeColor="accent1" w:themeShade="BF"/>
      <w:kern w:val="2"/>
      <w:lang w:val="ru-GB"/>
      <w14:ligatures w14:val="standardContextual"/>
    </w:rPr>
  </w:style>
  <w:style w:type="paragraph" w:styleId="5">
    <w:name w:val="heading 5"/>
    <w:basedOn w:val="a"/>
    <w:next w:val="a"/>
    <w:link w:val="50"/>
    <w:uiPriority w:val="9"/>
    <w:semiHidden/>
    <w:unhideWhenUsed/>
    <w:qFormat/>
    <w:rsid w:val="005E1ECD"/>
    <w:pPr>
      <w:keepNext/>
      <w:keepLines/>
      <w:spacing w:before="80" w:after="40" w:line="240" w:lineRule="auto"/>
      <w:jc w:val="left"/>
      <w:outlineLvl w:val="4"/>
    </w:pPr>
    <w:rPr>
      <w:rFonts w:asciiTheme="minorHAnsi" w:eastAsiaTheme="majorEastAsia" w:hAnsiTheme="minorHAnsi" w:cstheme="majorBidi"/>
      <w:color w:val="0F4761" w:themeColor="accent1" w:themeShade="BF"/>
      <w:kern w:val="2"/>
      <w:lang w:val="ru-GB"/>
      <w14:ligatures w14:val="standardContextual"/>
    </w:rPr>
  </w:style>
  <w:style w:type="paragraph" w:styleId="6">
    <w:name w:val="heading 6"/>
    <w:basedOn w:val="a"/>
    <w:next w:val="a"/>
    <w:link w:val="60"/>
    <w:uiPriority w:val="9"/>
    <w:semiHidden/>
    <w:unhideWhenUsed/>
    <w:qFormat/>
    <w:rsid w:val="005E1ECD"/>
    <w:pPr>
      <w:keepNext/>
      <w:keepLines/>
      <w:spacing w:before="40" w:after="0" w:line="240" w:lineRule="auto"/>
      <w:jc w:val="left"/>
      <w:outlineLvl w:val="5"/>
    </w:pPr>
    <w:rPr>
      <w:rFonts w:asciiTheme="minorHAnsi" w:eastAsiaTheme="majorEastAsia" w:hAnsiTheme="minorHAnsi" w:cstheme="majorBidi"/>
      <w:i/>
      <w:iCs/>
      <w:color w:val="595959" w:themeColor="text1" w:themeTint="A6"/>
      <w:kern w:val="2"/>
      <w:lang w:val="ru-GB"/>
      <w14:ligatures w14:val="standardContextual"/>
    </w:rPr>
  </w:style>
  <w:style w:type="paragraph" w:styleId="7">
    <w:name w:val="heading 7"/>
    <w:basedOn w:val="a"/>
    <w:next w:val="a"/>
    <w:link w:val="70"/>
    <w:uiPriority w:val="9"/>
    <w:semiHidden/>
    <w:unhideWhenUsed/>
    <w:qFormat/>
    <w:rsid w:val="005E1ECD"/>
    <w:pPr>
      <w:keepNext/>
      <w:keepLines/>
      <w:spacing w:before="40" w:after="0" w:line="240" w:lineRule="auto"/>
      <w:jc w:val="left"/>
      <w:outlineLvl w:val="6"/>
    </w:pPr>
    <w:rPr>
      <w:rFonts w:asciiTheme="minorHAnsi" w:eastAsiaTheme="majorEastAsia" w:hAnsiTheme="minorHAnsi" w:cstheme="majorBidi"/>
      <w:color w:val="595959" w:themeColor="text1" w:themeTint="A6"/>
      <w:kern w:val="2"/>
      <w:lang w:val="ru-GB"/>
      <w14:ligatures w14:val="standardContextual"/>
    </w:rPr>
  </w:style>
  <w:style w:type="paragraph" w:styleId="8">
    <w:name w:val="heading 8"/>
    <w:basedOn w:val="a"/>
    <w:next w:val="a"/>
    <w:link w:val="80"/>
    <w:uiPriority w:val="9"/>
    <w:semiHidden/>
    <w:unhideWhenUsed/>
    <w:qFormat/>
    <w:rsid w:val="005E1ECD"/>
    <w:pPr>
      <w:keepNext/>
      <w:keepLines/>
      <w:spacing w:after="0" w:line="240" w:lineRule="auto"/>
      <w:jc w:val="left"/>
      <w:outlineLvl w:val="7"/>
    </w:pPr>
    <w:rPr>
      <w:rFonts w:asciiTheme="minorHAnsi" w:eastAsiaTheme="majorEastAsia" w:hAnsiTheme="minorHAnsi" w:cstheme="majorBidi"/>
      <w:i/>
      <w:iCs/>
      <w:color w:val="272727" w:themeColor="text1" w:themeTint="D8"/>
      <w:kern w:val="2"/>
      <w:lang w:val="ru-GB"/>
      <w14:ligatures w14:val="standardContextual"/>
    </w:rPr>
  </w:style>
  <w:style w:type="paragraph" w:styleId="9">
    <w:name w:val="heading 9"/>
    <w:basedOn w:val="a"/>
    <w:next w:val="a"/>
    <w:link w:val="90"/>
    <w:uiPriority w:val="9"/>
    <w:semiHidden/>
    <w:unhideWhenUsed/>
    <w:qFormat/>
    <w:rsid w:val="005E1ECD"/>
    <w:pPr>
      <w:keepNext/>
      <w:keepLines/>
      <w:spacing w:after="0" w:line="240" w:lineRule="auto"/>
      <w:jc w:val="left"/>
      <w:outlineLvl w:val="8"/>
    </w:pPr>
    <w:rPr>
      <w:rFonts w:asciiTheme="minorHAnsi" w:eastAsiaTheme="majorEastAsia" w:hAnsiTheme="minorHAnsi" w:cstheme="majorBidi"/>
      <w:color w:val="272727" w:themeColor="text1" w:themeTint="D8"/>
      <w:kern w:val="2"/>
      <w:lang w:val="ru-GB"/>
      <w14:ligatures w14:val="standardContextual"/>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5E1ECD"/>
    <w:rPr>
      <w:rFonts w:asciiTheme="majorHAnsi" w:eastAsiaTheme="majorEastAsia" w:hAnsiTheme="majorHAnsi" w:cstheme="majorBidi"/>
      <w:color w:val="0F4761" w:themeColor="accent1" w:themeShade="BF"/>
      <w:sz w:val="40"/>
      <w:szCs w:val="40"/>
    </w:rPr>
  </w:style>
  <w:style w:type="character" w:customStyle="1" w:styleId="20">
    <w:name w:val="Заголовок 2 Знак"/>
    <w:basedOn w:val="a0"/>
    <w:link w:val="2"/>
    <w:uiPriority w:val="9"/>
    <w:semiHidden/>
    <w:rsid w:val="005E1ECD"/>
    <w:rPr>
      <w:rFonts w:asciiTheme="majorHAnsi" w:eastAsiaTheme="majorEastAsia" w:hAnsiTheme="majorHAnsi" w:cstheme="majorBidi"/>
      <w:color w:val="0F4761" w:themeColor="accent1" w:themeShade="BF"/>
      <w:sz w:val="32"/>
      <w:szCs w:val="32"/>
    </w:rPr>
  </w:style>
  <w:style w:type="character" w:customStyle="1" w:styleId="30">
    <w:name w:val="Заголовок 3 Знак"/>
    <w:basedOn w:val="a0"/>
    <w:link w:val="3"/>
    <w:uiPriority w:val="9"/>
    <w:semiHidden/>
    <w:rsid w:val="005E1ECD"/>
    <w:rPr>
      <w:rFonts w:eastAsiaTheme="majorEastAsia" w:cstheme="majorBidi"/>
      <w:color w:val="0F4761" w:themeColor="accent1" w:themeShade="BF"/>
      <w:sz w:val="28"/>
      <w:szCs w:val="28"/>
    </w:rPr>
  </w:style>
  <w:style w:type="character" w:customStyle="1" w:styleId="40">
    <w:name w:val="Заголовок 4 Знак"/>
    <w:basedOn w:val="a0"/>
    <w:link w:val="4"/>
    <w:uiPriority w:val="9"/>
    <w:semiHidden/>
    <w:rsid w:val="005E1ECD"/>
    <w:rPr>
      <w:rFonts w:eastAsiaTheme="majorEastAsia" w:cstheme="majorBidi"/>
      <w:i/>
      <w:iCs/>
      <w:color w:val="0F4761" w:themeColor="accent1" w:themeShade="BF"/>
    </w:rPr>
  </w:style>
  <w:style w:type="character" w:customStyle="1" w:styleId="50">
    <w:name w:val="Заголовок 5 Знак"/>
    <w:basedOn w:val="a0"/>
    <w:link w:val="5"/>
    <w:uiPriority w:val="9"/>
    <w:semiHidden/>
    <w:rsid w:val="005E1ECD"/>
    <w:rPr>
      <w:rFonts w:eastAsiaTheme="majorEastAsia" w:cstheme="majorBidi"/>
      <w:color w:val="0F4761" w:themeColor="accent1" w:themeShade="BF"/>
    </w:rPr>
  </w:style>
  <w:style w:type="character" w:customStyle="1" w:styleId="60">
    <w:name w:val="Заголовок 6 Знак"/>
    <w:basedOn w:val="a0"/>
    <w:link w:val="6"/>
    <w:uiPriority w:val="9"/>
    <w:semiHidden/>
    <w:rsid w:val="005E1ECD"/>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5E1ECD"/>
    <w:rPr>
      <w:rFonts w:eastAsiaTheme="majorEastAsia" w:cstheme="majorBidi"/>
      <w:color w:val="595959" w:themeColor="text1" w:themeTint="A6"/>
    </w:rPr>
  </w:style>
  <w:style w:type="character" w:customStyle="1" w:styleId="80">
    <w:name w:val="Заголовок 8 Знак"/>
    <w:basedOn w:val="a0"/>
    <w:link w:val="8"/>
    <w:uiPriority w:val="9"/>
    <w:semiHidden/>
    <w:rsid w:val="005E1ECD"/>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5E1ECD"/>
    <w:rPr>
      <w:rFonts w:eastAsiaTheme="majorEastAsia" w:cstheme="majorBidi"/>
      <w:color w:val="272727" w:themeColor="text1" w:themeTint="D8"/>
    </w:rPr>
  </w:style>
  <w:style w:type="paragraph" w:styleId="a3">
    <w:name w:val="Title"/>
    <w:basedOn w:val="a"/>
    <w:next w:val="a"/>
    <w:link w:val="a4"/>
    <w:qFormat/>
    <w:rsid w:val="005E1ECD"/>
    <w:pPr>
      <w:spacing w:after="80" w:line="240" w:lineRule="auto"/>
      <w:contextualSpacing/>
      <w:jc w:val="left"/>
    </w:pPr>
    <w:rPr>
      <w:rFonts w:asciiTheme="majorHAnsi" w:eastAsiaTheme="majorEastAsia" w:hAnsiTheme="majorHAnsi" w:cstheme="majorBidi"/>
      <w:spacing w:val="-10"/>
      <w:kern w:val="28"/>
      <w:sz w:val="56"/>
      <w:szCs w:val="56"/>
      <w:lang w:val="ru-GB"/>
      <w14:ligatures w14:val="standardContextual"/>
    </w:rPr>
  </w:style>
  <w:style w:type="character" w:customStyle="1" w:styleId="a4">
    <w:name w:val="Заголовок Знак"/>
    <w:basedOn w:val="a0"/>
    <w:link w:val="a3"/>
    <w:rsid w:val="005E1ECD"/>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5E1ECD"/>
    <w:pPr>
      <w:numPr>
        <w:ilvl w:val="1"/>
      </w:numPr>
      <w:spacing w:after="160" w:line="240" w:lineRule="auto"/>
      <w:jc w:val="left"/>
    </w:pPr>
    <w:rPr>
      <w:rFonts w:asciiTheme="minorHAnsi" w:eastAsiaTheme="majorEastAsia" w:hAnsiTheme="minorHAnsi" w:cstheme="majorBidi"/>
      <w:color w:val="595959" w:themeColor="text1" w:themeTint="A6"/>
      <w:spacing w:val="15"/>
      <w:kern w:val="2"/>
      <w:sz w:val="28"/>
      <w:szCs w:val="28"/>
      <w:lang w:val="ru-GB"/>
      <w14:ligatures w14:val="standardContextual"/>
    </w:rPr>
  </w:style>
  <w:style w:type="character" w:customStyle="1" w:styleId="a6">
    <w:name w:val="Подзаголовок Знак"/>
    <w:basedOn w:val="a0"/>
    <w:link w:val="a5"/>
    <w:uiPriority w:val="11"/>
    <w:rsid w:val="005E1ECD"/>
    <w:rPr>
      <w:rFonts w:eastAsiaTheme="majorEastAsia" w:cstheme="majorBidi"/>
      <w:color w:val="595959" w:themeColor="text1" w:themeTint="A6"/>
      <w:spacing w:val="15"/>
      <w:sz w:val="28"/>
      <w:szCs w:val="28"/>
    </w:rPr>
  </w:style>
  <w:style w:type="paragraph" w:styleId="21">
    <w:name w:val="Quote"/>
    <w:basedOn w:val="a"/>
    <w:next w:val="a"/>
    <w:link w:val="22"/>
    <w:uiPriority w:val="29"/>
    <w:qFormat/>
    <w:rsid w:val="005E1ECD"/>
    <w:pPr>
      <w:spacing w:before="160" w:after="160" w:line="240" w:lineRule="auto"/>
      <w:jc w:val="center"/>
    </w:pPr>
    <w:rPr>
      <w:rFonts w:asciiTheme="minorHAnsi" w:eastAsiaTheme="minorHAnsi" w:hAnsiTheme="minorHAnsi" w:cstheme="minorBidi"/>
      <w:i/>
      <w:iCs/>
      <w:color w:val="404040" w:themeColor="text1" w:themeTint="BF"/>
      <w:kern w:val="2"/>
      <w:lang w:val="ru-GB"/>
      <w14:ligatures w14:val="standardContextual"/>
    </w:rPr>
  </w:style>
  <w:style w:type="character" w:customStyle="1" w:styleId="22">
    <w:name w:val="Цитата 2 Знак"/>
    <w:basedOn w:val="a0"/>
    <w:link w:val="21"/>
    <w:uiPriority w:val="29"/>
    <w:rsid w:val="005E1ECD"/>
    <w:rPr>
      <w:i/>
      <w:iCs/>
      <w:color w:val="404040" w:themeColor="text1" w:themeTint="BF"/>
    </w:rPr>
  </w:style>
  <w:style w:type="paragraph" w:styleId="a7">
    <w:name w:val="List Paragraph"/>
    <w:basedOn w:val="a"/>
    <w:uiPriority w:val="34"/>
    <w:qFormat/>
    <w:rsid w:val="005E1ECD"/>
    <w:pPr>
      <w:spacing w:after="0" w:line="240" w:lineRule="auto"/>
      <w:ind w:left="720"/>
      <w:contextualSpacing/>
      <w:jc w:val="left"/>
    </w:pPr>
    <w:rPr>
      <w:rFonts w:asciiTheme="minorHAnsi" w:eastAsiaTheme="minorHAnsi" w:hAnsiTheme="minorHAnsi" w:cstheme="minorBidi"/>
      <w:kern w:val="2"/>
      <w:lang w:val="ru-GB"/>
      <w14:ligatures w14:val="standardContextual"/>
    </w:rPr>
  </w:style>
  <w:style w:type="character" w:styleId="a8">
    <w:name w:val="Intense Emphasis"/>
    <w:basedOn w:val="a0"/>
    <w:uiPriority w:val="21"/>
    <w:qFormat/>
    <w:rsid w:val="005E1ECD"/>
    <w:rPr>
      <w:i/>
      <w:iCs/>
      <w:color w:val="0F4761" w:themeColor="accent1" w:themeShade="BF"/>
    </w:rPr>
  </w:style>
  <w:style w:type="paragraph" w:styleId="a9">
    <w:name w:val="Intense Quote"/>
    <w:basedOn w:val="a"/>
    <w:next w:val="a"/>
    <w:link w:val="aa"/>
    <w:uiPriority w:val="30"/>
    <w:qFormat/>
    <w:rsid w:val="005E1ECD"/>
    <w:pPr>
      <w:pBdr>
        <w:top w:val="single" w:sz="4" w:space="10" w:color="0F4761" w:themeColor="accent1" w:themeShade="BF"/>
        <w:bottom w:val="single" w:sz="4" w:space="10" w:color="0F4761" w:themeColor="accent1" w:themeShade="BF"/>
      </w:pBdr>
      <w:spacing w:before="360" w:after="360" w:line="240" w:lineRule="auto"/>
      <w:ind w:left="864" w:right="864"/>
      <w:jc w:val="center"/>
    </w:pPr>
    <w:rPr>
      <w:rFonts w:asciiTheme="minorHAnsi" w:eastAsiaTheme="minorHAnsi" w:hAnsiTheme="minorHAnsi" w:cstheme="minorBidi"/>
      <w:i/>
      <w:iCs/>
      <w:color w:val="0F4761" w:themeColor="accent1" w:themeShade="BF"/>
      <w:kern w:val="2"/>
      <w:lang w:val="ru-GB"/>
      <w14:ligatures w14:val="standardContextual"/>
    </w:rPr>
  </w:style>
  <w:style w:type="character" w:customStyle="1" w:styleId="aa">
    <w:name w:val="Выделенная цитата Знак"/>
    <w:basedOn w:val="a0"/>
    <w:link w:val="a9"/>
    <w:uiPriority w:val="30"/>
    <w:rsid w:val="005E1ECD"/>
    <w:rPr>
      <w:i/>
      <w:iCs/>
      <w:color w:val="0F4761" w:themeColor="accent1" w:themeShade="BF"/>
    </w:rPr>
  </w:style>
  <w:style w:type="character" w:styleId="ab">
    <w:name w:val="Intense Reference"/>
    <w:basedOn w:val="a0"/>
    <w:uiPriority w:val="32"/>
    <w:qFormat/>
    <w:rsid w:val="005E1ECD"/>
    <w:rPr>
      <w:b/>
      <w:bCs/>
      <w:smallCaps/>
      <w:color w:val="0F4761" w:themeColor="accent1" w:themeShade="BF"/>
      <w:spacing w:val="5"/>
    </w:rPr>
  </w:style>
  <w:style w:type="paragraph" w:customStyle="1" w:styleId="Normal1">
    <w:name w:val="Normal1"/>
    <w:rsid w:val="005E1ECD"/>
    <w:pPr>
      <w:spacing w:after="200" w:line="276" w:lineRule="auto"/>
      <w:jc w:val="both"/>
    </w:pPr>
    <w:rPr>
      <w:rFonts w:ascii="Times New Roman" w:eastAsia="Times New Roman" w:hAnsi="Times New Roman" w:cs="Times New Roman"/>
      <w:kern w:val="0"/>
      <w:lang w:val=""/>
      <w14:ligatures w14:val="none"/>
    </w:rPr>
  </w:style>
  <w:style w:type="paragraph" w:styleId="ac">
    <w:name w:val="header"/>
    <w:basedOn w:val="a"/>
    <w:link w:val="ad"/>
    <w:uiPriority w:val="99"/>
    <w:unhideWhenUsed/>
    <w:rsid w:val="005E1ECD"/>
    <w:pPr>
      <w:tabs>
        <w:tab w:val="center" w:pos="4513"/>
        <w:tab w:val="right" w:pos="9026"/>
      </w:tabs>
      <w:spacing w:after="0" w:line="240" w:lineRule="auto"/>
    </w:pPr>
  </w:style>
  <w:style w:type="character" w:customStyle="1" w:styleId="ad">
    <w:name w:val="Верхний колонтитул Знак"/>
    <w:basedOn w:val="a0"/>
    <w:link w:val="ac"/>
    <w:uiPriority w:val="99"/>
    <w:rsid w:val="005E1ECD"/>
    <w:rPr>
      <w:rFonts w:ascii="Times New Roman" w:eastAsia="Times New Roman" w:hAnsi="Times New Roman" w:cs="Times New Roman"/>
      <w:kern w:val="0"/>
      <w:lang w:val=""/>
      <w14:ligatures w14:val="none"/>
    </w:rPr>
  </w:style>
  <w:style w:type="paragraph" w:styleId="ae">
    <w:name w:val="footer"/>
    <w:basedOn w:val="a"/>
    <w:link w:val="af"/>
    <w:uiPriority w:val="99"/>
    <w:unhideWhenUsed/>
    <w:rsid w:val="005E1ECD"/>
    <w:pPr>
      <w:tabs>
        <w:tab w:val="center" w:pos="4513"/>
        <w:tab w:val="right" w:pos="9026"/>
      </w:tabs>
      <w:spacing w:after="0" w:line="240" w:lineRule="auto"/>
    </w:pPr>
  </w:style>
  <w:style w:type="character" w:customStyle="1" w:styleId="af">
    <w:name w:val="Нижний колонтитул Знак"/>
    <w:basedOn w:val="a0"/>
    <w:link w:val="ae"/>
    <w:uiPriority w:val="99"/>
    <w:rsid w:val="005E1ECD"/>
    <w:rPr>
      <w:rFonts w:ascii="Times New Roman" w:eastAsia="Times New Roman" w:hAnsi="Times New Roman" w:cs="Times New Roman"/>
      <w:kern w:val="0"/>
      <w:lang w:val=""/>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webSettings" Target="webSettings.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Hil22</b:Tag>
    <b:SourceType>InternetSite</b:SourceType>
    <b:Guid>{86CA3F66-8642-4D79-A254-66EDAFE3EEC3}</b:Guid>
    <b:Author>
      <b:Author>
        <b:Corporate>Hilton</b:Corporate>
      </b:Author>
    </b:Author>
    <b:Title>Waste</b:Title>
    <b:Year>2022</b:Year>
    <b:YearAccessed>2024</b:YearAccessed>
    <b:MonthAccessed>April</b:MonthAccessed>
    <b:DayAccessed>22</b:DayAccessed>
    <b:URL>https://esg.hilton.com/environment/#:~:text=Hilton%20is%20committed%20to%20reducing%20waste%20and%20driving%20towards%20a,waste%20by%2050%25%20by%202030</b:URL>
    <b:RefOrder>1</b:RefOrder>
  </b:Source>
  <b:Source>
    <b:Tag>Hil24</b:Tag>
    <b:SourceType>InternetSite</b:SourceType>
    <b:Guid>{ADC0D474-2B8D-4B05-AA3F-F3508C6C983A}</b:Guid>
    <b:Author>
      <b:Author>
        <b:Corporate>Hilton</b:Corporate>
      </b:Author>
    </b:Author>
    <b:Title>Hilton Marks Global Handwashing Day by Expanding Soap Recycling Effort Around the World</b:Title>
    <b:Year>2024</b:Year>
    <b:YearAccessed>2024</b:YearAccessed>
    <b:MonthAccessed>April </b:MonthAccessed>
    <b:DayAccessed>23</b:DayAccessed>
    <b:URL>https://stories.hilton.com/releases/hilton-bolsters-soap-recycling-efforts-for-global-handwashing-day</b:URL>
    <b:RefOrder>2</b:RefOrder>
  </b:Source>
  <b:Source>
    <b:Tag>Hil19</b:Tag>
    <b:SourceType>InternetSite</b:SourceType>
    <b:Guid>{22C85858-FD86-4FC8-8BED-71F3F3C1345A}</b:Guid>
    <b:Author>
      <b:Author>
        <b:Corporate>Hilton </b:Corporate>
      </b:Author>
    </b:Author>
    <b:Title>Hilton 2019 Corporate Responsibility Report</b:Title>
    <b:Year>2019</b:Year>
    <b:YearAccessed>2024</b:YearAccessed>
    <b:MonthAccessed>April</b:MonthAccessed>
    <b:DayAccessed>24</b:DayAccessed>
    <b:URL>https://cr.hilton.com/wp-content/uploads/2020/04/Hilton-2019-CR-Report.pdf</b:URL>
    <b:RefOrder>3</b:RefOrder>
  </b:Source>
  <b:Source>
    <b:Tag>Jen23</b:Tag>
    <b:SourceType>InternetSite</b:SourceType>
    <b:Guid>{D61F6E7C-14A0-494D-A1E5-142BED25B998}</b:Guid>
    <b:Author>
      <b:Author>
        <b:NameList>
          <b:Person>
            <b:Last>Lotito</b:Last>
            <b:First>Jennifer</b:First>
          </b:Person>
        </b:NameList>
      </b:Author>
    </b:Author>
    <b:Title>CSR And ESG Face New And Familiar Threats</b:Title>
    <b:Year>2023</b:Year>
    <b:YearAccessed>2024</b:YearAccessed>
    <b:MonthAccessed>April</b:MonthAccessed>
    <b:DayAccessed>24</b:DayAccessed>
    <b:URL>https://www.forbes.com/sites/jenniferlotito/2023/08/22/csr-and-esg-face-new-and-familiar-threats/?sh=70f962aa475b</b:URL>
    <b:RefOrder>1</b:RefOrder>
  </b:Source>
  <b:Source>
    <b:Tag>Cha20</b:Tag>
    <b:SourceType>InternetSite</b:SourceType>
    <b:Guid>{CED94DA5-5662-42E3-9B1F-429309E467A6}</b:Guid>
    <b:Author>
      <b:Author>
        <b:NameList>
          <b:Person>
            <b:Last>Heyward</b:Last>
            <b:First>Chastity</b:First>
          </b:Person>
        </b:NameList>
      </b:Author>
    </b:Author>
    <b:Title>The Growing Importance Of Social Responsibility In Business</b:Title>
    <b:Year>2020</b:Year>
    <b:YearAccessed>2024</b:YearAccessed>
    <b:MonthAccessed>April</b:MonthAccessed>
    <b:DayAccessed>25</b:DayAccessed>
    <b:URL>https://www.forbes.com/sites/forbesbusinesscouncil/2020/11/18/the-growing-importance-of-social-responsibility-in-business/?sh=7a49f85d2283</b:URL>
    <b:RefOrder>2</b:RefOrder>
  </b:Source>
</b:Sources>
</file>

<file path=customXml/itemProps1.xml><?xml version="1.0" encoding="utf-8"?>
<ds:datastoreItem xmlns:ds="http://schemas.openxmlformats.org/officeDocument/2006/customXml" ds:itemID="{8B5E7005-272B-5B42-87F1-99996A8ED8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2380</Words>
  <Characters>13572</Characters>
  <Application>Microsoft Office Word</Application>
  <DocSecurity>0</DocSecurity>
  <Lines>113</Lines>
  <Paragraphs>31</Paragraphs>
  <ScaleCrop>false</ScaleCrop>
  <Company/>
  <LinksUpToDate>false</LinksUpToDate>
  <CharactersWithSpaces>15921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premierstarqi@yahoo.com</dc:creator>
  <cp:keywords/>
  <dc:description/>
  <cp:lastModifiedBy>premierstarqi@yahoo.com</cp:lastModifiedBy>
  <cp:revision>1</cp:revision>
  <dcterms:created xsi:type="dcterms:W3CDTF">2024-05-12T21:02:00Z</dcterms:created>
  <dcterms:modified xsi:type="dcterms:W3CDTF">2024-05-12T21:04:00Z</dcterms:modified>
</cp:coreProperties>
</file>