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B846C" w14:textId="77777777" w:rsidR="00DE1583" w:rsidRDefault="00DE1583" w:rsidP="00DE1583">
      <w:pPr>
        <w:rPr>
          <w:rFonts w:ascii="Arial Black" w:hAnsi="Arial Black"/>
          <w:sz w:val="72"/>
          <w:szCs w:val="72"/>
        </w:rPr>
      </w:pPr>
      <w:r>
        <w:rPr>
          <w:rFonts w:ascii="Arial Black" w:hAnsi="Arial Black"/>
          <w:sz w:val="72"/>
          <w:szCs w:val="72"/>
        </w:rPr>
        <w:t>Student Name: Stacilee Hamilton</w:t>
      </w:r>
    </w:p>
    <w:p w14:paraId="77D3E312" w14:textId="50A9B28D" w:rsidR="00DE1583" w:rsidRDefault="00DE1583" w:rsidP="00DE1583">
      <w:pPr>
        <w:rPr>
          <w:rFonts w:ascii="Arial Black" w:hAnsi="Arial Black"/>
          <w:sz w:val="72"/>
          <w:szCs w:val="72"/>
        </w:rPr>
      </w:pPr>
      <w:r>
        <w:rPr>
          <w:rFonts w:ascii="Arial Black" w:hAnsi="Arial Black"/>
          <w:sz w:val="72"/>
          <w:szCs w:val="72"/>
        </w:rPr>
        <w:t>Student Number:</w:t>
      </w:r>
      <w:r w:rsidR="008B2FF7">
        <w:rPr>
          <w:rFonts w:ascii="Arial Black" w:hAnsi="Arial Black"/>
          <w:sz w:val="72"/>
          <w:szCs w:val="72"/>
        </w:rPr>
        <w:t xml:space="preserve"> </w:t>
      </w:r>
      <w:r>
        <w:rPr>
          <w:rFonts w:ascii="Arial Black" w:hAnsi="Arial Black"/>
          <w:sz w:val="72"/>
          <w:szCs w:val="72"/>
        </w:rPr>
        <w:t>2436469</w:t>
      </w:r>
    </w:p>
    <w:p w14:paraId="16BB2074" w14:textId="6AF0AD67" w:rsidR="00DE1583" w:rsidRDefault="00DE1583" w:rsidP="00DE1583">
      <w:pPr>
        <w:rPr>
          <w:rFonts w:ascii="Arial Black" w:hAnsi="Arial Black"/>
          <w:sz w:val="72"/>
          <w:szCs w:val="72"/>
        </w:rPr>
      </w:pPr>
      <w:r>
        <w:rPr>
          <w:rFonts w:ascii="Arial Black" w:hAnsi="Arial Black"/>
          <w:sz w:val="72"/>
          <w:szCs w:val="72"/>
        </w:rPr>
        <w:t xml:space="preserve">Module </w:t>
      </w:r>
      <w:r w:rsidR="00EC7F0C">
        <w:rPr>
          <w:rFonts w:ascii="Arial Black" w:hAnsi="Arial Black"/>
          <w:sz w:val="72"/>
          <w:szCs w:val="72"/>
        </w:rPr>
        <w:t>Code</w:t>
      </w:r>
      <w:r>
        <w:rPr>
          <w:rFonts w:ascii="Arial Black" w:hAnsi="Arial Black"/>
          <w:sz w:val="72"/>
          <w:szCs w:val="72"/>
        </w:rPr>
        <w:t>: LCHS4010</w:t>
      </w:r>
    </w:p>
    <w:p w14:paraId="6E21FF0B" w14:textId="77777777" w:rsidR="008B2FF7" w:rsidRDefault="00DE1583" w:rsidP="00DE1583">
      <w:pPr>
        <w:rPr>
          <w:rFonts w:ascii="Arial Black" w:hAnsi="Arial Black"/>
          <w:sz w:val="72"/>
          <w:szCs w:val="72"/>
        </w:rPr>
      </w:pPr>
      <w:r>
        <w:rPr>
          <w:rFonts w:ascii="Arial Black" w:hAnsi="Arial Black"/>
          <w:sz w:val="72"/>
          <w:szCs w:val="72"/>
        </w:rPr>
        <w:t>Lecture</w:t>
      </w:r>
      <w:r w:rsidR="00EC7F0C">
        <w:rPr>
          <w:rFonts w:ascii="Arial Black" w:hAnsi="Arial Black"/>
          <w:sz w:val="72"/>
          <w:szCs w:val="72"/>
        </w:rPr>
        <w:t>r’</w:t>
      </w:r>
      <w:r>
        <w:rPr>
          <w:rFonts w:ascii="Arial Black" w:hAnsi="Arial Black"/>
          <w:sz w:val="72"/>
          <w:szCs w:val="72"/>
        </w:rPr>
        <w:t xml:space="preserve">s Name: </w:t>
      </w:r>
    </w:p>
    <w:p w14:paraId="23D8BFCF" w14:textId="1933AA89" w:rsidR="00DE1583" w:rsidRDefault="00DE1583" w:rsidP="00DE1583">
      <w:pPr>
        <w:rPr>
          <w:rFonts w:ascii="Arial Black" w:hAnsi="Arial Black"/>
          <w:sz w:val="72"/>
          <w:szCs w:val="72"/>
        </w:rPr>
      </w:pPr>
      <w:r>
        <w:rPr>
          <w:rFonts w:ascii="Arial Black" w:hAnsi="Arial Black"/>
          <w:sz w:val="72"/>
          <w:szCs w:val="72"/>
        </w:rPr>
        <w:t>Alice Clayton</w:t>
      </w:r>
    </w:p>
    <w:p w14:paraId="65A939D4" w14:textId="77777777" w:rsidR="00DE1583" w:rsidRDefault="00DE1583" w:rsidP="00DE1583">
      <w:pPr>
        <w:rPr>
          <w:rFonts w:ascii="Arial Black" w:hAnsi="Arial Black"/>
          <w:sz w:val="72"/>
          <w:szCs w:val="72"/>
        </w:rPr>
      </w:pPr>
    </w:p>
    <w:p w14:paraId="66673513" w14:textId="77777777" w:rsidR="00DE1583" w:rsidRDefault="00DE1583" w:rsidP="00DE1583">
      <w:pPr>
        <w:rPr>
          <w:rFonts w:ascii="Arial Black" w:hAnsi="Arial Black"/>
          <w:sz w:val="72"/>
          <w:szCs w:val="72"/>
        </w:rPr>
      </w:pPr>
    </w:p>
    <w:p w14:paraId="2F84EFEA" w14:textId="1E2C20BF" w:rsidR="00DE1583" w:rsidRDefault="00DE1583" w:rsidP="00DE1583">
      <w:pPr>
        <w:pStyle w:val="NormalWeb"/>
        <w:rPr>
          <w:rFonts w:ascii="Arial" w:hAnsi="Arial" w:cs="Arial"/>
          <w:sz w:val="22"/>
          <w:szCs w:val="22"/>
        </w:rPr>
      </w:pPr>
    </w:p>
    <w:p w14:paraId="12740408" w14:textId="77777777" w:rsidR="00DD6904" w:rsidRDefault="00DD6904" w:rsidP="00DE1583">
      <w:pPr>
        <w:pStyle w:val="NormalWeb"/>
        <w:rPr>
          <w:rFonts w:ascii="Arial" w:hAnsi="Arial" w:cs="Arial"/>
          <w:sz w:val="22"/>
          <w:szCs w:val="22"/>
        </w:rPr>
      </w:pPr>
    </w:p>
    <w:p w14:paraId="2000CBA5" w14:textId="77777777" w:rsidR="00DD6904" w:rsidRPr="00B76E26" w:rsidRDefault="00DD6904" w:rsidP="00DE1583">
      <w:pPr>
        <w:pStyle w:val="NormalWeb"/>
        <w:rPr>
          <w:rFonts w:ascii="Arial" w:hAnsi="Arial" w:cs="Arial"/>
          <w:sz w:val="22"/>
          <w:szCs w:val="22"/>
        </w:rPr>
      </w:pPr>
    </w:p>
    <w:p w14:paraId="2FE37A4F" w14:textId="3CEB782A" w:rsidR="005C7E65" w:rsidRPr="005C7E65" w:rsidRDefault="005C7E65" w:rsidP="005C7E65">
      <w:pPr>
        <w:pStyle w:val="NormalWeb"/>
        <w:jc w:val="center"/>
        <w:rPr>
          <w:rStyle w:val="whitespace-normal"/>
          <w:rFonts w:ascii="Arial" w:eastAsiaTheme="majorEastAsia" w:hAnsi="Arial" w:cs="Arial"/>
          <w:b/>
          <w:bCs/>
          <w:sz w:val="28"/>
          <w:szCs w:val="28"/>
        </w:rPr>
      </w:pPr>
      <w:r w:rsidRPr="005C7E65">
        <w:rPr>
          <w:rStyle w:val="whitespace-normal"/>
          <w:rFonts w:ascii="Arial" w:eastAsiaTheme="majorEastAsia" w:hAnsi="Arial" w:cs="Arial"/>
          <w:b/>
          <w:bCs/>
          <w:sz w:val="28"/>
          <w:szCs w:val="28"/>
        </w:rPr>
        <w:lastRenderedPageBreak/>
        <w:t>Contents page</w:t>
      </w:r>
    </w:p>
    <w:p w14:paraId="2DC0DB7D" w14:textId="77777777" w:rsidR="005C7E65" w:rsidRDefault="005C7E65" w:rsidP="008B2FF7">
      <w:pPr>
        <w:pStyle w:val="NormalWeb"/>
        <w:rPr>
          <w:rStyle w:val="whitespace-normal"/>
          <w:rFonts w:ascii="Arial" w:eastAsiaTheme="majorEastAsia" w:hAnsi="Arial" w:cs="Arial"/>
          <w:b/>
          <w:bCs/>
          <w:sz w:val="22"/>
          <w:szCs w:val="22"/>
        </w:rPr>
      </w:pPr>
    </w:p>
    <w:p w14:paraId="553F05A9" w14:textId="3654C533" w:rsidR="005C7E65" w:rsidRDefault="005C7E65" w:rsidP="008B2FF7">
      <w:pPr>
        <w:pStyle w:val="NormalWeb"/>
        <w:rPr>
          <w:rStyle w:val="whitespace-normal"/>
          <w:rFonts w:ascii="Arial" w:eastAsiaTheme="majorEastAsia" w:hAnsi="Arial" w:cs="Arial"/>
          <w:sz w:val="22"/>
          <w:szCs w:val="22"/>
        </w:rPr>
      </w:pPr>
      <w:r>
        <w:rPr>
          <w:rStyle w:val="whitespace-normal"/>
          <w:rFonts w:ascii="Arial" w:eastAsiaTheme="majorEastAsia" w:hAnsi="Arial" w:cs="Arial"/>
          <w:sz w:val="22"/>
          <w:szCs w:val="22"/>
        </w:rPr>
        <w:t>Part A: Annotated bibliography …………………………………………….</w:t>
      </w:r>
      <w:r>
        <w:rPr>
          <w:rStyle w:val="whitespace-normal"/>
          <w:rFonts w:ascii="Arial" w:eastAsiaTheme="majorEastAsia" w:hAnsi="Arial" w:cs="Arial"/>
          <w:sz w:val="22"/>
          <w:szCs w:val="22"/>
        </w:rPr>
        <w:tab/>
        <w:t>pp.2-5</w:t>
      </w:r>
    </w:p>
    <w:p w14:paraId="045F3613" w14:textId="1F0B02A3" w:rsidR="005C7E65" w:rsidRDefault="005C7E65" w:rsidP="008B2FF7">
      <w:pPr>
        <w:pStyle w:val="NormalWeb"/>
        <w:rPr>
          <w:rStyle w:val="whitespace-normal"/>
          <w:rFonts w:ascii="Arial" w:eastAsiaTheme="majorEastAsia" w:hAnsi="Arial" w:cs="Arial"/>
          <w:sz w:val="22"/>
          <w:szCs w:val="22"/>
        </w:rPr>
      </w:pPr>
      <w:r>
        <w:rPr>
          <w:rStyle w:val="whitespace-normal"/>
          <w:rFonts w:ascii="Arial" w:eastAsiaTheme="majorEastAsia" w:hAnsi="Arial" w:cs="Arial"/>
          <w:sz w:val="22"/>
          <w:szCs w:val="22"/>
        </w:rPr>
        <w:t>Part B: Short report ………………………………………………………….</w:t>
      </w:r>
      <w:r>
        <w:rPr>
          <w:rStyle w:val="whitespace-normal"/>
          <w:rFonts w:ascii="Arial" w:eastAsiaTheme="majorEastAsia" w:hAnsi="Arial" w:cs="Arial"/>
          <w:sz w:val="22"/>
          <w:szCs w:val="22"/>
        </w:rPr>
        <w:tab/>
        <w:t>pp.5-7</w:t>
      </w:r>
    </w:p>
    <w:p w14:paraId="3FBA55D0" w14:textId="3411843E" w:rsidR="005C7E65" w:rsidRPr="005C7E65" w:rsidRDefault="005C7E65" w:rsidP="008B2FF7">
      <w:pPr>
        <w:pStyle w:val="NormalWeb"/>
        <w:rPr>
          <w:rStyle w:val="whitespace-normal"/>
          <w:rFonts w:ascii="Arial" w:eastAsiaTheme="majorEastAsia" w:hAnsi="Arial" w:cs="Arial"/>
          <w:sz w:val="22"/>
          <w:szCs w:val="22"/>
        </w:rPr>
      </w:pPr>
      <w:r>
        <w:rPr>
          <w:rStyle w:val="whitespace-normal"/>
          <w:rFonts w:ascii="Arial" w:eastAsiaTheme="majorEastAsia" w:hAnsi="Arial" w:cs="Arial"/>
          <w:sz w:val="22"/>
          <w:szCs w:val="22"/>
        </w:rPr>
        <w:t>Reference list …………………………………………………………………</w:t>
      </w:r>
      <w:r>
        <w:rPr>
          <w:rStyle w:val="whitespace-normal"/>
          <w:rFonts w:ascii="Arial" w:eastAsiaTheme="majorEastAsia" w:hAnsi="Arial" w:cs="Arial"/>
          <w:sz w:val="22"/>
          <w:szCs w:val="22"/>
        </w:rPr>
        <w:tab/>
        <w:t>p.8</w:t>
      </w:r>
    </w:p>
    <w:p w14:paraId="51CE40FA" w14:textId="77777777" w:rsidR="005C7E65" w:rsidRDefault="005C7E65" w:rsidP="008B2FF7">
      <w:pPr>
        <w:pStyle w:val="NormalWeb"/>
        <w:rPr>
          <w:rStyle w:val="whitespace-normal"/>
          <w:rFonts w:ascii="Arial" w:eastAsiaTheme="majorEastAsia" w:hAnsi="Arial" w:cs="Arial"/>
          <w:b/>
          <w:bCs/>
          <w:sz w:val="22"/>
          <w:szCs w:val="22"/>
        </w:rPr>
      </w:pPr>
    </w:p>
    <w:p w14:paraId="37A81099" w14:textId="77777777" w:rsidR="005C7E65" w:rsidRDefault="005C7E65" w:rsidP="008B2FF7">
      <w:pPr>
        <w:pStyle w:val="NormalWeb"/>
        <w:rPr>
          <w:rStyle w:val="whitespace-normal"/>
          <w:rFonts w:ascii="Arial" w:eastAsiaTheme="majorEastAsia" w:hAnsi="Arial" w:cs="Arial"/>
          <w:b/>
          <w:bCs/>
          <w:sz w:val="22"/>
          <w:szCs w:val="22"/>
        </w:rPr>
      </w:pPr>
    </w:p>
    <w:p w14:paraId="7BAA7014" w14:textId="77777777" w:rsidR="005C7E65" w:rsidRDefault="005C7E65" w:rsidP="008B2FF7">
      <w:pPr>
        <w:pStyle w:val="NormalWeb"/>
        <w:rPr>
          <w:rStyle w:val="whitespace-normal"/>
          <w:rFonts w:ascii="Arial" w:eastAsiaTheme="majorEastAsia" w:hAnsi="Arial" w:cs="Arial"/>
          <w:b/>
          <w:bCs/>
          <w:sz w:val="22"/>
          <w:szCs w:val="22"/>
        </w:rPr>
      </w:pPr>
    </w:p>
    <w:p w14:paraId="4BD4B127" w14:textId="77777777" w:rsidR="005C7E65" w:rsidRDefault="005C7E65" w:rsidP="008B2FF7">
      <w:pPr>
        <w:pStyle w:val="NormalWeb"/>
        <w:rPr>
          <w:rStyle w:val="whitespace-normal"/>
          <w:rFonts w:ascii="Arial" w:eastAsiaTheme="majorEastAsia" w:hAnsi="Arial" w:cs="Arial"/>
          <w:b/>
          <w:bCs/>
          <w:sz w:val="22"/>
          <w:szCs w:val="22"/>
        </w:rPr>
      </w:pPr>
    </w:p>
    <w:p w14:paraId="57B61879" w14:textId="77777777" w:rsidR="005C7E65" w:rsidRDefault="005C7E65" w:rsidP="008B2FF7">
      <w:pPr>
        <w:pStyle w:val="NormalWeb"/>
        <w:rPr>
          <w:rStyle w:val="whitespace-normal"/>
          <w:rFonts w:ascii="Arial" w:eastAsiaTheme="majorEastAsia" w:hAnsi="Arial" w:cs="Arial"/>
          <w:b/>
          <w:bCs/>
          <w:sz w:val="22"/>
          <w:szCs w:val="22"/>
        </w:rPr>
      </w:pPr>
    </w:p>
    <w:p w14:paraId="47AF64A1" w14:textId="77777777" w:rsidR="005C7E65" w:rsidRDefault="005C7E65" w:rsidP="008B2FF7">
      <w:pPr>
        <w:pStyle w:val="NormalWeb"/>
        <w:rPr>
          <w:rStyle w:val="whitespace-normal"/>
          <w:rFonts w:ascii="Arial" w:eastAsiaTheme="majorEastAsia" w:hAnsi="Arial" w:cs="Arial"/>
          <w:b/>
          <w:bCs/>
          <w:sz w:val="22"/>
          <w:szCs w:val="22"/>
        </w:rPr>
      </w:pPr>
    </w:p>
    <w:p w14:paraId="57E86A45" w14:textId="77777777" w:rsidR="005C7E65" w:rsidRDefault="005C7E65" w:rsidP="008B2FF7">
      <w:pPr>
        <w:pStyle w:val="NormalWeb"/>
        <w:rPr>
          <w:rStyle w:val="whitespace-normal"/>
          <w:rFonts w:ascii="Arial" w:eastAsiaTheme="majorEastAsia" w:hAnsi="Arial" w:cs="Arial"/>
          <w:b/>
          <w:bCs/>
          <w:sz w:val="22"/>
          <w:szCs w:val="22"/>
        </w:rPr>
      </w:pPr>
    </w:p>
    <w:p w14:paraId="1808A278" w14:textId="77777777" w:rsidR="005C7E65" w:rsidRDefault="005C7E65" w:rsidP="008B2FF7">
      <w:pPr>
        <w:pStyle w:val="NormalWeb"/>
        <w:rPr>
          <w:rStyle w:val="whitespace-normal"/>
          <w:rFonts w:ascii="Arial" w:eastAsiaTheme="majorEastAsia" w:hAnsi="Arial" w:cs="Arial"/>
          <w:b/>
          <w:bCs/>
          <w:sz w:val="22"/>
          <w:szCs w:val="22"/>
        </w:rPr>
      </w:pPr>
    </w:p>
    <w:p w14:paraId="226A685D" w14:textId="77777777" w:rsidR="005C7E65" w:rsidRDefault="005C7E65" w:rsidP="008B2FF7">
      <w:pPr>
        <w:pStyle w:val="NormalWeb"/>
        <w:rPr>
          <w:rStyle w:val="whitespace-normal"/>
          <w:rFonts w:ascii="Arial" w:eastAsiaTheme="majorEastAsia" w:hAnsi="Arial" w:cs="Arial"/>
          <w:b/>
          <w:bCs/>
          <w:sz w:val="22"/>
          <w:szCs w:val="22"/>
        </w:rPr>
      </w:pPr>
    </w:p>
    <w:p w14:paraId="18548C75" w14:textId="77777777" w:rsidR="005C7E65" w:rsidRDefault="005C7E65" w:rsidP="008B2FF7">
      <w:pPr>
        <w:pStyle w:val="NormalWeb"/>
        <w:rPr>
          <w:rStyle w:val="whitespace-normal"/>
          <w:rFonts w:ascii="Arial" w:eastAsiaTheme="majorEastAsia" w:hAnsi="Arial" w:cs="Arial"/>
          <w:b/>
          <w:bCs/>
          <w:sz w:val="22"/>
          <w:szCs w:val="22"/>
        </w:rPr>
      </w:pPr>
    </w:p>
    <w:p w14:paraId="6D7F74E7" w14:textId="77777777" w:rsidR="005C7E65" w:rsidRDefault="005C7E65" w:rsidP="008B2FF7">
      <w:pPr>
        <w:pStyle w:val="NormalWeb"/>
        <w:rPr>
          <w:rStyle w:val="whitespace-normal"/>
          <w:rFonts w:ascii="Arial" w:eastAsiaTheme="majorEastAsia" w:hAnsi="Arial" w:cs="Arial"/>
          <w:b/>
          <w:bCs/>
          <w:sz w:val="22"/>
          <w:szCs w:val="22"/>
        </w:rPr>
      </w:pPr>
    </w:p>
    <w:p w14:paraId="28268C6D" w14:textId="77777777" w:rsidR="005C7E65" w:rsidRDefault="005C7E65" w:rsidP="008B2FF7">
      <w:pPr>
        <w:pStyle w:val="NormalWeb"/>
        <w:rPr>
          <w:rStyle w:val="whitespace-normal"/>
          <w:rFonts w:ascii="Arial" w:eastAsiaTheme="majorEastAsia" w:hAnsi="Arial" w:cs="Arial"/>
          <w:b/>
          <w:bCs/>
          <w:sz w:val="22"/>
          <w:szCs w:val="22"/>
        </w:rPr>
      </w:pPr>
    </w:p>
    <w:p w14:paraId="38FE3D1C" w14:textId="77777777" w:rsidR="005C7E65" w:rsidRDefault="005C7E65" w:rsidP="008B2FF7">
      <w:pPr>
        <w:pStyle w:val="NormalWeb"/>
        <w:rPr>
          <w:rStyle w:val="whitespace-normal"/>
          <w:rFonts w:ascii="Arial" w:eastAsiaTheme="majorEastAsia" w:hAnsi="Arial" w:cs="Arial"/>
          <w:b/>
          <w:bCs/>
          <w:sz w:val="22"/>
          <w:szCs w:val="22"/>
        </w:rPr>
      </w:pPr>
    </w:p>
    <w:p w14:paraId="6E45DEE8" w14:textId="77777777" w:rsidR="005C7E65" w:rsidRDefault="005C7E65" w:rsidP="008B2FF7">
      <w:pPr>
        <w:pStyle w:val="NormalWeb"/>
        <w:rPr>
          <w:rStyle w:val="whitespace-normal"/>
          <w:rFonts w:ascii="Arial" w:eastAsiaTheme="majorEastAsia" w:hAnsi="Arial" w:cs="Arial"/>
          <w:b/>
          <w:bCs/>
          <w:sz w:val="22"/>
          <w:szCs w:val="22"/>
        </w:rPr>
      </w:pPr>
    </w:p>
    <w:p w14:paraId="5A45378E" w14:textId="77777777" w:rsidR="005C7E65" w:rsidRDefault="005C7E65" w:rsidP="008B2FF7">
      <w:pPr>
        <w:pStyle w:val="NormalWeb"/>
        <w:rPr>
          <w:rStyle w:val="whitespace-normal"/>
          <w:rFonts w:ascii="Arial" w:eastAsiaTheme="majorEastAsia" w:hAnsi="Arial" w:cs="Arial"/>
          <w:b/>
          <w:bCs/>
          <w:sz w:val="22"/>
          <w:szCs w:val="22"/>
        </w:rPr>
      </w:pPr>
    </w:p>
    <w:p w14:paraId="0B1CEA9C" w14:textId="77777777" w:rsidR="005C7E65" w:rsidRDefault="005C7E65" w:rsidP="008B2FF7">
      <w:pPr>
        <w:pStyle w:val="NormalWeb"/>
        <w:rPr>
          <w:rStyle w:val="whitespace-normal"/>
          <w:rFonts w:ascii="Arial" w:eastAsiaTheme="majorEastAsia" w:hAnsi="Arial" w:cs="Arial"/>
          <w:b/>
          <w:bCs/>
          <w:sz w:val="22"/>
          <w:szCs w:val="22"/>
        </w:rPr>
      </w:pPr>
    </w:p>
    <w:p w14:paraId="7967EF50" w14:textId="77777777" w:rsidR="005C7E65" w:rsidRDefault="005C7E65" w:rsidP="008B2FF7">
      <w:pPr>
        <w:pStyle w:val="NormalWeb"/>
        <w:rPr>
          <w:rStyle w:val="whitespace-normal"/>
          <w:rFonts w:ascii="Arial" w:eastAsiaTheme="majorEastAsia" w:hAnsi="Arial" w:cs="Arial"/>
          <w:b/>
          <w:bCs/>
          <w:sz w:val="22"/>
          <w:szCs w:val="22"/>
        </w:rPr>
      </w:pPr>
    </w:p>
    <w:p w14:paraId="04CFB499" w14:textId="77777777" w:rsidR="005C7E65" w:rsidRDefault="005C7E65" w:rsidP="008B2FF7">
      <w:pPr>
        <w:pStyle w:val="NormalWeb"/>
        <w:rPr>
          <w:rStyle w:val="whitespace-normal"/>
          <w:rFonts w:ascii="Arial" w:eastAsiaTheme="majorEastAsia" w:hAnsi="Arial" w:cs="Arial"/>
          <w:b/>
          <w:bCs/>
          <w:sz w:val="22"/>
          <w:szCs w:val="22"/>
        </w:rPr>
      </w:pPr>
    </w:p>
    <w:p w14:paraId="31CE6E2B" w14:textId="77777777" w:rsidR="005C7E65" w:rsidRDefault="005C7E65" w:rsidP="008B2FF7">
      <w:pPr>
        <w:pStyle w:val="NormalWeb"/>
        <w:rPr>
          <w:rStyle w:val="whitespace-normal"/>
          <w:rFonts w:ascii="Arial" w:eastAsiaTheme="majorEastAsia" w:hAnsi="Arial" w:cs="Arial"/>
          <w:b/>
          <w:bCs/>
          <w:sz w:val="22"/>
          <w:szCs w:val="22"/>
        </w:rPr>
      </w:pPr>
    </w:p>
    <w:p w14:paraId="632B366D" w14:textId="77777777" w:rsidR="005C7E65" w:rsidRDefault="005C7E65" w:rsidP="008B2FF7">
      <w:pPr>
        <w:pStyle w:val="NormalWeb"/>
        <w:rPr>
          <w:rStyle w:val="whitespace-normal"/>
          <w:rFonts w:ascii="Arial" w:eastAsiaTheme="majorEastAsia" w:hAnsi="Arial" w:cs="Arial"/>
          <w:b/>
          <w:bCs/>
          <w:sz w:val="22"/>
          <w:szCs w:val="22"/>
        </w:rPr>
      </w:pPr>
    </w:p>
    <w:p w14:paraId="57F2EE0E" w14:textId="77777777" w:rsidR="005C7E65" w:rsidRDefault="005C7E65" w:rsidP="008B2FF7">
      <w:pPr>
        <w:pStyle w:val="NormalWeb"/>
        <w:rPr>
          <w:rStyle w:val="whitespace-normal"/>
          <w:rFonts w:ascii="Arial" w:eastAsiaTheme="majorEastAsia" w:hAnsi="Arial" w:cs="Arial"/>
          <w:b/>
          <w:bCs/>
          <w:sz w:val="22"/>
          <w:szCs w:val="22"/>
        </w:rPr>
      </w:pPr>
    </w:p>
    <w:p w14:paraId="65215023" w14:textId="4A53CDB2" w:rsidR="005C7E65" w:rsidRDefault="005C7E65" w:rsidP="008B2FF7">
      <w:pPr>
        <w:pStyle w:val="NormalWeb"/>
        <w:rPr>
          <w:rStyle w:val="whitespace-normal"/>
          <w:rFonts w:ascii="Arial" w:eastAsiaTheme="majorEastAsia" w:hAnsi="Arial" w:cs="Arial"/>
          <w:b/>
          <w:bCs/>
          <w:sz w:val="28"/>
          <w:szCs w:val="28"/>
        </w:rPr>
      </w:pPr>
      <w:r>
        <w:rPr>
          <w:rStyle w:val="whitespace-normal"/>
          <w:rFonts w:ascii="Arial" w:eastAsiaTheme="majorEastAsia" w:hAnsi="Arial" w:cs="Arial"/>
          <w:b/>
          <w:bCs/>
          <w:sz w:val="28"/>
          <w:szCs w:val="28"/>
        </w:rPr>
        <w:lastRenderedPageBreak/>
        <w:t>Part A: Annotated bibliography</w:t>
      </w:r>
    </w:p>
    <w:p w14:paraId="031A6E53" w14:textId="77777777" w:rsidR="005C7E65" w:rsidRPr="005C7E65" w:rsidRDefault="005C7E65" w:rsidP="008B2FF7">
      <w:pPr>
        <w:pStyle w:val="NormalWeb"/>
        <w:rPr>
          <w:rStyle w:val="whitespace-normal"/>
          <w:rFonts w:ascii="Arial" w:eastAsiaTheme="majorEastAsia" w:hAnsi="Arial" w:cs="Arial"/>
          <w:b/>
          <w:bCs/>
          <w:sz w:val="28"/>
          <w:szCs w:val="28"/>
        </w:rPr>
      </w:pPr>
    </w:p>
    <w:p w14:paraId="1AD23F12" w14:textId="6A554ABE" w:rsidR="00DE1583" w:rsidRPr="005C7E65" w:rsidRDefault="00DE1583" w:rsidP="008B2FF7">
      <w:pPr>
        <w:pStyle w:val="NormalWeb"/>
        <w:rPr>
          <w:rFonts w:ascii="Arial" w:hAnsi="Arial" w:cs="Arial"/>
          <w:b/>
          <w:bCs/>
          <w:sz w:val="22"/>
          <w:szCs w:val="22"/>
        </w:rPr>
      </w:pPr>
      <w:r w:rsidRPr="005C7E65">
        <w:rPr>
          <w:rStyle w:val="whitespace-normal"/>
          <w:rFonts w:ascii="Arial" w:eastAsiaTheme="majorEastAsia" w:hAnsi="Arial" w:cs="Arial"/>
          <w:b/>
          <w:bCs/>
          <w:sz w:val="22"/>
          <w:szCs w:val="22"/>
        </w:rPr>
        <w:t>Bowlby</w:t>
      </w:r>
      <w:r w:rsidR="00294C96" w:rsidRPr="005C7E65">
        <w:rPr>
          <w:rStyle w:val="whitespace-normal"/>
          <w:rFonts w:ascii="Arial" w:eastAsiaTheme="majorEastAsia" w:hAnsi="Arial" w:cs="Arial"/>
          <w:b/>
          <w:bCs/>
          <w:sz w:val="22"/>
          <w:szCs w:val="22"/>
        </w:rPr>
        <w:t>,</w:t>
      </w:r>
      <w:r w:rsidR="00557217" w:rsidRPr="005C7E65">
        <w:rPr>
          <w:rStyle w:val="whitespace-normal"/>
          <w:rFonts w:ascii="Arial" w:eastAsiaTheme="majorEastAsia" w:hAnsi="Arial" w:cs="Arial"/>
          <w:b/>
          <w:bCs/>
          <w:sz w:val="22"/>
          <w:szCs w:val="22"/>
        </w:rPr>
        <w:t xml:space="preserve"> </w:t>
      </w:r>
      <w:r w:rsidR="00294C96" w:rsidRPr="005C7E65">
        <w:rPr>
          <w:rStyle w:val="whitespace-normal"/>
          <w:rFonts w:ascii="Arial" w:eastAsiaTheme="majorEastAsia" w:hAnsi="Arial" w:cs="Arial"/>
          <w:b/>
          <w:bCs/>
          <w:sz w:val="22"/>
          <w:szCs w:val="22"/>
        </w:rPr>
        <w:t>J.</w:t>
      </w:r>
      <w:r w:rsidRPr="005C7E65">
        <w:rPr>
          <w:rFonts w:ascii="Arial" w:hAnsi="Arial" w:cs="Arial"/>
          <w:b/>
          <w:bCs/>
          <w:sz w:val="22"/>
          <w:szCs w:val="22"/>
        </w:rPr>
        <w:t xml:space="preserve"> (1988) </w:t>
      </w:r>
      <w:r w:rsidRPr="005C7E65">
        <w:rPr>
          <w:rStyle w:val="Emphasis"/>
          <w:rFonts w:ascii="Arial" w:eastAsiaTheme="majorEastAsia" w:hAnsi="Arial" w:cs="Arial"/>
          <w:b/>
          <w:bCs/>
          <w:sz w:val="22"/>
          <w:szCs w:val="22"/>
        </w:rPr>
        <w:t>A Secure Base: Parent-Child Attachment and Healthy Human Development</w:t>
      </w:r>
      <w:r w:rsidRPr="005C7E65">
        <w:rPr>
          <w:rFonts w:ascii="Arial" w:hAnsi="Arial" w:cs="Arial"/>
          <w:b/>
          <w:bCs/>
          <w:sz w:val="22"/>
          <w:szCs w:val="22"/>
        </w:rPr>
        <w:t>. London: Routledge.</w:t>
      </w:r>
    </w:p>
    <w:p w14:paraId="0ECA469F" w14:textId="1A7362C6" w:rsidR="00DE1583" w:rsidRPr="00491B62" w:rsidRDefault="00DE1583" w:rsidP="00491B62">
      <w:pPr>
        <w:pStyle w:val="NormalWeb"/>
        <w:spacing w:line="360" w:lineRule="auto"/>
        <w:rPr>
          <w:rFonts w:ascii="Arial" w:hAnsi="Arial" w:cs="Arial"/>
          <w:sz w:val="22"/>
          <w:szCs w:val="22"/>
        </w:rPr>
      </w:pPr>
      <w:r w:rsidRPr="00491B62">
        <w:rPr>
          <w:rFonts w:ascii="Arial" w:hAnsi="Arial" w:cs="Arial"/>
          <w:sz w:val="22"/>
          <w:szCs w:val="22"/>
        </w:rPr>
        <w:t xml:space="preserve">This book explores attachment theory and explains how early relationships with caregivers influence emotional development and interpersonal relationships throughout </w:t>
      </w:r>
      <w:r w:rsidR="003C41D1" w:rsidRPr="00491B62">
        <w:rPr>
          <w:rFonts w:ascii="Arial" w:hAnsi="Arial" w:cs="Arial"/>
          <w:sz w:val="22"/>
          <w:szCs w:val="22"/>
        </w:rPr>
        <w:t>life.</w:t>
      </w:r>
      <w:r w:rsidR="003C41D1">
        <w:rPr>
          <w:rFonts w:ascii="Arial" w:hAnsi="Arial" w:cs="Arial"/>
          <w:sz w:val="22"/>
          <w:szCs w:val="22"/>
        </w:rPr>
        <w:t xml:space="preserve"> John </w:t>
      </w:r>
      <w:r w:rsidR="00242B88">
        <w:rPr>
          <w:rFonts w:ascii="Arial" w:hAnsi="Arial" w:cs="Arial"/>
          <w:sz w:val="22"/>
          <w:szCs w:val="22"/>
        </w:rPr>
        <w:t>Bowlby (</w:t>
      </w:r>
      <w:r w:rsidR="003C41D1">
        <w:rPr>
          <w:rFonts w:ascii="Arial" w:hAnsi="Arial" w:cs="Arial"/>
          <w:sz w:val="22"/>
          <w:szCs w:val="22"/>
        </w:rPr>
        <w:t>1988)</w:t>
      </w:r>
      <w:r w:rsidRPr="00491B62">
        <w:rPr>
          <w:rFonts w:ascii="Arial" w:hAnsi="Arial" w:cs="Arial"/>
          <w:sz w:val="22"/>
          <w:szCs w:val="22"/>
        </w:rPr>
        <w:t xml:space="preserve"> Bowlby suggests that secure attachments formed in early life provide individuals with a sense of safety, trust and emotional security. These attachment patterns can continue to influence relationships and emotional well-being in</w:t>
      </w:r>
      <w:r w:rsidR="004A14FF" w:rsidRPr="00491B62">
        <w:rPr>
          <w:rFonts w:ascii="Arial" w:hAnsi="Arial" w:cs="Arial"/>
          <w:sz w:val="22"/>
          <w:szCs w:val="22"/>
        </w:rPr>
        <w:t>to</w:t>
      </w:r>
      <w:r w:rsidRPr="00491B62">
        <w:rPr>
          <w:rFonts w:ascii="Arial" w:hAnsi="Arial" w:cs="Arial"/>
          <w:sz w:val="22"/>
          <w:szCs w:val="22"/>
        </w:rPr>
        <w:t xml:space="preserve"> adulthood and later life.</w:t>
      </w:r>
    </w:p>
    <w:p w14:paraId="0103F444" w14:textId="3131FF1A" w:rsidR="00DE1583" w:rsidRPr="00491B62" w:rsidRDefault="00DE1583" w:rsidP="00491B62">
      <w:pPr>
        <w:pStyle w:val="NormalWeb"/>
        <w:spacing w:line="360" w:lineRule="auto"/>
        <w:rPr>
          <w:rFonts w:ascii="Arial" w:hAnsi="Arial" w:cs="Arial"/>
          <w:sz w:val="22"/>
          <w:szCs w:val="22"/>
        </w:rPr>
      </w:pPr>
      <w:r w:rsidRPr="00491B62">
        <w:rPr>
          <w:rFonts w:ascii="Arial" w:hAnsi="Arial" w:cs="Arial"/>
          <w:sz w:val="22"/>
          <w:szCs w:val="22"/>
        </w:rPr>
        <w:t xml:space="preserve">This source is relevant to understanding the emotional needs of older adults. Strong attachments and supportive relationships can help individuals cope with ageing, loss and changes in health or independence. Health and social care professionals can support older adults by promoting secure and supportive relationships with family members, caregivers and peers, which contributes to emotional well-being and </w:t>
      </w:r>
      <w:r w:rsidR="00785393" w:rsidRPr="00491B62">
        <w:rPr>
          <w:rFonts w:ascii="Arial" w:hAnsi="Arial" w:cs="Arial"/>
          <w:sz w:val="22"/>
          <w:szCs w:val="22"/>
        </w:rPr>
        <w:t>resilience.</w:t>
      </w:r>
      <w:r w:rsidR="00785393">
        <w:rPr>
          <w:rFonts w:ascii="Arial" w:hAnsi="Arial" w:cs="Arial"/>
          <w:sz w:val="22"/>
          <w:szCs w:val="22"/>
        </w:rPr>
        <w:t xml:space="preserve"> John</w:t>
      </w:r>
      <w:r w:rsidR="00C559F4">
        <w:rPr>
          <w:rFonts w:ascii="Arial" w:hAnsi="Arial" w:cs="Arial"/>
          <w:sz w:val="22"/>
          <w:szCs w:val="22"/>
        </w:rPr>
        <w:t xml:space="preserve"> </w:t>
      </w:r>
      <w:proofErr w:type="gramStart"/>
      <w:r w:rsidR="00C559F4">
        <w:rPr>
          <w:rFonts w:ascii="Arial" w:hAnsi="Arial" w:cs="Arial"/>
          <w:sz w:val="22"/>
          <w:szCs w:val="22"/>
        </w:rPr>
        <w:t>Bowlby</w:t>
      </w:r>
      <w:r w:rsidR="00785393">
        <w:rPr>
          <w:rFonts w:ascii="Arial" w:hAnsi="Arial" w:cs="Arial"/>
          <w:sz w:val="22"/>
          <w:szCs w:val="22"/>
        </w:rPr>
        <w:t>(</w:t>
      </w:r>
      <w:proofErr w:type="gramEnd"/>
      <w:r w:rsidR="00785393">
        <w:rPr>
          <w:rFonts w:ascii="Arial" w:hAnsi="Arial" w:cs="Arial"/>
          <w:sz w:val="22"/>
          <w:szCs w:val="22"/>
        </w:rPr>
        <w:t>1988)</w:t>
      </w:r>
    </w:p>
    <w:p w14:paraId="33DFB19E" w14:textId="77777777" w:rsidR="00491B62" w:rsidRDefault="00491B62" w:rsidP="00DE1583">
      <w:pPr>
        <w:pStyle w:val="NormalWeb"/>
        <w:rPr>
          <w:rFonts w:ascii="Arial" w:hAnsi="Arial" w:cs="Arial"/>
          <w:color w:val="000000"/>
          <w:shd w:val="clear" w:color="auto" w:fill="FFFFFF"/>
        </w:rPr>
      </w:pPr>
    </w:p>
    <w:p w14:paraId="3338699F" w14:textId="77777777" w:rsidR="005C7E65" w:rsidRDefault="005C7E65" w:rsidP="005A0023">
      <w:pPr>
        <w:pStyle w:val="NormalWeb"/>
        <w:spacing w:line="360" w:lineRule="auto"/>
        <w:rPr>
          <w:rFonts w:ascii="Arial" w:hAnsi="Arial" w:cs="Arial"/>
          <w:b/>
          <w:bCs/>
          <w:color w:val="000000"/>
          <w:sz w:val="22"/>
          <w:szCs w:val="22"/>
          <w:shd w:val="clear" w:color="auto" w:fill="FFFFFF"/>
        </w:rPr>
      </w:pPr>
    </w:p>
    <w:p w14:paraId="47B6C1D8" w14:textId="28071835" w:rsidR="00DE1583" w:rsidRPr="005C7E65" w:rsidRDefault="005B3483" w:rsidP="005A0023">
      <w:pPr>
        <w:pStyle w:val="NormalWeb"/>
        <w:spacing w:line="360" w:lineRule="auto"/>
        <w:rPr>
          <w:b/>
          <w:bCs/>
          <w:sz w:val="22"/>
          <w:szCs w:val="22"/>
        </w:rPr>
      </w:pPr>
      <w:r w:rsidRPr="005C7E65">
        <w:rPr>
          <w:rFonts w:ascii="Arial" w:hAnsi="Arial" w:cs="Arial"/>
          <w:b/>
          <w:bCs/>
          <w:color w:val="000000"/>
          <w:sz w:val="22"/>
          <w:szCs w:val="22"/>
          <w:shd w:val="clear" w:color="auto" w:fill="FFFFFF"/>
        </w:rPr>
        <w:t>Cumming</w:t>
      </w:r>
      <w:r w:rsidR="000075C4" w:rsidRPr="005C7E65">
        <w:rPr>
          <w:rFonts w:ascii="Arial" w:hAnsi="Arial" w:cs="Arial"/>
          <w:b/>
          <w:bCs/>
          <w:color w:val="000000"/>
          <w:sz w:val="22"/>
          <w:szCs w:val="22"/>
          <w:shd w:val="clear" w:color="auto" w:fill="FFFFFF"/>
        </w:rPr>
        <w:t xml:space="preserve">, </w:t>
      </w:r>
      <w:r w:rsidRPr="005C7E65">
        <w:rPr>
          <w:rFonts w:ascii="Arial" w:hAnsi="Arial" w:cs="Arial"/>
          <w:b/>
          <w:bCs/>
          <w:color w:val="000000"/>
          <w:sz w:val="22"/>
          <w:szCs w:val="22"/>
          <w:shd w:val="clear" w:color="auto" w:fill="FFFFFF"/>
        </w:rPr>
        <w:t>E</w:t>
      </w:r>
      <w:r w:rsidR="000075C4" w:rsidRPr="005C7E65">
        <w:rPr>
          <w:rFonts w:ascii="Arial" w:hAnsi="Arial" w:cs="Arial"/>
          <w:b/>
          <w:bCs/>
          <w:color w:val="000000"/>
          <w:sz w:val="22"/>
          <w:szCs w:val="22"/>
          <w:shd w:val="clear" w:color="auto" w:fill="FFFFFF"/>
        </w:rPr>
        <w:t>. and Henry, W.E. (1961) </w:t>
      </w:r>
      <w:r w:rsidR="000075C4" w:rsidRPr="005C7E65">
        <w:rPr>
          <w:rStyle w:val="Emphasis"/>
          <w:rFonts w:ascii="Aptos" w:eastAsiaTheme="majorEastAsia" w:hAnsi="Aptos" w:cs="Arial"/>
          <w:b/>
          <w:bCs/>
          <w:color w:val="000000"/>
          <w:sz w:val="22"/>
          <w:szCs w:val="22"/>
          <w:bdr w:val="none" w:sz="0" w:space="0" w:color="auto" w:frame="1"/>
          <w:shd w:val="clear" w:color="auto" w:fill="FFFFFF"/>
        </w:rPr>
        <w:t>Growing old: The process of disengagement</w:t>
      </w:r>
      <w:r w:rsidR="000075C4" w:rsidRPr="005C7E65">
        <w:rPr>
          <w:rFonts w:ascii="Arial" w:hAnsi="Arial" w:cs="Arial"/>
          <w:b/>
          <w:bCs/>
          <w:color w:val="000000"/>
          <w:sz w:val="22"/>
          <w:szCs w:val="22"/>
          <w:shd w:val="clear" w:color="auto" w:fill="FFFFFF"/>
        </w:rPr>
        <w:t>. New York: Basic Books.</w:t>
      </w:r>
    </w:p>
    <w:p w14:paraId="49374606" w14:textId="77777777" w:rsidR="00DE1583" w:rsidRPr="00D673B6" w:rsidRDefault="00DE1583" w:rsidP="005A0023">
      <w:pPr>
        <w:pStyle w:val="NormalWeb"/>
        <w:spacing w:line="360" w:lineRule="auto"/>
        <w:rPr>
          <w:rFonts w:ascii="Arial" w:hAnsi="Arial" w:cs="Arial"/>
          <w:sz w:val="22"/>
          <w:szCs w:val="22"/>
        </w:rPr>
      </w:pPr>
      <w:r w:rsidRPr="00D673B6">
        <w:rPr>
          <w:rFonts w:ascii="Arial" w:hAnsi="Arial" w:cs="Arial"/>
          <w:sz w:val="22"/>
          <w:szCs w:val="22"/>
        </w:rPr>
        <w:t>This book introduced disengagement theory, which suggests that ageing involves a gradual withdrawal from social roles and responsibilities. According to the theory, this withdrawal is considered a natural and mutual process between the individual and society. As older adults reduce their involvement in social activities and work roles, they may begin to focus more on personal reflection and internal experiences.</w:t>
      </w:r>
    </w:p>
    <w:p w14:paraId="688623C0" w14:textId="77777777" w:rsidR="00DE1583" w:rsidRPr="00D673B6" w:rsidRDefault="00DE1583" w:rsidP="005A0023">
      <w:pPr>
        <w:pStyle w:val="NormalWeb"/>
        <w:spacing w:line="360" w:lineRule="auto"/>
        <w:rPr>
          <w:rFonts w:ascii="Arial" w:hAnsi="Arial" w:cs="Arial"/>
          <w:sz w:val="22"/>
          <w:szCs w:val="22"/>
        </w:rPr>
      </w:pPr>
      <w:r w:rsidRPr="00D673B6">
        <w:rPr>
          <w:rFonts w:ascii="Arial" w:hAnsi="Arial" w:cs="Arial"/>
          <w:sz w:val="22"/>
          <w:szCs w:val="22"/>
        </w:rPr>
        <w:t>This source is important for understanding early sociological perspectives on ageing. Although disengagement theory has been criticised for assuming withdrawal is inevitable, it provides a useful framework for discussing how social roles change in later life. For health and social care professionals, understanding this theory helps highlight the importance of balancing personal reflection with opportunities for continued social participation and engagement.</w:t>
      </w:r>
    </w:p>
    <w:p w14:paraId="6B9C331D" w14:textId="77777777" w:rsidR="005A0023" w:rsidRDefault="005A0023" w:rsidP="00DE1583">
      <w:pPr>
        <w:pStyle w:val="NormalWeb"/>
        <w:rPr>
          <w:rFonts w:ascii="Segoe UI" w:hAnsi="Segoe UI" w:cs="Segoe UI"/>
          <w:color w:val="242424"/>
          <w:sz w:val="23"/>
          <w:szCs w:val="23"/>
          <w:shd w:val="clear" w:color="auto" w:fill="FFFFFF"/>
        </w:rPr>
      </w:pPr>
    </w:p>
    <w:p w14:paraId="2962AEDB" w14:textId="0F55DA16" w:rsidR="00DE1583" w:rsidRPr="005C7E65" w:rsidRDefault="00D36E96" w:rsidP="00DE1583">
      <w:pPr>
        <w:pStyle w:val="NormalWeb"/>
        <w:rPr>
          <w:rFonts w:ascii="Arial" w:hAnsi="Arial" w:cs="Arial"/>
          <w:b/>
          <w:bCs/>
          <w:sz w:val="22"/>
          <w:szCs w:val="22"/>
        </w:rPr>
      </w:pPr>
      <w:r w:rsidRPr="005C7E65">
        <w:rPr>
          <w:rFonts w:ascii="Arial" w:hAnsi="Arial" w:cs="Arial"/>
          <w:b/>
          <w:bCs/>
          <w:color w:val="242424"/>
          <w:sz w:val="22"/>
          <w:szCs w:val="22"/>
          <w:shd w:val="clear" w:color="auto" w:fill="FFFFFF"/>
        </w:rPr>
        <w:lastRenderedPageBreak/>
        <w:t>Ryff, C.D. and Keyes, C.L.M. (1995) ‘The structure of psychological well-being revisited’, </w:t>
      </w:r>
      <w:r w:rsidRPr="005C7E65">
        <w:rPr>
          <w:rStyle w:val="Emphasis"/>
          <w:rFonts w:ascii="Arial" w:eastAsiaTheme="majorEastAsia" w:hAnsi="Arial" w:cs="Arial"/>
          <w:b/>
          <w:bCs/>
          <w:color w:val="242424"/>
          <w:sz w:val="22"/>
          <w:szCs w:val="22"/>
          <w:bdr w:val="none" w:sz="0" w:space="0" w:color="auto" w:frame="1"/>
          <w:shd w:val="clear" w:color="auto" w:fill="FFFFFF"/>
        </w:rPr>
        <w:t>Journal of Personality and Social Psychology</w:t>
      </w:r>
      <w:r w:rsidRPr="005C7E65">
        <w:rPr>
          <w:rFonts w:ascii="Arial" w:hAnsi="Arial" w:cs="Arial"/>
          <w:b/>
          <w:bCs/>
          <w:color w:val="242424"/>
          <w:sz w:val="22"/>
          <w:szCs w:val="22"/>
          <w:shd w:val="clear" w:color="auto" w:fill="FFFFFF"/>
        </w:rPr>
        <w:t>, 69(4), pp. 719–727.</w:t>
      </w:r>
    </w:p>
    <w:p w14:paraId="49DACC91" w14:textId="77777777" w:rsidR="00DE1583" w:rsidRPr="005A0023" w:rsidRDefault="00DE1583" w:rsidP="005A0023">
      <w:pPr>
        <w:pStyle w:val="NormalWeb"/>
        <w:spacing w:line="360" w:lineRule="auto"/>
        <w:rPr>
          <w:rFonts w:ascii="Arial" w:hAnsi="Arial" w:cs="Arial"/>
          <w:sz w:val="22"/>
          <w:szCs w:val="22"/>
        </w:rPr>
      </w:pPr>
      <w:r w:rsidRPr="005A0023">
        <w:rPr>
          <w:rFonts w:ascii="Arial" w:hAnsi="Arial" w:cs="Arial"/>
          <w:sz w:val="22"/>
          <w:szCs w:val="22"/>
        </w:rPr>
        <w:t>This article explores the concept of psychological well-being and presents a multidimensional model including autonomy, purpose in life, personal growth, environmental mastery, positive relationships and self-acceptance. Ryff and Keyes argue that well-being involves more than happiness and includes deeper aspects of meaning and life satisfaction.</w:t>
      </w:r>
    </w:p>
    <w:p w14:paraId="69E6BBAD" w14:textId="77777777" w:rsidR="00DE1583" w:rsidRDefault="00DE1583" w:rsidP="005A0023">
      <w:pPr>
        <w:pStyle w:val="NormalWeb"/>
        <w:spacing w:line="360" w:lineRule="auto"/>
        <w:rPr>
          <w:rFonts w:ascii="Arial" w:hAnsi="Arial" w:cs="Arial"/>
          <w:sz w:val="22"/>
          <w:szCs w:val="22"/>
        </w:rPr>
      </w:pPr>
      <w:r w:rsidRPr="005A0023">
        <w:rPr>
          <w:rFonts w:ascii="Arial" w:hAnsi="Arial" w:cs="Arial"/>
          <w:sz w:val="22"/>
          <w:szCs w:val="22"/>
        </w:rPr>
        <w:t>This source is valuable when examining ageing because it highlights factors that contribute to positive mental health in later life. Supporting autonomy, social relationships and life purpose can improve emotional well-being for older adults. These ideas align with Erikson’s stage of integrity versus despair and the focus on strengths promoted by positive psychology.</w:t>
      </w:r>
    </w:p>
    <w:p w14:paraId="7B24867C" w14:textId="77777777" w:rsidR="00DD6904" w:rsidRDefault="00DD6904" w:rsidP="005A0023">
      <w:pPr>
        <w:pStyle w:val="NormalWeb"/>
        <w:spacing w:line="360" w:lineRule="auto"/>
        <w:rPr>
          <w:rFonts w:ascii="Arial" w:hAnsi="Arial" w:cs="Arial"/>
          <w:sz w:val="22"/>
          <w:szCs w:val="22"/>
        </w:rPr>
      </w:pPr>
    </w:p>
    <w:p w14:paraId="1AD20831" w14:textId="77777777" w:rsidR="005C7E65" w:rsidRDefault="005C7E65" w:rsidP="00DD6904">
      <w:pPr>
        <w:rPr>
          <w:rFonts w:ascii="Arial" w:hAnsi="Arial" w:cs="Arial"/>
          <w:b/>
          <w:bCs/>
          <w:color w:val="000000"/>
          <w:shd w:val="clear" w:color="auto" w:fill="FFFFFF"/>
        </w:rPr>
      </w:pPr>
    </w:p>
    <w:p w14:paraId="341F727F" w14:textId="1638C45E" w:rsidR="00DD6904" w:rsidRPr="005C7E65" w:rsidRDefault="00DD6904" w:rsidP="00DD6904">
      <w:pPr>
        <w:rPr>
          <w:rFonts w:ascii="Arial" w:hAnsi="Arial" w:cs="Arial"/>
          <w:b/>
          <w:bCs/>
          <w:color w:val="000000"/>
          <w:shd w:val="clear" w:color="auto" w:fill="FFFFFF"/>
        </w:rPr>
      </w:pPr>
      <w:r w:rsidRPr="005C7E65">
        <w:rPr>
          <w:rFonts w:ascii="Arial" w:hAnsi="Arial" w:cs="Arial"/>
          <w:b/>
          <w:bCs/>
          <w:color w:val="000000"/>
          <w:shd w:val="clear" w:color="auto" w:fill="FFFFFF"/>
        </w:rPr>
        <w:t xml:space="preserve">Van der </w:t>
      </w:r>
      <w:proofErr w:type="spellStart"/>
      <w:r w:rsidRPr="005C7E65">
        <w:rPr>
          <w:rFonts w:ascii="Arial" w:hAnsi="Arial" w:cs="Arial"/>
          <w:b/>
          <w:bCs/>
          <w:color w:val="000000"/>
          <w:shd w:val="clear" w:color="auto" w:fill="FFFFFF"/>
        </w:rPr>
        <w:t>Kaap-Deeder</w:t>
      </w:r>
      <w:proofErr w:type="spellEnd"/>
      <w:r w:rsidRPr="005C7E65">
        <w:rPr>
          <w:rFonts w:ascii="Arial" w:hAnsi="Arial" w:cs="Arial"/>
          <w:b/>
          <w:bCs/>
          <w:color w:val="000000"/>
          <w:shd w:val="clear" w:color="auto" w:fill="FFFFFF"/>
        </w:rPr>
        <w:t xml:space="preserve">, J., </w:t>
      </w:r>
      <w:proofErr w:type="spellStart"/>
      <w:r w:rsidRPr="005C7E65">
        <w:rPr>
          <w:rFonts w:ascii="Arial" w:hAnsi="Arial" w:cs="Arial"/>
          <w:b/>
          <w:bCs/>
          <w:color w:val="000000"/>
          <w:shd w:val="clear" w:color="auto" w:fill="FFFFFF"/>
        </w:rPr>
        <w:t>Vermote</w:t>
      </w:r>
      <w:proofErr w:type="spellEnd"/>
      <w:r w:rsidRPr="005C7E65">
        <w:rPr>
          <w:rFonts w:ascii="Arial" w:hAnsi="Arial" w:cs="Arial"/>
          <w:b/>
          <w:bCs/>
          <w:color w:val="000000"/>
          <w:shd w:val="clear" w:color="auto" w:fill="FFFFFF"/>
        </w:rPr>
        <w:t xml:space="preserve">, B., </w:t>
      </w:r>
      <w:proofErr w:type="spellStart"/>
      <w:r w:rsidRPr="005C7E65">
        <w:rPr>
          <w:rFonts w:ascii="Arial" w:hAnsi="Arial" w:cs="Arial"/>
          <w:b/>
          <w:bCs/>
          <w:color w:val="000000"/>
          <w:shd w:val="clear" w:color="auto" w:fill="FFFFFF"/>
        </w:rPr>
        <w:t>Waterschoot</w:t>
      </w:r>
      <w:proofErr w:type="spellEnd"/>
      <w:r w:rsidRPr="005C7E65">
        <w:rPr>
          <w:rFonts w:ascii="Arial" w:hAnsi="Arial" w:cs="Arial"/>
          <w:b/>
          <w:bCs/>
          <w:color w:val="000000"/>
          <w:shd w:val="clear" w:color="auto" w:fill="FFFFFF"/>
        </w:rPr>
        <w:t xml:space="preserve">, J., </w:t>
      </w:r>
      <w:proofErr w:type="spellStart"/>
      <w:r w:rsidRPr="005C7E65">
        <w:rPr>
          <w:rFonts w:ascii="Arial" w:hAnsi="Arial" w:cs="Arial"/>
          <w:b/>
          <w:bCs/>
          <w:color w:val="000000"/>
          <w:shd w:val="clear" w:color="auto" w:fill="FFFFFF"/>
        </w:rPr>
        <w:t>Soenens</w:t>
      </w:r>
      <w:proofErr w:type="spellEnd"/>
      <w:r w:rsidRPr="005C7E65">
        <w:rPr>
          <w:rFonts w:ascii="Arial" w:hAnsi="Arial" w:cs="Arial"/>
          <w:b/>
          <w:bCs/>
          <w:color w:val="000000"/>
          <w:shd w:val="clear" w:color="auto" w:fill="FFFFFF"/>
        </w:rPr>
        <w:t xml:space="preserve">, B., </w:t>
      </w:r>
      <w:proofErr w:type="spellStart"/>
      <w:r w:rsidRPr="005C7E65">
        <w:rPr>
          <w:rFonts w:ascii="Arial" w:hAnsi="Arial" w:cs="Arial"/>
          <w:b/>
          <w:bCs/>
          <w:color w:val="000000"/>
          <w:shd w:val="clear" w:color="auto" w:fill="FFFFFF"/>
        </w:rPr>
        <w:t>Morbee</w:t>
      </w:r>
      <w:proofErr w:type="spellEnd"/>
      <w:r w:rsidRPr="005C7E65">
        <w:rPr>
          <w:rFonts w:ascii="Arial" w:hAnsi="Arial" w:cs="Arial"/>
          <w:b/>
          <w:bCs/>
          <w:color w:val="000000"/>
          <w:shd w:val="clear" w:color="auto" w:fill="FFFFFF"/>
        </w:rPr>
        <w:t>, S. and Vansteenkiste, M. (2022) 'The role of ego integrity and despair in older adults’ well-being during the covid-19 crisis: The mediating role of need-based experiences’, </w:t>
      </w:r>
      <w:r w:rsidRPr="005C7E65">
        <w:rPr>
          <w:rFonts w:ascii="Arial" w:hAnsi="Arial" w:cs="Arial"/>
          <w:b/>
          <w:bCs/>
          <w:i/>
          <w:iCs/>
          <w:color w:val="000000"/>
        </w:rPr>
        <w:t>European Journal of Ageing</w:t>
      </w:r>
      <w:r w:rsidRPr="005C7E65">
        <w:rPr>
          <w:rFonts w:ascii="Arial" w:hAnsi="Arial" w:cs="Arial"/>
          <w:b/>
          <w:bCs/>
          <w:color w:val="000000"/>
          <w:shd w:val="clear" w:color="auto" w:fill="FFFFFF"/>
        </w:rPr>
        <w:t>, 19(1), pp.117-129.</w:t>
      </w:r>
    </w:p>
    <w:p w14:paraId="3578399F" w14:textId="77777777" w:rsidR="00DD6904" w:rsidRDefault="00DD6904" w:rsidP="00DD6904">
      <w:pPr>
        <w:spacing w:after="0" w:line="360" w:lineRule="auto"/>
        <w:rPr>
          <w:rFonts w:ascii="Arial" w:eastAsia="Times New Roman" w:hAnsi="Arial" w:cs="Arial"/>
          <w:color w:val="000000"/>
          <w:kern w:val="0"/>
          <w:lang w:eastAsia="en-GB"/>
          <w14:ligatures w14:val="none"/>
        </w:rPr>
      </w:pPr>
    </w:p>
    <w:p w14:paraId="60475E2E" w14:textId="77777777" w:rsidR="00DD6904" w:rsidRPr="00B76E26" w:rsidRDefault="00DD6904" w:rsidP="00DD6904">
      <w:pPr>
        <w:spacing w:after="0" w:line="360" w:lineRule="auto"/>
        <w:rPr>
          <w:rFonts w:ascii="Arial" w:eastAsia="Times New Roman" w:hAnsi="Arial" w:cs="Arial"/>
          <w:kern w:val="0"/>
          <w:lang w:eastAsia="en-GB"/>
          <w14:ligatures w14:val="none"/>
        </w:rPr>
      </w:pPr>
      <w:r w:rsidRPr="00B76E26">
        <w:rPr>
          <w:rFonts w:ascii="Arial" w:eastAsia="Times New Roman" w:hAnsi="Arial" w:cs="Arial"/>
          <w:color w:val="000000"/>
          <w:kern w:val="0"/>
          <w:lang w:eastAsia="en-GB"/>
          <w14:ligatures w14:val="none"/>
        </w:rPr>
        <w:t>This article examines Erikson’s theory of psychosocial development and provides a deeper discussion of the final stage of development, integrity versus despair, which occurs in later life. He explains that during older adulthood individuals reflect on their life experiences and evaluate whether they feel they have fulfilment or regret. Successfully resolving this stage results in knowledge, acceptance and psychological well-being, while failure to resolve it may lead to feelings of dissatisfaction. Using data collected from people age 65 and older the study shows that those who experienced greater ego integrity were more likely to report higher levels of wellbeing and life satisfaction. In contrast to those who felt despair about past life experiences were more likely to report loneliness anxiety and distress.</w:t>
      </w:r>
    </w:p>
    <w:p w14:paraId="2CF4E740" w14:textId="77777777" w:rsidR="00DD6904" w:rsidRDefault="00DD6904" w:rsidP="00DD6904">
      <w:pPr>
        <w:spacing w:after="0" w:line="360" w:lineRule="auto"/>
        <w:rPr>
          <w:rFonts w:ascii="Arial" w:eastAsia="Times New Roman" w:hAnsi="Arial" w:cs="Arial"/>
          <w:color w:val="000000"/>
          <w:kern w:val="0"/>
          <w:lang w:eastAsia="en-GB"/>
          <w14:ligatures w14:val="none"/>
        </w:rPr>
      </w:pPr>
    </w:p>
    <w:p w14:paraId="4A58423D" w14:textId="77777777" w:rsidR="00DD6904" w:rsidRPr="00B76E26" w:rsidRDefault="00DD6904" w:rsidP="00DD6904">
      <w:pPr>
        <w:spacing w:after="0" w:line="360" w:lineRule="auto"/>
        <w:rPr>
          <w:rFonts w:ascii="Arial" w:eastAsia="Times New Roman" w:hAnsi="Arial" w:cs="Arial"/>
          <w:kern w:val="0"/>
          <w:lang w:eastAsia="en-GB"/>
          <w14:ligatures w14:val="none"/>
        </w:rPr>
      </w:pPr>
      <w:r w:rsidRPr="00B76E26">
        <w:rPr>
          <w:rFonts w:ascii="Arial" w:eastAsia="Times New Roman" w:hAnsi="Arial" w:cs="Arial"/>
          <w:color w:val="000000"/>
          <w:kern w:val="0"/>
          <w:lang w:eastAsia="en-GB"/>
          <w14:ligatures w14:val="none"/>
        </w:rPr>
        <w:t xml:space="preserve">This source is important for understanding the psychological challenges faced by older adults. For health and social care professionals, Erikson’s theory provides insight into how life reflection, identity and influence wellbeing in older adult. Supporting older adults in maintaining dignity, meaning and positive relationships can help promote integrity and improve their quality of life. A key strength of this article is that it uses research from a large sample size to strengthen the findings. The limitation it that the study focuses on the experiences during the COVID-19 pandemic, which do not fully represent typical ageing </w:t>
      </w:r>
      <w:r w:rsidRPr="00B76E26">
        <w:rPr>
          <w:rFonts w:ascii="Arial" w:eastAsia="Times New Roman" w:hAnsi="Arial" w:cs="Arial"/>
          <w:color w:val="000000"/>
          <w:kern w:val="0"/>
          <w:lang w:eastAsia="en-GB"/>
          <w14:ligatures w14:val="none"/>
        </w:rPr>
        <w:lastRenderedPageBreak/>
        <w:t>experiences .</w:t>
      </w:r>
      <w:proofErr w:type="gramStart"/>
      <w:r w:rsidRPr="00B76E26">
        <w:rPr>
          <w:rFonts w:ascii="Arial" w:eastAsia="Times New Roman" w:hAnsi="Arial" w:cs="Arial"/>
          <w:color w:val="000000"/>
          <w:kern w:val="0"/>
          <w:lang w:eastAsia="en-GB"/>
          <w14:ligatures w14:val="none"/>
        </w:rPr>
        <w:t>in spite of</w:t>
      </w:r>
      <w:proofErr w:type="gramEnd"/>
      <w:r w:rsidRPr="00B76E26">
        <w:rPr>
          <w:rFonts w:ascii="Arial" w:eastAsia="Times New Roman" w:hAnsi="Arial" w:cs="Arial"/>
          <w:color w:val="000000"/>
          <w:kern w:val="0"/>
          <w:lang w:eastAsia="en-GB"/>
          <w14:ligatures w14:val="none"/>
        </w:rPr>
        <w:t xml:space="preserve"> this the research provides valuable insight into how psychosocial development influences wellbeing in later life.</w:t>
      </w:r>
    </w:p>
    <w:p w14:paraId="36F1FCA5" w14:textId="77777777" w:rsidR="00DD6904" w:rsidRPr="00B76E26" w:rsidRDefault="00DD6904" w:rsidP="00DD6904">
      <w:pPr>
        <w:rPr>
          <w:rFonts w:ascii="Arial" w:hAnsi="Arial" w:cs="Arial"/>
          <w:color w:val="000000"/>
          <w:shd w:val="clear" w:color="auto" w:fill="FFFFFF"/>
        </w:rPr>
      </w:pPr>
    </w:p>
    <w:p w14:paraId="5058EA38" w14:textId="77777777" w:rsidR="00DD6904" w:rsidRDefault="00DD6904" w:rsidP="008B2FF7">
      <w:pPr>
        <w:pStyle w:val="NormalWeb"/>
        <w:spacing w:line="360" w:lineRule="auto"/>
        <w:rPr>
          <w:rFonts w:ascii="Arial" w:hAnsi="Arial" w:cs="Arial"/>
          <w:sz w:val="22"/>
          <w:szCs w:val="22"/>
        </w:rPr>
      </w:pPr>
    </w:p>
    <w:p w14:paraId="041C2216" w14:textId="47CAFF8E" w:rsidR="005C7E65" w:rsidRPr="005C7E65" w:rsidRDefault="005C7E65" w:rsidP="008B2FF7">
      <w:pPr>
        <w:pStyle w:val="NormalWeb"/>
        <w:spacing w:line="360" w:lineRule="auto"/>
        <w:rPr>
          <w:rFonts w:ascii="Arial" w:hAnsi="Arial" w:cs="Arial"/>
          <w:b/>
          <w:bCs/>
          <w:sz w:val="28"/>
          <w:szCs w:val="28"/>
        </w:rPr>
      </w:pPr>
      <w:r w:rsidRPr="005C7E65">
        <w:rPr>
          <w:rFonts w:ascii="Arial" w:hAnsi="Arial" w:cs="Arial"/>
          <w:b/>
          <w:bCs/>
          <w:sz w:val="28"/>
          <w:szCs w:val="28"/>
        </w:rPr>
        <w:t>Part B: Short report</w:t>
      </w:r>
    </w:p>
    <w:p w14:paraId="3ADC73CD" w14:textId="477EECCA" w:rsidR="00B5368F" w:rsidRPr="00B5368F" w:rsidRDefault="00AE78BE" w:rsidP="008B2FF7">
      <w:pPr>
        <w:pStyle w:val="NormalWeb"/>
        <w:spacing w:line="360" w:lineRule="auto"/>
        <w:rPr>
          <w:rFonts w:ascii="Arial" w:hAnsi="Arial" w:cs="Arial"/>
          <w:sz w:val="22"/>
          <w:szCs w:val="22"/>
        </w:rPr>
      </w:pPr>
      <w:r w:rsidRPr="008B2FF7">
        <w:rPr>
          <w:rStyle w:val="Strong"/>
          <w:rFonts w:ascii="Arial" w:eastAsiaTheme="majorEastAsia" w:hAnsi="Arial" w:cs="Arial"/>
          <w:sz w:val="22"/>
          <w:szCs w:val="22"/>
        </w:rPr>
        <w:t>Applying Psychosocial Theory to Improve Wellbeing in Older Adults in Residential Care</w:t>
      </w:r>
    </w:p>
    <w:p w14:paraId="7053082E" w14:textId="77777777" w:rsidR="005C7E65" w:rsidRDefault="005C7E65" w:rsidP="008B2FF7">
      <w:pPr>
        <w:pStyle w:val="NormalWeb"/>
        <w:spacing w:line="360" w:lineRule="auto"/>
        <w:rPr>
          <w:rFonts w:ascii="Arial" w:hAnsi="Arial" w:cs="Arial"/>
          <w:sz w:val="22"/>
          <w:szCs w:val="22"/>
          <w:u w:val="single"/>
        </w:rPr>
      </w:pPr>
    </w:p>
    <w:p w14:paraId="686EC9CE" w14:textId="49F2527B" w:rsidR="00DD6904" w:rsidRPr="00DD6904" w:rsidRDefault="00DD6904" w:rsidP="008B2FF7">
      <w:pPr>
        <w:pStyle w:val="NormalWeb"/>
        <w:spacing w:line="360" w:lineRule="auto"/>
        <w:rPr>
          <w:rFonts w:ascii="Arial" w:hAnsi="Arial" w:cs="Arial"/>
          <w:sz w:val="22"/>
          <w:szCs w:val="22"/>
          <w:u w:val="single"/>
        </w:rPr>
      </w:pPr>
      <w:r w:rsidRPr="00DD6904">
        <w:rPr>
          <w:rFonts w:ascii="Arial" w:hAnsi="Arial" w:cs="Arial"/>
          <w:sz w:val="22"/>
          <w:szCs w:val="22"/>
          <w:u w:val="single"/>
        </w:rPr>
        <w:t>Introduction</w:t>
      </w:r>
    </w:p>
    <w:p w14:paraId="4A75E9A4" w14:textId="7E1E389D" w:rsidR="00AE78BE" w:rsidRPr="008B2FF7" w:rsidRDefault="00AE78BE" w:rsidP="008B2FF7">
      <w:pPr>
        <w:pStyle w:val="NormalWeb"/>
        <w:spacing w:line="360" w:lineRule="auto"/>
        <w:rPr>
          <w:rFonts w:ascii="Arial" w:hAnsi="Arial" w:cs="Arial"/>
          <w:sz w:val="22"/>
          <w:szCs w:val="22"/>
        </w:rPr>
      </w:pPr>
      <w:r w:rsidRPr="008B2FF7">
        <w:rPr>
          <w:rFonts w:ascii="Arial" w:hAnsi="Arial" w:cs="Arial"/>
          <w:sz w:val="22"/>
          <w:szCs w:val="22"/>
        </w:rPr>
        <w:t xml:space="preserve">Supporting the psychological wellbeing of older adults in residential care is a central responsibility for health and social care professionals. One valuable framework for understanding and improving emotional wellbeing in later life is the psychosocial theory developed by </w:t>
      </w:r>
      <w:r w:rsidRPr="008B2FF7">
        <w:rPr>
          <w:rStyle w:val="whitespace-normal"/>
          <w:rFonts w:ascii="Arial" w:eastAsiaTheme="majorEastAsia" w:hAnsi="Arial" w:cs="Arial"/>
          <w:sz w:val="22"/>
          <w:szCs w:val="22"/>
        </w:rPr>
        <w:t>Erik Erikson</w:t>
      </w:r>
      <w:r w:rsidRPr="008B2FF7">
        <w:rPr>
          <w:rFonts w:ascii="Arial" w:hAnsi="Arial" w:cs="Arial"/>
          <w:sz w:val="22"/>
          <w:szCs w:val="22"/>
        </w:rPr>
        <w:t>. His model highlights the importance of life reflection in older adulthood and provides practical insights into how care professionals can support residents in achieving a sense of fulfilment and emotional stability.</w:t>
      </w:r>
    </w:p>
    <w:p w14:paraId="341240B4" w14:textId="77777777" w:rsidR="00B5368F" w:rsidRDefault="00B5368F" w:rsidP="008B2FF7">
      <w:pPr>
        <w:pStyle w:val="NormalWeb"/>
        <w:spacing w:line="360" w:lineRule="auto"/>
        <w:rPr>
          <w:rFonts w:ascii="Arial" w:hAnsi="Arial" w:cs="Arial"/>
          <w:sz w:val="22"/>
          <w:szCs w:val="22"/>
          <w:u w:val="single"/>
        </w:rPr>
      </w:pPr>
    </w:p>
    <w:p w14:paraId="2FD70D2B" w14:textId="36534887" w:rsidR="00DD6904" w:rsidRPr="00DD6904" w:rsidRDefault="00B5368F" w:rsidP="008B2FF7">
      <w:pPr>
        <w:pStyle w:val="NormalWeb"/>
        <w:spacing w:line="360" w:lineRule="auto"/>
        <w:rPr>
          <w:rFonts w:ascii="Arial" w:hAnsi="Arial" w:cs="Arial"/>
          <w:sz w:val="22"/>
          <w:szCs w:val="22"/>
          <w:u w:val="single"/>
        </w:rPr>
      </w:pPr>
      <w:r>
        <w:rPr>
          <w:rFonts w:ascii="Arial" w:hAnsi="Arial" w:cs="Arial"/>
          <w:sz w:val="22"/>
          <w:szCs w:val="22"/>
          <w:u w:val="single"/>
        </w:rPr>
        <w:t>Erikson’s theory</w:t>
      </w:r>
    </w:p>
    <w:p w14:paraId="2891193D" w14:textId="524157ED" w:rsidR="00AE78BE" w:rsidRPr="008B2FF7" w:rsidRDefault="00AE78BE" w:rsidP="008B2FF7">
      <w:pPr>
        <w:pStyle w:val="NormalWeb"/>
        <w:spacing w:line="360" w:lineRule="auto"/>
        <w:rPr>
          <w:rFonts w:ascii="Arial" w:hAnsi="Arial" w:cs="Arial"/>
          <w:sz w:val="22"/>
          <w:szCs w:val="22"/>
        </w:rPr>
      </w:pPr>
      <w:r w:rsidRPr="008B2FF7">
        <w:rPr>
          <w:rFonts w:ascii="Arial" w:hAnsi="Arial" w:cs="Arial"/>
          <w:sz w:val="22"/>
          <w:szCs w:val="22"/>
        </w:rPr>
        <w:t xml:space="preserve">Erikson’s theory proposes eight stages of psychosocial development across the lifespan. The final stage, </w:t>
      </w:r>
      <w:r w:rsidRPr="008B2FF7">
        <w:rPr>
          <w:rStyle w:val="Emphasis"/>
          <w:rFonts w:ascii="Arial" w:eastAsiaTheme="majorEastAsia" w:hAnsi="Arial" w:cs="Arial"/>
          <w:sz w:val="22"/>
          <w:szCs w:val="22"/>
        </w:rPr>
        <w:t>integrity versus despair</w:t>
      </w:r>
      <w:r w:rsidRPr="008B2FF7">
        <w:rPr>
          <w:rFonts w:ascii="Arial" w:hAnsi="Arial" w:cs="Arial"/>
          <w:sz w:val="22"/>
          <w:szCs w:val="22"/>
        </w:rPr>
        <w:t>, occurs in older adulthood and focuses on how individuals evaluate their lives. Those who feel satisfied with their experiences and accomplishments develop a sense of integrity, characterised by acceptance, peace, and wisdom. In contrast, individuals who dwell on regrets or perceive their lives as unfulfilled may experience despair, often associated with depression, anxiety, or fear of death.</w:t>
      </w:r>
    </w:p>
    <w:p w14:paraId="7DBE4CBD" w14:textId="77777777" w:rsidR="00B5368F" w:rsidRDefault="00B5368F" w:rsidP="008B2FF7">
      <w:pPr>
        <w:pStyle w:val="NormalWeb"/>
        <w:spacing w:line="360" w:lineRule="auto"/>
        <w:rPr>
          <w:rFonts w:ascii="Arial" w:hAnsi="Arial" w:cs="Arial"/>
          <w:sz w:val="22"/>
          <w:szCs w:val="22"/>
        </w:rPr>
      </w:pPr>
    </w:p>
    <w:p w14:paraId="0901D91A" w14:textId="4E003624" w:rsidR="00B5368F" w:rsidRPr="00B5368F" w:rsidRDefault="00B5368F" w:rsidP="008B2FF7">
      <w:pPr>
        <w:pStyle w:val="NormalWeb"/>
        <w:spacing w:line="360" w:lineRule="auto"/>
        <w:rPr>
          <w:rFonts w:ascii="Arial" w:hAnsi="Arial" w:cs="Arial"/>
          <w:sz w:val="22"/>
          <w:szCs w:val="22"/>
          <w:u w:val="single"/>
        </w:rPr>
      </w:pPr>
      <w:r w:rsidRPr="00B5368F">
        <w:rPr>
          <w:rFonts w:ascii="Arial" w:hAnsi="Arial" w:cs="Arial"/>
          <w:sz w:val="22"/>
          <w:szCs w:val="22"/>
          <w:u w:val="single"/>
        </w:rPr>
        <w:t>Application of the theory</w:t>
      </w:r>
    </w:p>
    <w:p w14:paraId="6181F8C6" w14:textId="3B49152E" w:rsidR="00AE78BE" w:rsidRPr="008B2FF7" w:rsidRDefault="00AE78BE" w:rsidP="008B2FF7">
      <w:pPr>
        <w:pStyle w:val="NormalWeb"/>
        <w:spacing w:line="360" w:lineRule="auto"/>
        <w:rPr>
          <w:rFonts w:ascii="Arial" w:hAnsi="Arial" w:cs="Arial"/>
          <w:sz w:val="22"/>
          <w:szCs w:val="22"/>
        </w:rPr>
      </w:pPr>
      <w:r w:rsidRPr="008B2FF7">
        <w:rPr>
          <w:rFonts w:ascii="Arial" w:hAnsi="Arial" w:cs="Arial"/>
          <w:sz w:val="22"/>
          <w:szCs w:val="22"/>
        </w:rPr>
        <w:t xml:space="preserve">In a residential care setting, this stage is highly relevant, as many older adults are adjusting not only to ageing but also to significant life changes such as loss of independence, bereavement, or relocation. Health and social care professionals can apply Erikson’s theory </w:t>
      </w:r>
      <w:r w:rsidRPr="008B2FF7">
        <w:rPr>
          <w:rFonts w:ascii="Arial" w:hAnsi="Arial" w:cs="Arial"/>
          <w:sz w:val="22"/>
          <w:szCs w:val="22"/>
        </w:rPr>
        <w:lastRenderedPageBreak/>
        <w:t>by actively supporting residents in reflecting positively on their lives and reinforcing their sense of identity, value, and dignity.</w:t>
      </w:r>
    </w:p>
    <w:p w14:paraId="5231A5EF" w14:textId="77777777" w:rsidR="00AE78BE" w:rsidRPr="008B2FF7" w:rsidRDefault="00AE78BE" w:rsidP="008B2FF7">
      <w:pPr>
        <w:pStyle w:val="NormalWeb"/>
        <w:spacing w:line="360" w:lineRule="auto"/>
        <w:rPr>
          <w:rFonts w:ascii="Arial" w:hAnsi="Arial" w:cs="Arial"/>
          <w:sz w:val="22"/>
          <w:szCs w:val="22"/>
        </w:rPr>
      </w:pPr>
      <w:r w:rsidRPr="008B2FF7">
        <w:rPr>
          <w:rFonts w:ascii="Arial" w:hAnsi="Arial" w:cs="Arial"/>
          <w:sz w:val="22"/>
          <w:szCs w:val="22"/>
        </w:rPr>
        <w:t>One practical way to apply this theory is through structured life review activities. Life review involves encouraging individuals to talk about their past experiences, achievements, relationships, and meaningful moments. This can be facilitated through one-to-one conversations, group reminiscence sessions, memory books, or creative activities such as storytelling, music, or art. These approaches allow residents to revisit positive memories, reinterpret difficult experiences, and recognise their personal strengths and contributions.</w:t>
      </w:r>
    </w:p>
    <w:p w14:paraId="03575583" w14:textId="77777777" w:rsidR="00B5368F" w:rsidRDefault="00B5368F" w:rsidP="008B2FF7">
      <w:pPr>
        <w:pStyle w:val="NormalWeb"/>
        <w:spacing w:line="360" w:lineRule="auto"/>
        <w:rPr>
          <w:rFonts w:ascii="Arial" w:hAnsi="Arial" w:cs="Arial"/>
          <w:sz w:val="22"/>
          <w:szCs w:val="22"/>
        </w:rPr>
      </w:pPr>
    </w:p>
    <w:p w14:paraId="56240B03" w14:textId="1DCAACE3" w:rsidR="00B5368F" w:rsidRPr="00B5368F" w:rsidRDefault="00B5368F" w:rsidP="008B2FF7">
      <w:pPr>
        <w:pStyle w:val="NormalWeb"/>
        <w:spacing w:line="360" w:lineRule="auto"/>
        <w:rPr>
          <w:rFonts w:ascii="Arial" w:hAnsi="Arial" w:cs="Arial"/>
          <w:sz w:val="22"/>
          <w:szCs w:val="22"/>
          <w:u w:val="single"/>
        </w:rPr>
      </w:pPr>
      <w:r w:rsidRPr="00B5368F">
        <w:rPr>
          <w:rFonts w:ascii="Arial" w:hAnsi="Arial" w:cs="Arial"/>
          <w:sz w:val="22"/>
          <w:szCs w:val="22"/>
          <w:u w:val="single"/>
        </w:rPr>
        <w:t>Case study example</w:t>
      </w:r>
    </w:p>
    <w:p w14:paraId="55B7B224" w14:textId="7929DD84" w:rsidR="00AE78BE" w:rsidRPr="008B2FF7" w:rsidRDefault="00AE78BE" w:rsidP="008B2FF7">
      <w:pPr>
        <w:pStyle w:val="NormalWeb"/>
        <w:spacing w:line="360" w:lineRule="auto"/>
        <w:rPr>
          <w:rFonts w:ascii="Arial" w:hAnsi="Arial" w:cs="Arial"/>
          <w:sz w:val="22"/>
          <w:szCs w:val="22"/>
        </w:rPr>
      </w:pPr>
      <w:r w:rsidRPr="008B2FF7">
        <w:rPr>
          <w:rFonts w:ascii="Arial" w:hAnsi="Arial" w:cs="Arial"/>
          <w:sz w:val="22"/>
          <w:szCs w:val="22"/>
        </w:rPr>
        <w:t>For example, consider a case scenario involving an 82-year-old resident named Margaret, who recently moved into a care home following the loss of her spouse. Margaret appears withdrawn, expresses feelings of loneliness, and often states that her “life is over.” A care worker trained in psychosocial approaches begins engaging Margaret in weekly life review sessions. Using photographs and gentle prompts, the worker encourages Margaret to talk about her earlier years, including raising her children, her career as a teacher, and her involvement in community activities.</w:t>
      </w:r>
    </w:p>
    <w:p w14:paraId="0339F3A3" w14:textId="47E3E26D" w:rsidR="00AE78BE" w:rsidRPr="008B2FF7" w:rsidRDefault="00AE78BE" w:rsidP="008B2FF7">
      <w:pPr>
        <w:pStyle w:val="NormalWeb"/>
        <w:spacing w:line="360" w:lineRule="auto"/>
        <w:rPr>
          <w:rFonts w:ascii="Arial" w:hAnsi="Arial" w:cs="Arial"/>
          <w:sz w:val="22"/>
          <w:szCs w:val="22"/>
        </w:rPr>
      </w:pPr>
      <w:r w:rsidRPr="008B2FF7">
        <w:rPr>
          <w:rFonts w:ascii="Arial" w:hAnsi="Arial" w:cs="Arial"/>
          <w:sz w:val="22"/>
          <w:szCs w:val="22"/>
        </w:rPr>
        <w:t xml:space="preserve">Over time, Margaret begins to speak more positively about her life, expressing pride in her achievements and the impact she had on </w:t>
      </w:r>
      <w:r w:rsidR="00670D5E" w:rsidRPr="008B2FF7">
        <w:rPr>
          <w:rFonts w:ascii="Arial" w:hAnsi="Arial" w:cs="Arial"/>
          <w:sz w:val="22"/>
          <w:szCs w:val="22"/>
        </w:rPr>
        <w:t>others, sharing</w:t>
      </w:r>
      <w:r w:rsidR="00AA611B" w:rsidRPr="008B2FF7">
        <w:rPr>
          <w:rFonts w:ascii="Arial" w:hAnsi="Arial" w:cs="Arial"/>
          <w:sz w:val="22"/>
          <w:szCs w:val="22"/>
        </w:rPr>
        <w:t xml:space="preserve"> knowledge is so </w:t>
      </w:r>
      <w:proofErr w:type="gramStart"/>
      <w:r w:rsidR="00AA611B" w:rsidRPr="008B2FF7">
        <w:rPr>
          <w:rFonts w:ascii="Arial" w:hAnsi="Arial" w:cs="Arial"/>
          <w:sz w:val="22"/>
          <w:szCs w:val="22"/>
        </w:rPr>
        <w:t xml:space="preserve">beneficial </w:t>
      </w:r>
      <w:r w:rsidR="00356144" w:rsidRPr="008B2FF7">
        <w:rPr>
          <w:rFonts w:ascii="Arial" w:hAnsi="Arial" w:cs="Arial"/>
          <w:sz w:val="22"/>
          <w:szCs w:val="22"/>
        </w:rPr>
        <w:t>.</w:t>
      </w:r>
      <w:proofErr w:type="gramEnd"/>
      <w:r w:rsidRPr="008B2FF7">
        <w:rPr>
          <w:rFonts w:ascii="Arial" w:hAnsi="Arial" w:cs="Arial"/>
          <w:sz w:val="22"/>
          <w:szCs w:val="22"/>
        </w:rPr>
        <w:t xml:space="preserve"> The care worker also helps her reconnect with meaningful roles by encouraging her to assist with reading activities for other residents. This reinforces her sense of purpose and identity. As a result, Margaret demonstrates improved mood, increased social engagement, and a greater sense of acceptance about her current stage of life. This example illustrates how applying Erikson’s theory can directly enhance emotional wellbeing and life satisfaction in residential care.</w:t>
      </w:r>
    </w:p>
    <w:p w14:paraId="61445E8C" w14:textId="77777777" w:rsidR="00AE78BE" w:rsidRPr="008B2FF7" w:rsidRDefault="00AE78BE" w:rsidP="008B2FF7">
      <w:pPr>
        <w:pStyle w:val="NormalWeb"/>
        <w:spacing w:line="360" w:lineRule="auto"/>
        <w:rPr>
          <w:rFonts w:ascii="Arial" w:hAnsi="Arial" w:cs="Arial"/>
          <w:sz w:val="22"/>
          <w:szCs w:val="22"/>
        </w:rPr>
      </w:pPr>
      <w:r w:rsidRPr="008B2FF7">
        <w:rPr>
          <w:rFonts w:ascii="Arial" w:hAnsi="Arial" w:cs="Arial"/>
          <w:sz w:val="22"/>
          <w:szCs w:val="22"/>
        </w:rPr>
        <w:t>In addition to life review, promoting autonomy and dignity is essential. Even small choices—such as what to wear, when to eat, or how to spend time—can significantly impact a resident’s sense of control and self-worth. Supporting social connections is equally important, as relationships help reinforce a sense of belonging and reduce feelings of isolation, which are often linked to despair.</w:t>
      </w:r>
    </w:p>
    <w:p w14:paraId="50140C74" w14:textId="77777777" w:rsidR="005C7E65" w:rsidRDefault="005C7E65" w:rsidP="008B2FF7">
      <w:pPr>
        <w:pStyle w:val="NormalWeb"/>
        <w:spacing w:line="360" w:lineRule="auto"/>
        <w:rPr>
          <w:rFonts w:ascii="Arial" w:hAnsi="Arial" w:cs="Arial"/>
          <w:sz w:val="22"/>
          <w:szCs w:val="22"/>
          <w:u w:val="single"/>
        </w:rPr>
      </w:pPr>
    </w:p>
    <w:p w14:paraId="47AD911D" w14:textId="146A60E6" w:rsidR="00B5368F" w:rsidRPr="00B5368F" w:rsidRDefault="00B5368F" w:rsidP="008B2FF7">
      <w:pPr>
        <w:pStyle w:val="NormalWeb"/>
        <w:spacing w:line="360" w:lineRule="auto"/>
        <w:rPr>
          <w:rFonts w:ascii="Arial" w:hAnsi="Arial" w:cs="Arial"/>
          <w:sz w:val="22"/>
          <w:szCs w:val="22"/>
          <w:u w:val="single"/>
        </w:rPr>
      </w:pPr>
      <w:r w:rsidRPr="00B5368F">
        <w:rPr>
          <w:rFonts w:ascii="Arial" w:hAnsi="Arial" w:cs="Arial"/>
          <w:sz w:val="22"/>
          <w:szCs w:val="22"/>
          <w:u w:val="single"/>
        </w:rPr>
        <w:lastRenderedPageBreak/>
        <w:t>Challenges</w:t>
      </w:r>
    </w:p>
    <w:p w14:paraId="16EC12C1" w14:textId="48783C49" w:rsidR="00AE78BE" w:rsidRPr="008B2FF7" w:rsidRDefault="00AE78BE" w:rsidP="008B2FF7">
      <w:pPr>
        <w:pStyle w:val="NormalWeb"/>
        <w:spacing w:line="360" w:lineRule="auto"/>
        <w:rPr>
          <w:rFonts w:ascii="Arial" w:hAnsi="Arial" w:cs="Arial"/>
          <w:sz w:val="22"/>
          <w:szCs w:val="22"/>
        </w:rPr>
      </w:pPr>
      <w:r w:rsidRPr="008B2FF7">
        <w:rPr>
          <w:rFonts w:ascii="Arial" w:hAnsi="Arial" w:cs="Arial"/>
          <w:sz w:val="22"/>
          <w:szCs w:val="22"/>
        </w:rPr>
        <w:t xml:space="preserve">However, applying Erikson’s theory in practice is not without challenges. One significant difficulty </w:t>
      </w:r>
      <w:proofErr w:type="gramStart"/>
      <w:r w:rsidRPr="008B2FF7">
        <w:rPr>
          <w:rFonts w:ascii="Arial" w:hAnsi="Arial" w:cs="Arial"/>
          <w:sz w:val="22"/>
          <w:szCs w:val="22"/>
        </w:rPr>
        <w:t>professionals</w:t>
      </w:r>
      <w:proofErr w:type="gramEnd"/>
      <w:r w:rsidRPr="008B2FF7">
        <w:rPr>
          <w:rFonts w:ascii="Arial" w:hAnsi="Arial" w:cs="Arial"/>
          <w:sz w:val="22"/>
          <w:szCs w:val="22"/>
        </w:rPr>
        <w:t xml:space="preserve"> may face is limited time and staffing pressures within care home environments. High workloads can make it challenging to engage in meaningful, person-centred interactions such as life review sessions, which require time, patience, and emotional presence. As a result, care may become task-focused rather than holistic, reducing opportunities to support residents’ psychological needs.</w:t>
      </w:r>
    </w:p>
    <w:p w14:paraId="59BA573D" w14:textId="7BD20E03" w:rsidR="00B5368F" w:rsidRPr="00B5368F" w:rsidRDefault="00B5368F" w:rsidP="008B2FF7">
      <w:pPr>
        <w:pStyle w:val="NormalWeb"/>
        <w:spacing w:line="360" w:lineRule="auto"/>
        <w:rPr>
          <w:rFonts w:ascii="Arial" w:hAnsi="Arial" w:cs="Arial"/>
          <w:sz w:val="22"/>
          <w:szCs w:val="22"/>
          <w:u w:val="single"/>
        </w:rPr>
      </w:pPr>
      <w:r w:rsidRPr="00B5368F">
        <w:rPr>
          <w:rFonts w:ascii="Arial" w:hAnsi="Arial" w:cs="Arial"/>
          <w:sz w:val="22"/>
          <w:szCs w:val="22"/>
          <w:u w:val="single"/>
        </w:rPr>
        <w:t>Strategies</w:t>
      </w:r>
    </w:p>
    <w:p w14:paraId="7998442F" w14:textId="3DA40E03" w:rsidR="00AE78BE" w:rsidRPr="008B2FF7" w:rsidRDefault="00AE78BE" w:rsidP="008B2FF7">
      <w:pPr>
        <w:pStyle w:val="NormalWeb"/>
        <w:spacing w:line="360" w:lineRule="auto"/>
        <w:rPr>
          <w:rFonts w:ascii="Arial" w:hAnsi="Arial" w:cs="Arial"/>
          <w:sz w:val="22"/>
          <w:szCs w:val="22"/>
        </w:rPr>
      </w:pPr>
      <w:r w:rsidRPr="008B2FF7">
        <w:rPr>
          <w:rFonts w:ascii="Arial" w:hAnsi="Arial" w:cs="Arial"/>
          <w:sz w:val="22"/>
          <w:szCs w:val="22"/>
        </w:rPr>
        <w:t>To overcome this challenge, care homes can adopt a more integrated and team-based approach. For instance, life review and meaningful conversations can be incorporated into daily routines rather than treated as separate activities. Simple actions—such as talking with residents during mealtimes, personal care, or walks—can provide opportunities for reflection and connection. Additionally, training all staff members, including support workers and volunteers, in basic communication and reminiscence techniques can distribute responsibility across the team and ensure more consistent support.</w:t>
      </w:r>
    </w:p>
    <w:p w14:paraId="617CC99D" w14:textId="77777777" w:rsidR="00AE78BE" w:rsidRPr="008B2FF7" w:rsidRDefault="00AE78BE" w:rsidP="008B2FF7">
      <w:pPr>
        <w:pStyle w:val="NormalWeb"/>
        <w:spacing w:line="360" w:lineRule="auto"/>
        <w:rPr>
          <w:rFonts w:ascii="Arial" w:hAnsi="Arial" w:cs="Arial"/>
          <w:sz w:val="22"/>
          <w:szCs w:val="22"/>
        </w:rPr>
      </w:pPr>
      <w:r w:rsidRPr="008B2FF7">
        <w:rPr>
          <w:rFonts w:ascii="Arial" w:hAnsi="Arial" w:cs="Arial"/>
          <w:sz w:val="22"/>
          <w:szCs w:val="22"/>
        </w:rPr>
        <w:t>Another effective strategy is to involve family members and the wider community. Families can contribute to life story work by providing photographs, sharing memories, or participating in activities. This not only enriches the process but also strengthens relationships and continuity of identity for the resident. Digital tools and memory aids can also be used to support staff in delivering personalised care more efficiently.</w:t>
      </w:r>
    </w:p>
    <w:p w14:paraId="2B4A3FB0" w14:textId="77777777" w:rsidR="00B5368F" w:rsidRDefault="00B5368F" w:rsidP="008B2FF7">
      <w:pPr>
        <w:pStyle w:val="NormalWeb"/>
        <w:spacing w:line="360" w:lineRule="auto"/>
        <w:rPr>
          <w:rFonts w:ascii="Arial" w:hAnsi="Arial" w:cs="Arial"/>
          <w:sz w:val="22"/>
          <w:szCs w:val="22"/>
        </w:rPr>
      </w:pPr>
    </w:p>
    <w:p w14:paraId="1852FF9E" w14:textId="5F4801E7" w:rsidR="00B5368F" w:rsidRPr="00B5368F" w:rsidRDefault="00B5368F" w:rsidP="008B2FF7">
      <w:pPr>
        <w:pStyle w:val="NormalWeb"/>
        <w:spacing w:line="360" w:lineRule="auto"/>
        <w:rPr>
          <w:rFonts w:ascii="Arial" w:hAnsi="Arial" w:cs="Arial"/>
          <w:sz w:val="22"/>
          <w:szCs w:val="22"/>
          <w:u w:val="single"/>
        </w:rPr>
      </w:pPr>
      <w:r w:rsidRPr="00B5368F">
        <w:rPr>
          <w:rFonts w:ascii="Arial" w:hAnsi="Arial" w:cs="Arial"/>
          <w:sz w:val="22"/>
          <w:szCs w:val="22"/>
          <w:u w:val="single"/>
        </w:rPr>
        <w:t>Conclusion</w:t>
      </w:r>
    </w:p>
    <w:p w14:paraId="755A237F" w14:textId="4571A69C" w:rsidR="00AE78BE" w:rsidRPr="008B2FF7" w:rsidRDefault="00AE78BE" w:rsidP="008B2FF7">
      <w:pPr>
        <w:pStyle w:val="NormalWeb"/>
        <w:spacing w:line="360" w:lineRule="auto"/>
        <w:rPr>
          <w:rFonts w:ascii="Arial" w:hAnsi="Arial" w:cs="Arial"/>
          <w:sz w:val="22"/>
          <w:szCs w:val="22"/>
        </w:rPr>
      </w:pPr>
      <w:r w:rsidRPr="008B2FF7">
        <w:rPr>
          <w:rFonts w:ascii="Arial" w:hAnsi="Arial" w:cs="Arial"/>
          <w:sz w:val="22"/>
          <w:szCs w:val="22"/>
        </w:rPr>
        <w:t>In conclusion, Erikson’s psychosocial theory offers a valuable framework for promoting psychological wellbeing in older adults living in residential care. By focusing on the stage of integrity versus despair, health and social care professionals can better understand the emotional needs of residents and implement strategies such as life review, social engagement, and autonomy support. Although challenges such as time constraints exist, these can be addressed through integrated care practices, staff training, and collaborative approaches. Ultimately, applying this theory helps create a more compassionate, person-centred environment where older adults can reflect positively on their lives and maintain a strong sense of dignity and self-worth.</w:t>
      </w:r>
    </w:p>
    <w:p w14:paraId="0AAF10D5" w14:textId="5C9B7999" w:rsidR="008B2FF7" w:rsidRPr="005C7E65" w:rsidRDefault="008B2FF7" w:rsidP="008B2FF7">
      <w:pPr>
        <w:spacing w:line="360" w:lineRule="auto"/>
        <w:rPr>
          <w:rFonts w:ascii="Arial" w:hAnsi="Arial" w:cs="Arial"/>
          <w:b/>
          <w:bCs/>
          <w:color w:val="000000"/>
          <w:sz w:val="28"/>
          <w:szCs w:val="28"/>
          <w:shd w:val="clear" w:color="auto" w:fill="FFFFFF"/>
        </w:rPr>
      </w:pPr>
      <w:r w:rsidRPr="005C7E65">
        <w:rPr>
          <w:rFonts w:ascii="Arial" w:hAnsi="Arial" w:cs="Arial"/>
          <w:b/>
          <w:bCs/>
          <w:color w:val="000000"/>
          <w:sz w:val="28"/>
          <w:szCs w:val="28"/>
          <w:shd w:val="clear" w:color="auto" w:fill="FFFFFF"/>
        </w:rPr>
        <w:lastRenderedPageBreak/>
        <w:t xml:space="preserve">Reference list </w:t>
      </w:r>
    </w:p>
    <w:p w14:paraId="3ACBD541" w14:textId="77777777" w:rsidR="008B2FF7" w:rsidRDefault="008B2FF7" w:rsidP="008B2FF7">
      <w:pPr>
        <w:pStyle w:val="NormalWeb"/>
        <w:rPr>
          <w:rFonts w:ascii="Arial" w:hAnsi="Arial" w:cs="Arial"/>
          <w:sz w:val="22"/>
          <w:szCs w:val="22"/>
        </w:rPr>
      </w:pPr>
      <w:r w:rsidRPr="00491B62">
        <w:rPr>
          <w:rStyle w:val="whitespace-normal"/>
          <w:rFonts w:ascii="Arial" w:eastAsiaTheme="majorEastAsia" w:hAnsi="Arial" w:cs="Arial"/>
          <w:sz w:val="22"/>
          <w:szCs w:val="22"/>
        </w:rPr>
        <w:t>Bowlby,</w:t>
      </w:r>
      <w:r>
        <w:rPr>
          <w:rStyle w:val="whitespace-normal"/>
          <w:rFonts w:ascii="Arial" w:eastAsiaTheme="majorEastAsia" w:hAnsi="Arial" w:cs="Arial"/>
          <w:sz w:val="22"/>
          <w:szCs w:val="22"/>
        </w:rPr>
        <w:t xml:space="preserve"> </w:t>
      </w:r>
      <w:r w:rsidRPr="00491B62">
        <w:rPr>
          <w:rStyle w:val="whitespace-normal"/>
          <w:rFonts w:ascii="Arial" w:eastAsiaTheme="majorEastAsia" w:hAnsi="Arial" w:cs="Arial"/>
          <w:sz w:val="22"/>
          <w:szCs w:val="22"/>
        </w:rPr>
        <w:t>J.</w:t>
      </w:r>
      <w:r w:rsidRPr="00491B62">
        <w:rPr>
          <w:rFonts w:ascii="Arial" w:hAnsi="Arial" w:cs="Arial"/>
          <w:sz w:val="22"/>
          <w:szCs w:val="22"/>
        </w:rPr>
        <w:t xml:space="preserve"> (1988) </w:t>
      </w:r>
      <w:r w:rsidRPr="00491B62">
        <w:rPr>
          <w:rStyle w:val="Emphasis"/>
          <w:rFonts w:ascii="Arial" w:eastAsiaTheme="majorEastAsia" w:hAnsi="Arial" w:cs="Arial"/>
          <w:sz w:val="22"/>
          <w:szCs w:val="22"/>
        </w:rPr>
        <w:t>A Secure Base: Parent-Child Attachment and Healthy Human Development</w:t>
      </w:r>
      <w:r w:rsidRPr="00491B62">
        <w:rPr>
          <w:rFonts w:ascii="Arial" w:hAnsi="Arial" w:cs="Arial"/>
          <w:sz w:val="22"/>
          <w:szCs w:val="22"/>
        </w:rPr>
        <w:t>. London: Routledge.</w:t>
      </w:r>
    </w:p>
    <w:p w14:paraId="56480114" w14:textId="486E0C2B" w:rsidR="00A0587D" w:rsidRDefault="00EF18D9" w:rsidP="008B2FF7">
      <w:pPr>
        <w:pStyle w:val="NormalWeb"/>
        <w:rPr>
          <w:rFonts w:ascii="Arial" w:hAnsi="Arial" w:cs="Arial"/>
          <w:sz w:val="22"/>
          <w:szCs w:val="22"/>
        </w:rPr>
      </w:pPr>
      <w:proofErr w:type="spellStart"/>
      <w:proofErr w:type="gramStart"/>
      <w:r>
        <w:rPr>
          <w:rFonts w:ascii="Arial" w:hAnsi="Arial" w:cs="Arial"/>
          <w:sz w:val="22"/>
          <w:szCs w:val="22"/>
        </w:rPr>
        <w:t>Brooker</w:t>
      </w:r>
      <w:r w:rsidR="005D2468">
        <w:rPr>
          <w:rFonts w:ascii="Arial" w:hAnsi="Arial" w:cs="Arial"/>
          <w:sz w:val="22"/>
          <w:szCs w:val="22"/>
        </w:rPr>
        <w:t>,D</w:t>
      </w:r>
      <w:proofErr w:type="spellEnd"/>
      <w:proofErr w:type="gramEnd"/>
      <w:r w:rsidR="007113AC">
        <w:rPr>
          <w:rFonts w:ascii="Arial" w:hAnsi="Arial" w:cs="Arial"/>
          <w:sz w:val="22"/>
          <w:szCs w:val="22"/>
        </w:rPr>
        <w:t xml:space="preserve"> and </w:t>
      </w:r>
      <w:proofErr w:type="spellStart"/>
      <w:proofErr w:type="gramStart"/>
      <w:r w:rsidR="007113AC">
        <w:rPr>
          <w:rFonts w:ascii="Arial" w:hAnsi="Arial" w:cs="Arial"/>
          <w:sz w:val="22"/>
          <w:szCs w:val="22"/>
        </w:rPr>
        <w:t>L</w:t>
      </w:r>
      <w:r w:rsidR="00182915">
        <w:rPr>
          <w:rFonts w:ascii="Arial" w:hAnsi="Arial" w:cs="Arial"/>
          <w:sz w:val="22"/>
          <w:szCs w:val="22"/>
        </w:rPr>
        <w:t>atham,I</w:t>
      </w:r>
      <w:proofErr w:type="spellEnd"/>
      <w:r w:rsidR="00182915">
        <w:rPr>
          <w:rFonts w:ascii="Arial" w:hAnsi="Arial" w:cs="Arial"/>
          <w:sz w:val="22"/>
          <w:szCs w:val="22"/>
        </w:rPr>
        <w:t>.</w:t>
      </w:r>
      <w:proofErr w:type="gramEnd"/>
      <w:r w:rsidR="00182915">
        <w:rPr>
          <w:rFonts w:ascii="Arial" w:hAnsi="Arial" w:cs="Arial"/>
          <w:sz w:val="22"/>
          <w:szCs w:val="22"/>
        </w:rPr>
        <w:t>(2016)</w:t>
      </w:r>
      <w:r w:rsidR="0073047A">
        <w:rPr>
          <w:rFonts w:ascii="Arial" w:hAnsi="Arial" w:cs="Arial"/>
          <w:sz w:val="22"/>
          <w:szCs w:val="22"/>
        </w:rPr>
        <w:t xml:space="preserve"> Person-centred</w:t>
      </w:r>
      <w:r w:rsidR="00171CBD">
        <w:rPr>
          <w:rFonts w:ascii="Arial" w:hAnsi="Arial" w:cs="Arial"/>
          <w:sz w:val="22"/>
          <w:szCs w:val="22"/>
        </w:rPr>
        <w:t xml:space="preserve"> dementia </w:t>
      </w:r>
      <w:proofErr w:type="spellStart"/>
      <w:proofErr w:type="gramStart"/>
      <w:r w:rsidR="00171CBD">
        <w:rPr>
          <w:rFonts w:ascii="Arial" w:hAnsi="Arial" w:cs="Arial"/>
          <w:sz w:val="22"/>
          <w:szCs w:val="22"/>
        </w:rPr>
        <w:t>care</w:t>
      </w:r>
      <w:r w:rsidR="00393896">
        <w:rPr>
          <w:rFonts w:ascii="Arial" w:hAnsi="Arial" w:cs="Arial"/>
          <w:sz w:val="22"/>
          <w:szCs w:val="22"/>
        </w:rPr>
        <w:t>;</w:t>
      </w:r>
      <w:r w:rsidR="0066208E">
        <w:rPr>
          <w:rFonts w:ascii="Arial" w:hAnsi="Arial" w:cs="Arial"/>
          <w:sz w:val="22"/>
          <w:szCs w:val="22"/>
        </w:rPr>
        <w:t>Making</w:t>
      </w:r>
      <w:proofErr w:type="spellEnd"/>
      <w:proofErr w:type="gramEnd"/>
      <w:r w:rsidR="0066208E">
        <w:rPr>
          <w:rFonts w:ascii="Arial" w:hAnsi="Arial" w:cs="Arial"/>
          <w:sz w:val="22"/>
          <w:szCs w:val="22"/>
        </w:rPr>
        <w:t xml:space="preserve"> services better with V</w:t>
      </w:r>
      <w:r w:rsidR="00580EE9">
        <w:rPr>
          <w:rFonts w:ascii="Arial" w:hAnsi="Arial" w:cs="Arial"/>
          <w:sz w:val="22"/>
          <w:szCs w:val="22"/>
        </w:rPr>
        <w:t xml:space="preserve">IPS </w:t>
      </w:r>
      <w:r w:rsidR="00C445B6">
        <w:rPr>
          <w:rFonts w:ascii="Arial" w:hAnsi="Arial" w:cs="Arial"/>
          <w:sz w:val="22"/>
          <w:szCs w:val="22"/>
        </w:rPr>
        <w:t>framework.</w:t>
      </w:r>
      <w:r w:rsidR="008D3DA9">
        <w:rPr>
          <w:rFonts w:ascii="Arial" w:hAnsi="Arial" w:cs="Arial"/>
          <w:sz w:val="22"/>
          <w:szCs w:val="22"/>
        </w:rPr>
        <w:t>2</w:t>
      </w:r>
      <w:r w:rsidR="008D3DA9" w:rsidRPr="008D3DA9">
        <w:rPr>
          <w:rFonts w:ascii="Arial" w:hAnsi="Arial" w:cs="Arial"/>
          <w:sz w:val="22"/>
          <w:szCs w:val="22"/>
          <w:vertAlign w:val="superscript"/>
        </w:rPr>
        <w:t>nd</w:t>
      </w:r>
      <w:r w:rsidR="008D3DA9">
        <w:rPr>
          <w:rFonts w:ascii="Arial" w:hAnsi="Arial" w:cs="Arial"/>
          <w:sz w:val="22"/>
          <w:szCs w:val="22"/>
        </w:rPr>
        <w:t xml:space="preserve"> </w:t>
      </w:r>
      <w:proofErr w:type="spellStart"/>
      <w:proofErr w:type="gramStart"/>
      <w:r w:rsidR="008D3DA9">
        <w:rPr>
          <w:rFonts w:ascii="Arial" w:hAnsi="Arial" w:cs="Arial"/>
          <w:sz w:val="22"/>
          <w:szCs w:val="22"/>
        </w:rPr>
        <w:t>edn</w:t>
      </w:r>
      <w:proofErr w:type="spellEnd"/>
      <w:r w:rsidR="008C072D">
        <w:rPr>
          <w:rFonts w:ascii="Arial" w:hAnsi="Arial" w:cs="Arial"/>
          <w:sz w:val="22"/>
          <w:szCs w:val="22"/>
        </w:rPr>
        <w:t xml:space="preserve"> </w:t>
      </w:r>
      <w:r w:rsidR="008D3DA9">
        <w:rPr>
          <w:rFonts w:ascii="Arial" w:hAnsi="Arial" w:cs="Arial"/>
          <w:sz w:val="22"/>
          <w:szCs w:val="22"/>
        </w:rPr>
        <w:t>.</w:t>
      </w:r>
      <w:r w:rsidR="008C072D">
        <w:rPr>
          <w:rFonts w:ascii="Arial" w:hAnsi="Arial" w:cs="Arial"/>
          <w:sz w:val="22"/>
          <w:szCs w:val="22"/>
        </w:rPr>
        <w:t>London</w:t>
      </w:r>
      <w:r w:rsidR="00915EAA">
        <w:rPr>
          <w:rFonts w:ascii="Arial" w:hAnsi="Arial" w:cs="Arial"/>
          <w:sz w:val="22"/>
          <w:szCs w:val="22"/>
        </w:rPr>
        <w:t xml:space="preserve"> :</w:t>
      </w:r>
      <w:r w:rsidR="009B4FA5">
        <w:rPr>
          <w:rFonts w:ascii="Arial" w:hAnsi="Arial" w:cs="Arial"/>
          <w:sz w:val="22"/>
          <w:szCs w:val="22"/>
        </w:rPr>
        <w:t>Kingsley</w:t>
      </w:r>
      <w:proofErr w:type="gramEnd"/>
      <w:r w:rsidR="009B4FA5">
        <w:rPr>
          <w:rFonts w:ascii="Arial" w:hAnsi="Arial" w:cs="Arial"/>
          <w:sz w:val="22"/>
          <w:szCs w:val="22"/>
        </w:rPr>
        <w:t xml:space="preserve"> </w:t>
      </w:r>
      <w:r w:rsidR="000915F4">
        <w:rPr>
          <w:rFonts w:ascii="Arial" w:hAnsi="Arial" w:cs="Arial"/>
          <w:sz w:val="22"/>
          <w:szCs w:val="22"/>
        </w:rPr>
        <w:t>J.</w:t>
      </w:r>
    </w:p>
    <w:p w14:paraId="47243C17" w14:textId="61234892" w:rsidR="00C26341" w:rsidRPr="005A0023" w:rsidRDefault="004745BC" w:rsidP="00C26341">
      <w:pPr>
        <w:pStyle w:val="NormalWeb"/>
        <w:rPr>
          <w:sz w:val="22"/>
          <w:szCs w:val="22"/>
        </w:rPr>
      </w:pPr>
      <w:proofErr w:type="spellStart"/>
      <w:proofErr w:type="gramStart"/>
      <w:r>
        <w:rPr>
          <w:rFonts w:ascii="Arial" w:hAnsi="Arial" w:cs="Arial"/>
          <w:sz w:val="22"/>
          <w:szCs w:val="22"/>
        </w:rPr>
        <w:t>Butler</w:t>
      </w:r>
      <w:r w:rsidR="00EF5A26">
        <w:rPr>
          <w:rFonts w:ascii="Arial" w:hAnsi="Arial" w:cs="Arial"/>
          <w:sz w:val="22"/>
          <w:szCs w:val="22"/>
        </w:rPr>
        <w:t>,R.N</w:t>
      </w:r>
      <w:proofErr w:type="spellEnd"/>
      <w:r w:rsidR="00EF5A26">
        <w:rPr>
          <w:rFonts w:ascii="Arial" w:hAnsi="Arial" w:cs="Arial"/>
          <w:sz w:val="22"/>
          <w:szCs w:val="22"/>
        </w:rPr>
        <w:t>.</w:t>
      </w:r>
      <w:proofErr w:type="gramEnd"/>
      <w:r w:rsidR="00EF5A26">
        <w:rPr>
          <w:rFonts w:ascii="Arial" w:hAnsi="Arial" w:cs="Arial"/>
          <w:sz w:val="22"/>
          <w:szCs w:val="22"/>
        </w:rPr>
        <w:t>(1963</w:t>
      </w:r>
      <w:r w:rsidR="0099144A">
        <w:rPr>
          <w:rFonts w:ascii="Arial" w:hAnsi="Arial" w:cs="Arial"/>
          <w:sz w:val="22"/>
          <w:szCs w:val="22"/>
        </w:rPr>
        <w:t>)’</w:t>
      </w:r>
      <w:r w:rsidR="00723062">
        <w:rPr>
          <w:rFonts w:ascii="Arial" w:hAnsi="Arial" w:cs="Arial"/>
          <w:sz w:val="22"/>
          <w:szCs w:val="22"/>
        </w:rPr>
        <w:t>The life review</w:t>
      </w:r>
      <w:r w:rsidR="00B851D1">
        <w:rPr>
          <w:rFonts w:ascii="Arial" w:hAnsi="Arial" w:cs="Arial"/>
          <w:sz w:val="22"/>
          <w:szCs w:val="22"/>
        </w:rPr>
        <w:t>: An int</w:t>
      </w:r>
      <w:r w:rsidR="00ED12DF">
        <w:rPr>
          <w:rFonts w:ascii="Arial" w:hAnsi="Arial" w:cs="Arial"/>
          <w:sz w:val="22"/>
          <w:szCs w:val="22"/>
        </w:rPr>
        <w:t>erpret</w:t>
      </w:r>
      <w:r w:rsidR="001C4BA9">
        <w:rPr>
          <w:rFonts w:ascii="Arial" w:hAnsi="Arial" w:cs="Arial"/>
          <w:sz w:val="22"/>
          <w:szCs w:val="22"/>
        </w:rPr>
        <w:t>ation of remin</w:t>
      </w:r>
      <w:r w:rsidR="00B66652">
        <w:rPr>
          <w:rFonts w:ascii="Arial" w:hAnsi="Arial" w:cs="Arial"/>
          <w:sz w:val="22"/>
          <w:szCs w:val="22"/>
        </w:rPr>
        <w:t xml:space="preserve">iscence in the </w:t>
      </w:r>
      <w:r w:rsidR="00125D2C">
        <w:rPr>
          <w:rFonts w:ascii="Arial" w:hAnsi="Arial" w:cs="Arial"/>
          <w:sz w:val="22"/>
          <w:szCs w:val="22"/>
        </w:rPr>
        <w:t>aged; psychiatry</w:t>
      </w:r>
      <w:r w:rsidR="00C24020">
        <w:rPr>
          <w:rFonts w:ascii="Arial" w:hAnsi="Arial" w:cs="Arial"/>
          <w:sz w:val="22"/>
          <w:szCs w:val="22"/>
        </w:rPr>
        <w:t>,26(1</w:t>
      </w:r>
      <w:proofErr w:type="gramStart"/>
      <w:r w:rsidR="00C24020">
        <w:rPr>
          <w:rFonts w:ascii="Arial" w:hAnsi="Arial" w:cs="Arial"/>
          <w:sz w:val="22"/>
          <w:szCs w:val="22"/>
        </w:rPr>
        <w:t>),</w:t>
      </w:r>
      <w:r w:rsidR="00977D0F">
        <w:rPr>
          <w:rFonts w:ascii="Arial" w:hAnsi="Arial" w:cs="Arial"/>
          <w:sz w:val="22"/>
          <w:szCs w:val="22"/>
        </w:rPr>
        <w:t>pp.</w:t>
      </w:r>
      <w:proofErr w:type="gramEnd"/>
      <w:r w:rsidR="00977D0F">
        <w:rPr>
          <w:rFonts w:ascii="Arial" w:hAnsi="Arial" w:cs="Arial"/>
          <w:sz w:val="22"/>
          <w:szCs w:val="22"/>
        </w:rPr>
        <w:t>65-77.</w:t>
      </w:r>
      <w:r w:rsidR="00C26341" w:rsidRPr="00C26341">
        <w:rPr>
          <w:rFonts w:ascii="Arial" w:hAnsi="Arial" w:cs="Arial"/>
          <w:color w:val="000000"/>
          <w:sz w:val="22"/>
          <w:szCs w:val="22"/>
          <w:shd w:val="clear" w:color="auto" w:fill="FFFFFF"/>
        </w:rPr>
        <w:t xml:space="preserve"> </w:t>
      </w:r>
    </w:p>
    <w:p w14:paraId="72FD9205" w14:textId="77777777" w:rsidR="009D607F" w:rsidRDefault="009D607F" w:rsidP="009D607F">
      <w:pPr>
        <w:pStyle w:val="NormalWeb"/>
        <w:rPr>
          <w:rFonts w:ascii="Arial" w:hAnsi="Arial" w:cs="Arial"/>
          <w:color w:val="000000"/>
          <w:sz w:val="22"/>
          <w:szCs w:val="22"/>
          <w:shd w:val="clear" w:color="auto" w:fill="FFFFFF"/>
        </w:rPr>
      </w:pPr>
      <w:r w:rsidRPr="005A0023">
        <w:rPr>
          <w:rFonts w:ascii="Arial" w:hAnsi="Arial" w:cs="Arial"/>
          <w:color w:val="000000"/>
          <w:sz w:val="22"/>
          <w:szCs w:val="22"/>
          <w:shd w:val="clear" w:color="auto" w:fill="FFFFFF"/>
        </w:rPr>
        <w:t>Cumming, E. and Henry, W.E. (1961) </w:t>
      </w:r>
      <w:r w:rsidRPr="005A0023">
        <w:rPr>
          <w:rStyle w:val="Emphasis"/>
          <w:rFonts w:ascii="Aptos" w:eastAsiaTheme="majorEastAsia" w:hAnsi="Aptos" w:cs="Arial"/>
          <w:color w:val="000000"/>
          <w:sz w:val="22"/>
          <w:szCs w:val="22"/>
          <w:bdr w:val="none" w:sz="0" w:space="0" w:color="auto" w:frame="1"/>
          <w:shd w:val="clear" w:color="auto" w:fill="FFFFFF"/>
        </w:rPr>
        <w:t>Growing old: The process of disengagement</w:t>
      </w:r>
      <w:r w:rsidRPr="005A0023">
        <w:rPr>
          <w:rFonts w:ascii="Arial" w:hAnsi="Arial" w:cs="Arial"/>
          <w:color w:val="000000"/>
          <w:sz w:val="22"/>
          <w:szCs w:val="22"/>
          <w:shd w:val="clear" w:color="auto" w:fill="FFFFFF"/>
        </w:rPr>
        <w:t>. New York: Basic Books.</w:t>
      </w:r>
    </w:p>
    <w:p w14:paraId="46C585F1" w14:textId="74CE3BB3" w:rsidR="001C543A" w:rsidRDefault="001C543A" w:rsidP="009D607F">
      <w:pPr>
        <w:pStyle w:val="NormalWeb"/>
        <w:rPr>
          <w:rFonts w:ascii="Arial" w:hAnsi="Arial" w:cs="Arial"/>
          <w:color w:val="000000"/>
          <w:sz w:val="22"/>
          <w:szCs w:val="22"/>
          <w:shd w:val="clear" w:color="auto" w:fill="FFFFFF"/>
        </w:rPr>
      </w:pPr>
      <w:proofErr w:type="spellStart"/>
      <w:proofErr w:type="gramStart"/>
      <w:r>
        <w:rPr>
          <w:rFonts w:ascii="Arial" w:hAnsi="Arial" w:cs="Arial"/>
          <w:color w:val="000000"/>
          <w:sz w:val="22"/>
          <w:szCs w:val="22"/>
          <w:shd w:val="clear" w:color="auto" w:fill="FFFFFF"/>
        </w:rPr>
        <w:t>Erikson,E.H</w:t>
      </w:r>
      <w:proofErr w:type="spellEnd"/>
      <w:r>
        <w:rPr>
          <w:rFonts w:ascii="Arial" w:hAnsi="Arial" w:cs="Arial"/>
          <w:color w:val="000000"/>
          <w:sz w:val="22"/>
          <w:szCs w:val="22"/>
          <w:shd w:val="clear" w:color="auto" w:fill="FFFFFF"/>
        </w:rPr>
        <w:t>.</w:t>
      </w:r>
      <w:proofErr w:type="gramEnd"/>
      <w:r>
        <w:rPr>
          <w:rFonts w:ascii="Arial" w:hAnsi="Arial" w:cs="Arial"/>
          <w:color w:val="000000"/>
          <w:sz w:val="22"/>
          <w:szCs w:val="22"/>
          <w:shd w:val="clear" w:color="auto" w:fill="FFFFFF"/>
        </w:rPr>
        <w:t xml:space="preserve">(1982) The life cycle completed. New </w:t>
      </w:r>
      <w:r w:rsidR="00C9258E">
        <w:rPr>
          <w:rFonts w:ascii="Arial" w:hAnsi="Arial" w:cs="Arial"/>
          <w:color w:val="000000"/>
          <w:sz w:val="22"/>
          <w:szCs w:val="22"/>
          <w:shd w:val="clear" w:color="auto" w:fill="FFFFFF"/>
        </w:rPr>
        <w:t xml:space="preserve">York: </w:t>
      </w:r>
      <w:proofErr w:type="spellStart"/>
      <w:r w:rsidR="00C9258E">
        <w:rPr>
          <w:rFonts w:ascii="Arial" w:hAnsi="Arial" w:cs="Arial"/>
          <w:color w:val="000000"/>
          <w:sz w:val="22"/>
          <w:szCs w:val="22"/>
          <w:shd w:val="clear" w:color="auto" w:fill="FFFFFF"/>
        </w:rPr>
        <w:t>W</w:t>
      </w:r>
      <w:r>
        <w:rPr>
          <w:rFonts w:ascii="Arial" w:hAnsi="Arial" w:cs="Arial"/>
          <w:color w:val="000000"/>
          <w:sz w:val="22"/>
          <w:szCs w:val="22"/>
          <w:shd w:val="clear" w:color="auto" w:fill="FFFFFF"/>
        </w:rPr>
        <w:t>.</w:t>
      </w:r>
      <w:proofErr w:type="gramStart"/>
      <w:r>
        <w:rPr>
          <w:rFonts w:ascii="Arial" w:hAnsi="Arial" w:cs="Arial"/>
          <w:color w:val="000000"/>
          <w:sz w:val="22"/>
          <w:szCs w:val="22"/>
          <w:shd w:val="clear" w:color="auto" w:fill="FFFFFF"/>
        </w:rPr>
        <w:t>W.Northon</w:t>
      </w:r>
      <w:proofErr w:type="spellEnd"/>
      <w:proofErr w:type="gramEnd"/>
      <w:r>
        <w:rPr>
          <w:rFonts w:ascii="Arial" w:hAnsi="Arial" w:cs="Arial"/>
          <w:color w:val="000000"/>
          <w:sz w:val="22"/>
          <w:szCs w:val="22"/>
          <w:shd w:val="clear" w:color="auto" w:fill="FFFFFF"/>
        </w:rPr>
        <w:t xml:space="preserve"> &amp; company.</w:t>
      </w:r>
    </w:p>
    <w:p w14:paraId="3F204D25" w14:textId="77777777" w:rsidR="001C12AD" w:rsidRPr="005A0023" w:rsidRDefault="001C12AD" w:rsidP="009D607F">
      <w:pPr>
        <w:pStyle w:val="NormalWeb"/>
        <w:rPr>
          <w:sz w:val="22"/>
          <w:szCs w:val="22"/>
        </w:rPr>
      </w:pPr>
    </w:p>
    <w:p w14:paraId="41B996E8" w14:textId="77777777" w:rsidR="00046030" w:rsidRDefault="00046030" w:rsidP="00046030">
      <w:pPr>
        <w:pStyle w:val="NormalWeb"/>
        <w:rPr>
          <w:rFonts w:ascii="Arial" w:hAnsi="Arial" w:cs="Arial"/>
          <w:color w:val="242424"/>
          <w:sz w:val="22"/>
          <w:szCs w:val="22"/>
          <w:shd w:val="clear" w:color="auto" w:fill="FFFFFF"/>
        </w:rPr>
      </w:pPr>
      <w:r w:rsidRPr="005A0023">
        <w:rPr>
          <w:rFonts w:ascii="Arial" w:hAnsi="Arial" w:cs="Arial"/>
          <w:color w:val="242424"/>
          <w:sz w:val="22"/>
          <w:szCs w:val="22"/>
          <w:shd w:val="clear" w:color="auto" w:fill="FFFFFF"/>
        </w:rPr>
        <w:t>Ryff, C.D. and Keyes, C.L.M. (1995) ‘The structure of psychological well-being revisited’, </w:t>
      </w:r>
      <w:r w:rsidRPr="005A0023">
        <w:rPr>
          <w:rStyle w:val="Emphasis"/>
          <w:rFonts w:ascii="Arial" w:eastAsiaTheme="majorEastAsia" w:hAnsi="Arial" w:cs="Arial"/>
          <w:color w:val="242424"/>
          <w:sz w:val="22"/>
          <w:szCs w:val="22"/>
          <w:bdr w:val="none" w:sz="0" w:space="0" w:color="auto" w:frame="1"/>
          <w:shd w:val="clear" w:color="auto" w:fill="FFFFFF"/>
        </w:rPr>
        <w:t>Journal of Personality and Social Psychology</w:t>
      </w:r>
      <w:r w:rsidRPr="005A0023">
        <w:rPr>
          <w:rFonts w:ascii="Arial" w:hAnsi="Arial" w:cs="Arial"/>
          <w:color w:val="242424"/>
          <w:sz w:val="22"/>
          <w:szCs w:val="22"/>
          <w:shd w:val="clear" w:color="auto" w:fill="FFFFFF"/>
        </w:rPr>
        <w:t>, 69(4), pp. 719–727.</w:t>
      </w:r>
    </w:p>
    <w:p w14:paraId="53687A52" w14:textId="77777777" w:rsidR="00475F03" w:rsidRPr="00B76E26" w:rsidRDefault="001C543A" w:rsidP="00475F03">
      <w:pPr>
        <w:spacing w:line="240" w:lineRule="auto"/>
        <w:rPr>
          <w:rFonts w:ascii="Arial" w:hAnsi="Arial" w:cs="Arial"/>
          <w:color w:val="000000"/>
          <w:shd w:val="clear" w:color="auto" w:fill="FFFFFF"/>
        </w:rPr>
      </w:pPr>
      <w:r>
        <w:rPr>
          <w:rFonts w:ascii="Arial" w:hAnsi="Arial" w:cs="Arial"/>
          <w:color w:val="242424"/>
          <w:shd w:val="clear" w:color="auto" w:fill="FFFFFF"/>
        </w:rPr>
        <w:t xml:space="preserve">Van der </w:t>
      </w:r>
      <w:proofErr w:type="spellStart"/>
      <w:r>
        <w:rPr>
          <w:rFonts w:ascii="Arial" w:hAnsi="Arial" w:cs="Arial"/>
          <w:color w:val="242424"/>
          <w:shd w:val="clear" w:color="auto" w:fill="FFFFFF"/>
        </w:rPr>
        <w:t>Kaap-</w:t>
      </w:r>
      <w:proofErr w:type="gramStart"/>
      <w:r>
        <w:rPr>
          <w:rFonts w:ascii="Arial" w:hAnsi="Arial" w:cs="Arial"/>
          <w:color w:val="242424"/>
          <w:shd w:val="clear" w:color="auto" w:fill="FFFFFF"/>
        </w:rPr>
        <w:t>D</w:t>
      </w:r>
      <w:r w:rsidR="00475F03">
        <w:rPr>
          <w:rFonts w:ascii="Arial" w:hAnsi="Arial" w:cs="Arial"/>
          <w:color w:val="242424"/>
          <w:shd w:val="clear" w:color="auto" w:fill="FFFFFF"/>
        </w:rPr>
        <w:t>eeder,J</w:t>
      </w:r>
      <w:proofErr w:type="spellEnd"/>
      <w:r w:rsidR="00475F03">
        <w:rPr>
          <w:rFonts w:ascii="Arial" w:hAnsi="Arial" w:cs="Arial"/>
          <w:color w:val="242424"/>
          <w:shd w:val="clear" w:color="auto" w:fill="FFFFFF"/>
        </w:rPr>
        <w:t>.</w:t>
      </w:r>
      <w:proofErr w:type="gramEnd"/>
      <w:r w:rsidR="00475F03">
        <w:rPr>
          <w:rFonts w:ascii="Arial" w:hAnsi="Arial" w:cs="Arial"/>
          <w:color w:val="242424"/>
          <w:shd w:val="clear" w:color="auto" w:fill="FFFFFF"/>
        </w:rPr>
        <w:t xml:space="preserve">, </w:t>
      </w:r>
      <w:proofErr w:type="spellStart"/>
      <w:r w:rsidR="00475F03">
        <w:rPr>
          <w:rFonts w:ascii="Arial" w:hAnsi="Arial" w:cs="Arial"/>
          <w:color w:val="242424"/>
          <w:shd w:val="clear" w:color="auto" w:fill="FFFFFF"/>
        </w:rPr>
        <w:t>Vermote</w:t>
      </w:r>
      <w:proofErr w:type="spellEnd"/>
      <w:r w:rsidR="00475F03">
        <w:rPr>
          <w:rFonts w:ascii="Arial" w:hAnsi="Arial" w:cs="Arial"/>
          <w:color w:val="242424"/>
          <w:shd w:val="clear" w:color="auto" w:fill="FFFFFF"/>
        </w:rPr>
        <w:t xml:space="preserve">, B., </w:t>
      </w:r>
      <w:proofErr w:type="spellStart"/>
      <w:r w:rsidR="00475F03">
        <w:rPr>
          <w:rFonts w:ascii="Arial" w:hAnsi="Arial" w:cs="Arial"/>
          <w:color w:val="242424"/>
          <w:shd w:val="clear" w:color="auto" w:fill="FFFFFF"/>
        </w:rPr>
        <w:t>Waterschoot</w:t>
      </w:r>
      <w:proofErr w:type="spellEnd"/>
      <w:r w:rsidR="00475F03">
        <w:rPr>
          <w:rFonts w:ascii="Arial" w:hAnsi="Arial" w:cs="Arial"/>
          <w:color w:val="242424"/>
          <w:shd w:val="clear" w:color="auto" w:fill="FFFFFF"/>
        </w:rPr>
        <w:t xml:space="preserve">, J., </w:t>
      </w:r>
      <w:proofErr w:type="spellStart"/>
      <w:r w:rsidR="00475F03">
        <w:rPr>
          <w:rFonts w:ascii="Arial" w:hAnsi="Arial" w:cs="Arial"/>
          <w:color w:val="242424"/>
          <w:shd w:val="clear" w:color="auto" w:fill="FFFFFF"/>
        </w:rPr>
        <w:t>Soenens</w:t>
      </w:r>
      <w:proofErr w:type="spellEnd"/>
      <w:r w:rsidR="00475F03">
        <w:rPr>
          <w:rFonts w:ascii="Arial" w:hAnsi="Arial" w:cs="Arial"/>
          <w:color w:val="242424"/>
          <w:shd w:val="clear" w:color="auto" w:fill="FFFFFF"/>
        </w:rPr>
        <w:t xml:space="preserve">, b., Morbee, S .and Vansteenkiste, </w:t>
      </w:r>
      <w:proofErr w:type="gramStart"/>
      <w:r w:rsidR="00475F03">
        <w:rPr>
          <w:rFonts w:ascii="Arial" w:hAnsi="Arial" w:cs="Arial"/>
          <w:color w:val="242424"/>
          <w:shd w:val="clear" w:color="auto" w:fill="FFFFFF"/>
        </w:rPr>
        <w:t>M .</w:t>
      </w:r>
      <w:proofErr w:type="gramEnd"/>
      <w:r w:rsidR="00475F03">
        <w:rPr>
          <w:rFonts w:ascii="Arial" w:hAnsi="Arial" w:cs="Arial"/>
          <w:color w:val="242424"/>
          <w:shd w:val="clear" w:color="auto" w:fill="FFFFFF"/>
        </w:rPr>
        <w:t>(2022) ‘</w:t>
      </w:r>
      <w:r w:rsidR="00475F03" w:rsidRPr="00B76E26">
        <w:rPr>
          <w:rFonts w:ascii="Arial" w:hAnsi="Arial" w:cs="Arial"/>
          <w:color w:val="000000"/>
          <w:shd w:val="clear" w:color="auto" w:fill="FFFFFF"/>
        </w:rPr>
        <w:t>'The role of ego integrity and despair in older adults’ well-being</w:t>
      </w:r>
      <w:r w:rsidR="00475F03">
        <w:rPr>
          <w:rFonts w:ascii="Arial" w:hAnsi="Arial" w:cs="Arial"/>
          <w:color w:val="000000"/>
          <w:shd w:val="clear" w:color="auto" w:fill="FFFFFF"/>
        </w:rPr>
        <w:t xml:space="preserve"> </w:t>
      </w:r>
      <w:r w:rsidR="00475F03" w:rsidRPr="00B76E26">
        <w:rPr>
          <w:rFonts w:ascii="Arial" w:hAnsi="Arial" w:cs="Arial"/>
          <w:color w:val="000000"/>
          <w:shd w:val="clear" w:color="auto" w:fill="FFFFFF"/>
        </w:rPr>
        <w:t>during the covid-19 crisis: The mediating role of need-based experiences’, </w:t>
      </w:r>
      <w:r w:rsidR="00475F03" w:rsidRPr="00B76E26">
        <w:rPr>
          <w:rFonts w:ascii="Arial" w:hAnsi="Arial" w:cs="Arial"/>
          <w:i/>
          <w:iCs/>
          <w:color w:val="000000"/>
        </w:rPr>
        <w:t>European Journal of Ageing</w:t>
      </w:r>
      <w:r w:rsidR="00475F03" w:rsidRPr="00B76E26">
        <w:rPr>
          <w:rFonts w:ascii="Arial" w:hAnsi="Arial" w:cs="Arial"/>
          <w:color w:val="000000"/>
          <w:shd w:val="clear" w:color="auto" w:fill="FFFFFF"/>
        </w:rPr>
        <w:t>, 19(1), pp.117-129.</w:t>
      </w:r>
    </w:p>
    <w:p w14:paraId="39D63109" w14:textId="6A297BD8" w:rsidR="001C543A" w:rsidRDefault="001C543A" w:rsidP="00046030">
      <w:pPr>
        <w:pStyle w:val="NormalWeb"/>
        <w:rPr>
          <w:rFonts w:ascii="Arial" w:hAnsi="Arial" w:cs="Arial"/>
          <w:color w:val="242424"/>
          <w:sz w:val="22"/>
          <w:szCs w:val="22"/>
          <w:shd w:val="clear" w:color="auto" w:fill="FFFFFF"/>
        </w:rPr>
      </w:pPr>
    </w:p>
    <w:p w14:paraId="326CBA22" w14:textId="77777777" w:rsidR="001C543A" w:rsidRPr="005A0023" w:rsidRDefault="001C543A" w:rsidP="00046030">
      <w:pPr>
        <w:pStyle w:val="NormalWeb"/>
        <w:rPr>
          <w:rFonts w:ascii="Arial" w:hAnsi="Arial" w:cs="Arial"/>
          <w:sz w:val="22"/>
          <w:szCs w:val="22"/>
        </w:rPr>
      </w:pPr>
    </w:p>
    <w:p w14:paraId="68B7D064" w14:textId="42A014D6" w:rsidR="004353F8" w:rsidRDefault="004353F8" w:rsidP="008B2FF7">
      <w:pPr>
        <w:pStyle w:val="NormalWeb"/>
        <w:rPr>
          <w:rFonts w:ascii="Arial" w:hAnsi="Arial" w:cs="Arial"/>
          <w:sz w:val="22"/>
          <w:szCs w:val="22"/>
        </w:rPr>
      </w:pPr>
    </w:p>
    <w:p w14:paraId="5E088D97" w14:textId="77777777" w:rsidR="00515BF7" w:rsidRDefault="00515BF7" w:rsidP="008B2FF7">
      <w:pPr>
        <w:pStyle w:val="NormalWeb"/>
        <w:rPr>
          <w:rFonts w:ascii="Arial" w:hAnsi="Arial" w:cs="Arial"/>
          <w:sz w:val="22"/>
          <w:szCs w:val="22"/>
        </w:rPr>
      </w:pPr>
    </w:p>
    <w:p w14:paraId="66061A4B" w14:textId="77777777" w:rsidR="00B1258B" w:rsidRDefault="00B1258B" w:rsidP="008B2FF7">
      <w:pPr>
        <w:pStyle w:val="NormalWeb"/>
        <w:rPr>
          <w:rFonts w:ascii="Arial" w:hAnsi="Arial" w:cs="Arial"/>
          <w:sz w:val="22"/>
          <w:szCs w:val="22"/>
        </w:rPr>
      </w:pPr>
    </w:p>
    <w:p w14:paraId="3D8A678D" w14:textId="77777777" w:rsidR="001E7B5C" w:rsidRDefault="001E7B5C" w:rsidP="008B2FF7">
      <w:pPr>
        <w:pStyle w:val="NormalWeb"/>
        <w:rPr>
          <w:rFonts w:ascii="Arial" w:hAnsi="Arial" w:cs="Arial"/>
          <w:sz w:val="22"/>
          <w:szCs w:val="22"/>
        </w:rPr>
      </w:pPr>
    </w:p>
    <w:p w14:paraId="139D3A60" w14:textId="77777777" w:rsidR="001E7B5C" w:rsidRDefault="001E7B5C" w:rsidP="008B2FF7">
      <w:pPr>
        <w:pStyle w:val="NormalWeb"/>
        <w:rPr>
          <w:rFonts w:ascii="Arial" w:hAnsi="Arial" w:cs="Arial"/>
          <w:sz w:val="22"/>
          <w:szCs w:val="22"/>
        </w:rPr>
      </w:pPr>
    </w:p>
    <w:p w14:paraId="49C4AA3C" w14:textId="77777777" w:rsidR="007B4757" w:rsidRPr="00491B62" w:rsidRDefault="007B4757" w:rsidP="008B2FF7">
      <w:pPr>
        <w:pStyle w:val="NormalWeb"/>
        <w:rPr>
          <w:rFonts w:ascii="Arial" w:hAnsi="Arial" w:cs="Arial"/>
          <w:sz w:val="22"/>
          <w:szCs w:val="22"/>
        </w:rPr>
      </w:pPr>
    </w:p>
    <w:p w14:paraId="6208AB47" w14:textId="58926ED8" w:rsidR="008B2FF7" w:rsidRPr="00475F03" w:rsidRDefault="008B2FF7" w:rsidP="00475F03">
      <w:pPr>
        <w:pStyle w:val="NormalWeb"/>
        <w:rPr>
          <w:sz w:val="22"/>
          <w:szCs w:val="22"/>
        </w:rPr>
      </w:pPr>
    </w:p>
    <w:p w14:paraId="4FE584EF" w14:textId="77777777" w:rsidR="008B2FF7" w:rsidRPr="008B2FF7" w:rsidRDefault="008B2FF7" w:rsidP="008B2FF7">
      <w:pPr>
        <w:spacing w:line="360" w:lineRule="auto"/>
        <w:rPr>
          <w:rFonts w:ascii="Arial" w:hAnsi="Arial" w:cs="Arial"/>
          <w:color w:val="000000"/>
          <w:shd w:val="clear" w:color="auto" w:fill="FFFFFF"/>
        </w:rPr>
      </w:pPr>
    </w:p>
    <w:p w14:paraId="66F0C11A" w14:textId="77777777" w:rsidR="00F178F6" w:rsidRPr="008B2FF7" w:rsidRDefault="00F178F6" w:rsidP="008B2FF7">
      <w:pPr>
        <w:spacing w:line="360" w:lineRule="auto"/>
        <w:rPr>
          <w:rFonts w:ascii="Arial" w:hAnsi="Arial" w:cs="Arial"/>
          <w:color w:val="000000"/>
          <w:shd w:val="clear" w:color="auto" w:fill="FFFFFF"/>
        </w:rPr>
      </w:pPr>
    </w:p>
    <w:p w14:paraId="00250A80" w14:textId="77777777" w:rsidR="00F178F6" w:rsidRPr="008B2FF7" w:rsidRDefault="00F178F6" w:rsidP="008B2FF7">
      <w:pPr>
        <w:spacing w:line="360" w:lineRule="auto"/>
        <w:rPr>
          <w:rFonts w:ascii="Arial" w:hAnsi="Arial" w:cs="Arial"/>
          <w:color w:val="000000"/>
          <w:shd w:val="clear" w:color="auto" w:fill="FFFFFF"/>
        </w:rPr>
      </w:pPr>
    </w:p>
    <w:p w14:paraId="1E9808FE" w14:textId="77777777" w:rsidR="00F178F6" w:rsidRPr="008B2FF7" w:rsidRDefault="00F178F6" w:rsidP="008B2FF7">
      <w:pPr>
        <w:spacing w:line="360" w:lineRule="auto"/>
        <w:rPr>
          <w:rFonts w:ascii="Arial" w:hAnsi="Arial" w:cs="Arial"/>
          <w:color w:val="000000"/>
          <w:shd w:val="clear" w:color="auto" w:fill="FFFFFF"/>
        </w:rPr>
      </w:pPr>
    </w:p>
    <w:p w14:paraId="44AF89EF" w14:textId="77777777" w:rsidR="00F178F6" w:rsidRPr="008B2FF7" w:rsidRDefault="00F178F6" w:rsidP="008B2FF7">
      <w:pPr>
        <w:spacing w:line="360" w:lineRule="auto"/>
        <w:rPr>
          <w:rFonts w:ascii="Arial" w:hAnsi="Arial" w:cs="Arial"/>
          <w:color w:val="000000"/>
          <w:shd w:val="clear" w:color="auto" w:fill="FFFFFF"/>
        </w:rPr>
      </w:pPr>
    </w:p>
    <w:p w14:paraId="723B5C19" w14:textId="77777777" w:rsidR="00F178F6" w:rsidRPr="008B2FF7" w:rsidRDefault="00F178F6" w:rsidP="008B2FF7">
      <w:pPr>
        <w:spacing w:line="360" w:lineRule="auto"/>
        <w:rPr>
          <w:rFonts w:ascii="Arial" w:hAnsi="Arial" w:cs="Arial"/>
          <w:color w:val="000000"/>
          <w:shd w:val="clear" w:color="auto" w:fill="FFFFFF"/>
        </w:rPr>
      </w:pPr>
    </w:p>
    <w:p w14:paraId="145EDDA6" w14:textId="77777777" w:rsidR="00F178F6" w:rsidRPr="008B2FF7" w:rsidRDefault="00F178F6" w:rsidP="008B2FF7">
      <w:pPr>
        <w:spacing w:line="360" w:lineRule="auto"/>
        <w:rPr>
          <w:rFonts w:ascii="Arial" w:hAnsi="Arial" w:cs="Arial"/>
          <w:color w:val="000000"/>
          <w:shd w:val="clear" w:color="auto" w:fill="FFFFFF"/>
        </w:rPr>
      </w:pPr>
    </w:p>
    <w:p w14:paraId="77364B97" w14:textId="77777777" w:rsidR="00F178F6" w:rsidRDefault="00F178F6">
      <w:pPr>
        <w:rPr>
          <w:rFonts w:ascii="Calibri" w:hAnsi="Calibri" w:cs="Calibri"/>
          <w:color w:val="000000"/>
          <w:shd w:val="clear" w:color="auto" w:fill="FFFFFF"/>
        </w:rPr>
      </w:pPr>
    </w:p>
    <w:p w14:paraId="6550CC56" w14:textId="77777777" w:rsidR="00F178F6" w:rsidRDefault="00F178F6">
      <w:pPr>
        <w:rPr>
          <w:rFonts w:ascii="Calibri" w:hAnsi="Calibri" w:cs="Calibri"/>
          <w:color w:val="000000"/>
          <w:shd w:val="clear" w:color="auto" w:fill="FFFFFF"/>
        </w:rPr>
      </w:pPr>
    </w:p>
    <w:p w14:paraId="38515CFF" w14:textId="77777777" w:rsidR="00295A8B" w:rsidRDefault="00295A8B"/>
    <w:sectPr w:rsidR="00295A8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358E9" w14:textId="77777777" w:rsidR="009F4291" w:rsidRDefault="009F4291" w:rsidP="00B0633A">
      <w:pPr>
        <w:spacing w:after="0" w:line="240" w:lineRule="auto"/>
      </w:pPr>
      <w:r>
        <w:separator/>
      </w:r>
    </w:p>
  </w:endnote>
  <w:endnote w:type="continuationSeparator" w:id="0">
    <w:p w14:paraId="023A96AD" w14:textId="77777777" w:rsidR="009F4291" w:rsidRDefault="009F4291" w:rsidP="00B06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4187716"/>
      <w:docPartObj>
        <w:docPartGallery w:val="Page Numbers (Bottom of Page)"/>
        <w:docPartUnique/>
      </w:docPartObj>
    </w:sdtPr>
    <w:sdtEndPr/>
    <w:sdtContent>
      <w:p w14:paraId="35C015BB" w14:textId="35B75CE6" w:rsidR="005C7E65" w:rsidRDefault="005C7E65">
        <w:pPr>
          <w:pStyle w:val="Footer"/>
          <w:jc w:val="center"/>
        </w:pPr>
        <w:r>
          <w:fldChar w:fldCharType="begin"/>
        </w:r>
        <w:r>
          <w:instrText>PAGE   \* MERGEFORMAT</w:instrText>
        </w:r>
        <w:r>
          <w:fldChar w:fldCharType="separate"/>
        </w:r>
        <w:r>
          <w:t>2</w:t>
        </w:r>
        <w:r>
          <w:fldChar w:fldCharType="end"/>
        </w:r>
      </w:p>
    </w:sdtContent>
  </w:sdt>
  <w:p w14:paraId="41FB7DCC" w14:textId="77777777" w:rsidR="005C7E65" w:rsidRDefault="005C7E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7D52B" w14:textId="77777777" w:rsidR="009F4291" w:rsidRDefault="009F4291" w:rsidP="00B0633A">
      <w:pPr>
        <w:spacing w:after="0" w:line="240" w:lineRule="auto"/>
      </w:pPr>
      <w:r>
        <w:separator/>
      </w:r>
    </w:p>
  </w:footnote>
  <w:footnote w:type="continuationSeparator" w:id="0">
    <w:p w14:paraId="1D7BC472" w14:textId="77777777" w:rsidR="009F4291" w:rsidRDefault="009F4291" w:rsidP="00B063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583"/>
    <w:rsid w:val="000075C4"/>
    <w:rsid w:val="0001310C"/>
    <w:rsid w:val="00046030"/>
    <w:rsid w:val="000915F4"/>
    <w:rsid w:val="000941BA"/>
    <w:rsid w:val="000D1B75"/>
    <w:rsid w:val="00103F2D"/>
    <w:rsid w:val="00125D2C"/>
    <w:rsid w:val="00131D1C"/>
    <w:rsid w:val="001326E0"/>
    <w:rsid w:val="00161D3C"/>
    <w:rsid w:val="00171CBD"/>
    <w:rsid w:val="00182915"/>
    <w:rsid w:val="001C12AD"/>
    <w:rsid w:val="001C4BA9"/>
    <w:rsid w:val="001C543A"/>
    <w:rsid w:val="001E5F43"/>
    <w:rsid w:val="001E701C"/>
    <w:rsid w:val="001E7B5C"/>
    <w:rsid w:val="00242B88"/>
    <w:rsid w:val="00294C96"/>
    <w:rsid w:val="00295A8B"/>
    <w:rsid w:val="00317508"/>
    <w:rsid w:val="00355D88"/>
    <w:rsid w:val="00356144"/>
    <w:rsid w:val="00393896"/>
    <w:rsid w:val="003C41D1"/>
    <w:rsid w:val="00403E68"/>
    <w:rsid w:val="0041574A"/>
    <w:rsid w:val="0041671F"/>
    <w:rsid w:val="004353F8"/>
    <w:rsid w:val="004745BC"/>
    <w:rsid w:val="00475F03"/>
    <w:rsid w:val="00482C2A"/>
    <w:rsid w:val="00491B62"/>
    <w:rsid w:val="004A14FF"/>
    <w:rsid w:val="00515BF7"/>
    <w:rsid w:val="00557217"/>
    <w:rsid w:val="0058036F"/>
    <w:rsid w:val="00580EE9"/>
    <w:rsid w:val="005A0023"/>
    <w:rsid w:val="005B3483"/>
    <w:rsid w:val="005C7E65"/>
    <w:rsid w:val="005D2468"/>
    <w:rsid w:val="0066208E"/>
    <w:rsid w:val="00670D5E"/>
    <w:rsid w:val="006B3BFA"/>
    <w:rsid w:val="006C2218"/>
    <w:rsid w:val="007040ED"/>
    <w:rsid w:val="007113AC"/>
    <w:rsid w:val="00723062"/>
    <w:rsid w:val="0073047A"/>
    <w:rsid w:val="00761CB1"/>
    <w:rsid w:val="00782E82"/>
    <w:rsid w:val="00785393"/>
    <w:rsid w:val="007B4757"/>
    <w:rsid w:val="007C42F8"/>
    <w:rsid w:val="007C7DBA"/>
    <w:rsid w:val="007D0D12"/>
    <w:rsid w:val="0085494A"/>
    <w:rsid w:val="00856FE4"/>
    <w:rsid w:val="00860F78"/>
    <w:rsid w:val="008B2FF7"/>
    <w:rsid w:val="008C072D"/>
    <w:rsid w:val="008D3DA9"/>
    <w:rsid w:val="008F76BD"/>
    <w:rsid w:val="009059CF"/>
    <w:rsid w:val="00913C83"/>
    <w:rsid w:val="00915EAA"/>
    <w:rsid w:val="00926028"/>
    <w:rsid w:val="00977D0F"/>
    <w:rsid w:val="009851E1"/>
    <w:rsid w:val="0099144A"/>
    <w:rsid w:val="009B4FA5"/>
    <w:rsid w:val="009D607F"/>
    <w:rsid w:val="009F4291"/>
    <w:rsid w:val="00A0587D"/>
    <w:rsid w:val="00A302AC"/>
    <w:rsid w:val="00A32FA4"/>
    <w:rsid w:val="00A51268"/>
    <w:rsid w:val="00A77CCB"/>
    <w:rsid w:val="00AA611B"/>
    <w:rsid w:val="00AE78BE"/>
    <w:rsid w:val="00B0633A"/>
    <w:rsid w:val="00B1258B"/>
    <w:rsid w:val="00B37FEC"/>
    <w:rsid w:val="00B5368F"/>
    <w:rsid w:val="00B66652"/>
    <w:rsid w:val="00B76E26"/>
    <w:rsid w:val="00B851D1"/>
    <w:rsid w:val="00C24020"/>
    <w:rsid w:val="00C26341"/>
    <w:rsid w:val="00C445B6"/>
    <w:rsid w:val="00C559F4"/>
    <w:rsid w:val="00C831C4"/>
    <w:rsid w:val="00C9258E"/>
    <w:rsid w:val="00CA5211"/>
    <w:rsid w:val="00CC1DAC"/>
    <w:rsid w:val="00CE6119"/>
    <w:rsid w:val="00D36E96"/>
    <w:rsid w:val="00D673B6"/>
    <w:rsid w:val="00DD6904"/>
    <w:rsid w:val="00DE1583"/>
    <w:rsid w:val="00E667DB"/>
    <w:rsid w:val="00EB0A0C"/>
    <w:rsid w:val="00EC7F0C"/>
    <w:rsid w:val="00ED12DF"/>
    <w:rsid w:val="00EF18D9"/>
    <w:rsid w:val="00EF5A26"/>
    <w:rsid w:val="00F17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16311"/>
  <w15:chartTrackingRefBased/>
  <w15:docId w15:val="{9D8823D8-E1E3-4D93-91C5-564896E6E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583"/>
  </w:style>
  <w:style w:type="paragraph" w:styleId="Heading1">
    <w:name w:val="heading 1"/>
    <w:basedOn w:val="Normal"/>
    <w:next w:val="Normal"/>
    <w:link w:val="Heading1Char"/>
    <w:uiPriority w:val="9"/>
    <w:qFormat/>
    <w:rsid w:val="00DE158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DE158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E158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E158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DE158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DE15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15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15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15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58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DE158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E158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E158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DE158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DE15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15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15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1583"/>
    <w:rPr>
      <w:rFonts w:eastAsiaTheme="majorEastAsia" w:cstheme="majorBidi"/>
      <w:color w:val="272727" w:themeColor="text1" w:themeTint="D8"/>
    </w:rPr>
  </w:style>
  <w:style w:type="paragraph" w:styleId="Title">
    <w:name w:val="Title"/>
    <w:basedOn w:val="Normal"/>
    <w:next w:val="Normal"/>
    <w:link w:val="TitleChar"/>
    <w:uiPriority w:val="10"/>
    <w:qFormat/>
    <w:rsid w:val="00DE15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5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5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5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1583"/>
    <w:pPr>
      <w:spacing w:before="160"/>
      <w:jc w:val="center"/>
    </w:pPr>
    <w:rPr>
      <w:i/>
      <w:iCs/>
      <w:color w:val="404040" w:themeColor="text1" w:themeTint="BF"/>
    </w:rPr>
  </w:style>
  <w:style w:type="character" w:customStyle="1" w:styleId="QuoteChar">
    <w:name w:val="Quote Char"/>
    <w:basedOn w:val="DefaultParagraphFont"/>
    <w:link w:val="Quote"/>
    <w:uiPriority w:val="29"/>
    <w:rsid w:val="00DE1583"/>
    <w:rPr>
      <w:i/>
      <w:iCs/>
      <w:color w:val="404040" w:themeColor="text1" w:themeTint="BF"/>
    </w:rPr>
  </w:style>
  <w:style w:type="paragraph" w:styleId="ListParagraph">
    <w:name w:val="List Paragraph"/>
    <w:basedOn w:val="Normal"/>
    <w:uiPriority w:val="34"/>
    <w:qFormat/>
    <w:rsid w:val="00DE1583"/>
    <w:pPr>
      <w:ind w:left="720"/>
      <w:contextualSpacing/>
    </w:pPr>
  </w:style>
  <w:style w:type="character" w:styleId="IntenseEmphasis">
    <w:name w:val="Intense Emphasis"/>
    <w:basedOn w:val="DefaultParagraphFont"/>
    <w:uiPriority w:val="21"/>
    <w:qFormat/>
    <w:rsid w:val="00DE1583"/>
    <w:rPr>
      <w:i/>
      <w:iCs/>
      <w:color w:val="2E74B5" w:themeColor="accent1" w:themeShade="BF"/>
    </w:rPr>
  </w:style>
  <w:style w:type="paragraph" w:styleId="IntenseQuote">
    <w:name w:val="Intense Quote"/>
    <w:basedOn w:val="Normal"/>
    <w:next w:val="Normal"/>
    <w:link w:val="IntenseQuoteChar"/>
    <w:uiPriority w:val="30"/>
    <w:qFormat/>
    <w:rsid w:val="00DE158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DE1583"/>
    <w:rPr>
      <w:i/>
      <w:iCs/>
      <w:color w:val="2E74B5" w:themeColor="accent1" w:themeShade="BF"/>
    </w:rPr>
  </w:style>
  <w:style w:type="character" w:styleId="IntenseReference">
    <w:name w:val="Intense Reference"/>
    <w:basedOn w:val="DefaultParagraphFont"/>
    <w:uiPriority w:val="32"/>
    <w:qFormat/>
    <w:rsid w:val="00DE1583"/>
    <w:rPr>
      <w:b/>
      <w:bCs/>
      <w:smallCaps/>
      <w:color w:val="2E74B5" w:themeColor="accent1" w:themeShade="BF"/>
      <w:spacing w:val="5"/>
    </w:rPr>
  </w:style>
  <w:style w:type="paragraph" w:styleId="NormalWeb">
    <w:name w:val="Normal (Web)"/>
    <w:basedOn w:val="Normal"/>
    <w:uiPriority w:val="99"/>
    <w:unhideWhenUsed/>
    <w:rsid w:val="00DE15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hitespace-normal">
    <w:name w:val="whitespace-normal"/>
    <w:basedOn w:val="DefaultParagraphFont"/>
    <w:rsid w:val="00DE1583"/>
  </w:style>
  <w:style w:type="character" w:styleId="Emphasis">
    <w:name w:val="Emphasis"/>
    <w:basedOn w:val="DefaultParagraphFont"/>
    <w:uiPriority w:val="20"/>
    <w:qFormat/>
    <w:rsid w:val="00DE1583"/>
    <w:rPr>
      <w:i/>
      <w:iCs/>
    </w:rPr>
  </w:style>
  <w:style w:type="character" w:styleId="Strong">
    <w:name w:val="Strong"/>
    <w:basedOn w:val="DefaultParagraphFont"/>
    <w:uiPriority w:val="22"/>
    <w:qFormat/>
    <w:rsid w:val="00AE78BE"/>
    <w:rPr>
      <w:b/>
      <w:bCs/>
    </w:rPr>
  </w:style>
  <w:style w:type="paragraph" w:styleId="Header">
    <w:name w:val="header"/>
    <w:basedOn w:val="Normal"/>
    <w:link w:val="HeaderChar"/>
    <w:uiPriority w:val="99"/>
    <w:unhideWhenUsed/>
    <w:rsid w:val="00B06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33A"/>
  </w:style>
  <w:style w:type="paragraph" w:styleId="Footer">
    <w:name w:val="footer"/>
    <w:basedOn w:val="Normal"/>
    <w:link w:val="FooterChar"/>
    <w:uiPriority w:val="99"/>
    <w:unhideWhenUsed/>
    <w:rsid w:val="00B06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3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24c63105a3eeae65eef2b4d07a36555d">
  <xsd:schema xmlns:xsd="http://www.w3.org/2001/XMLSchema" xmlns:xs="http://www.w3.org/2001/XMLSchema" xmlns:p="http://schemas.microsoft.com/office/2006/metadata/properties" xmlns:ns3="f799553d-1ac0-48da-9ae3-fe400ced9c3b" targetNamespace="http://schemas.microsoft.com/office/2006/metadata/properties" ma:root="true" ma:fieldsID="8c81963366cedef83986e0c5e3e34740"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A99904-9C41-439B-85CC-50AA5DE339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AC584A-8147-4008-8BA5-54193A7DB871}">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7153CB08-2273-4FD2-ADE5-A48931BB55D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1819</Words>
  <Characters>10369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BCPFT</Company>
  <LinksUpToDate>false</LinksUpToDate>
  <CharactersWithSpaces>12164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HAMILTON, Stacilee (BLACK COUNTRY HEALTHCARE NHS FOUNDATION TRUST)</dc:creator>
  <cp:keywords/>
  <dc:description/>
  <cp:lastModifiedBy>Stacilee Julia Hamilton (2436469)</cp:lastModifiedBy>
  <cp:revision>2</cp:revision>
  <dcterms:created xsi:type="dcterms:W3CDTF">2026-03-22T14:21:00Z</dcterms:created>
  <dcterms:modified xsi:type="dcterms:W3CDTF">2026-03-22T14:21:00Z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