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226E93" w14:textId="43F89DFF" w:rsidR="002F2159" w:rsidRDefault="002F2159" w:rsidP="002F2159"/>
    <w:p w14:paraId="33D21A01" w14:textId="1E3C5C7A" w:rsidR="002F2159" w:rsidRDefault="002F2159" w:rsidP="002F2159"/>
    <w:p w14:paraId="0CB46C12" w14:textId="00A2A76A" w:rsidR="002F2159" w:rsidRDefault="002F2159" w:rsidP="002F2159"/>
    <w:p w14:paraId="7AFD3BCF" w14:textId="5FEC7E24" w:rsidR="002F2159" w:rsidRDefault="002F2159" w:rsidP="002F2159"/>
    <w:p w14:paraId="0EB01FE5" w14:textId="15C44E7D" w:rsidR="002F2159" w:rsidRDefault="002F2159" w:rsidP="002F2159"/>
    <w:p w14:paraId="2703D107" w14:textId="5876B52F" w:rsidR="002F2159" w:rsidRDefault="002F2159" w:rsidP="002F2159"/>
    <w:p w14:paraId="5D11BC64" w14:textId="0C752CE3" w:rsidR="002F2159" w:rsidRDefault="002F2159" w:rsidP="002F2159"/>
    <w:p w14:paraId="0647AACE" w14:textId="06704601" w:rsidR="002F2159" w:rsidRDefault="002F2159" w:rsidP="002F2159"/>
    <w:p w14:paraId="1C3A4B70" w14:textId="77777777" w:rsidR="002F2159" w:rsidRPr="00F748E2" w:rsidRDefault="002F2159" w:rsidP="00F748E2">
      <w:pPr>
        <w:spacing w:line="360" w:lineRule="auto"/>
        <w:rPr>
          <w:rFonts w:ascii="Arial" w:hAnsi="Arial" w:cs="Arial"/>
          <w:sz w:val="22"/>
        </w:rPr>
      </w:pPr>
    </w:p>
    <w:p w14:paraId="49A0D387" w14:textId="70D03F89" w:rsidR="00463A29" w:rsidRPr="00F748E2" w:rsidRDefault="00000000" w:rsidP="00F748E2">
      <w:pPr>
        <w:spacing w:line="360" w:lineRule="auto"/>
        <w:rPr>
          <w:rFonts w:ascii="Arial" w:hAnsi="Arial" w:cs="Arial"/>
          <w:b/>
          <w:sz w:val="22"/>
        </w:rPr>
      </w:pPr>
      <w:r w:rsidRPr="00F748E2">
        <w:rPr>
          <w:rFonts w:ascii="Arial" w:hAnsi="Arial" w:cs="Arial"/>
          <w:b/>
          <w:sz w:val="22"/>
        </w:rPr>
        <w:t>A Critical Analysis of SDG 3 and SDG 4 and Their Impact on Health and Well-being in the UK</w:t>
      </w:r>
    </w:p>
    <w:p w14:paraId="79E7E7D6" w14:textId="41923F0A" w:rsidR="002F2159" w:rsidRPr="00F748E2" w:rsidRDefault="00000000" w:rsidP="00F748E2">
      <w:pPr>
        <w:spacing w:line="360" w:lineRule="auto"/>
        <w:rPr>
          <w:rFonts w:ascii="Arial" w:hAnsi="Arial" w:cs="Arial"/>
          <w:b/>
          <w:sz w:val="22"/>
        </w:rPr>
      </w:pPr>
      <w:r w:rsidRPr="00F748E2">
        <w:rPr>
          <w:rFonts w:ascii="Arial" w:hAnsi="Arial" w:cs="Arial"/>
          <w:b/>
          <w:sz w:val="22"/>
        </w:rPr>
        <w:t>Component 2</w:t>
      </w:r>
      <w:r w:rsidR="009538EE">
        <w:rPr>
          <w:rFonts w:ascii="Arial" w:hAnsi="Arial" w:cs="Arial"/>
          <w:b/>
          <w:sz w:val="22"/>
        </w:rPr>
        <w:t>- Report</w:t>
      </w:r>
    </w:p>
    <w:p w14:paraId="360271AE" w14:textId="6E2AC6E3" w:rsidR="002F2159" w:rsidRPr="00F748E2" w:rsidRDefault="00000000" w:rsidP="00F748E2">
      <w:pPr>
        <w:spacing w:line="360" w:lineRule="auto"/>
        <w:rPr>
          <w:rFonts w:ascii="Arial" w:hAnsi="Arial" w:cs="Arial"/>
          <w:b/>
          <w:sz w:val="22"/>
        </w:rPr>
      </w:pPr>
      <w:r w:rsidRPr="00F748E2">
        <w:rPr>
          <w:rFonts w:ascii="Arial" w:hAnsi="Arial" w:cs="Arial"/>
          <w:b/>
          <w:sz w:val="22"/>
        </w:rPr>
        <w:t>Student Name</w:t>
      </w:r>
      <w:r w:rsidR="00567886" w:rsidRPr="00F748E2">
        <w:rPr>
          <w:rFonts w:ascii="Arial" w:hAnsi="Arial" w:cs="Arial"/>
          <w:b/>
          <w:sz w:val="22"/>
        </w:rPr>
        <w:t>- Nazia Sharif</w:t>
      </w:r>
    </w:p>
    <w:p w14:paraId="06159088" w14:textId="580465CF" w:rsidR="002F2159" w:rsidRDefault="0025053C" w:rsidP="00F748E2">
      <w:pPr>
        <w:spacing w:line="360" w:lineRule="auto"/>
        <w:rPr>
          <w:rFonts w:ascii="Arial" w:hAnsi="Arial" w:cs="Arial"/>
          <w:b/>
          <w:sz w:val="22"/>
        </w:rPr>
      </w:pPr>
      <w:r w:rsidRPr="00F748E2">
        <w:rPr>
          <w:rFonts w:ascii="Arial" w:hAnsi="Arial" w:cs="Arial"/>
          <w:b/>
          <w:sz w:val="22"/>
        </w:rPr>
        <w:t>Student number- 1907313</w:t>
      </w:r>
    </w:p>
    <w:p w14:paraId="7893E01B" w14:textId="0B5FAA3F" w:rsidR="006F6CA5" w:rsidRPr="00E72158" w:rsidRDefault="006F6CA5" w:rsidP="00F748E2">
      <w:pPr>
        <w:spacing w:line="360" w:lineRule="auto"/>
        <w:rPr>
          <w:rFonts w:ascii="Arial" w:hAnsi="Arial" w:cs="Arial"/>
          <w:b/>
          <w:sz w:val="22"/>
          <w:lang w:val="fr-FR"/>
        </w:rPr>
      </w:pPr>
      <w:r w:rsidRPr="00E72158">
        <w:rPr>
          <w:rFonts w:ascii="Arial" w:hAnsi="Arial" w:cs="Arial"/>
          <w:b/>
          <w:sz w:val="22"/>
          <w:lang w:val="fr-FR"/>
        </w:rPr>
        <w:t xml:space="preserve">Lecturer- Hamdi </w:t>
      </w:r>
      <w:r w:rsidR="00E72158" w:rsidRPr="00E72158">
        <w:rPr>
          <w:rFonts w:ascii="Arial" w:hAnsi="Arial" w:cs="Arial"/>
          <w:b/>
          <w:sz w:val="22"/>
          <w:lang w:val="fr-FR"/>
        </w:rPr>
        <w:t>Hussa</w:t>
      </w:r>
      <w:r w:rsidR="00E72158">
        <w:rPr>
          <w:rFonts w:ascii="Arial" w:hAnsi="Arial" w:cs="Arial"/>
          <w:b/>
          <w:sz w:val="22"/>
          <w:lang w:val="fr-FR"/>
        </w:rPr>
        <w:t>in</w:t>
      </w:r>
    </w:p>
    <w:p w14:paraId="22B37EF3" w14:textId="1F574002" w:rsidR="00462BDA" w:rsidRPr="00E72158" w:rsidRDefault="00462BDA" w:rsidP="00F748E2">
      <w:pPr>
        <w:spacing w:line="360" w:lineRule="auto"/>
        <w:rPr>
          <w:rFonts w:ascii="Arial" w:hAnsi="Arial" w:cs="Arial"/>
          <w:b/>
          <w:sz w:val="22"/>
          <w:lang w:val="fr-FR"/>
        </w:rPr>
      </w:pPr>
      <w:r w:rsidRPr="00E72158">
        <w:rPr>
          <w:rFonts w:ascii="Arial" w:hAnsi="Arial" w:cs="Arial"/>
          <w:b/>
          <w:sz w:val="22"/>
          <w:lang w:val="fr-FR"/>
        </w:rPr>
        <w:t>Module Code-BMHP</w:t>
      </w:r>
      <w:r w:rsidR="009538EE" w:rsidRPr="00E72158">
        <w:rPr>
          <w:rFonts w:ascii="Arial" w:hAnsi="Arial" w:cs="Arial"/>
          <w:b/>
          <w:sz w:val="22"/>
          <w:lang w:val="fr-FR"/>
        </w:rPr>
        <w:t>6030</w:t>
      </w:r>
    </w:p>
    <w:p w14:paraId="25F5D561" w14:textId="77777777" w:rsidR="009538EE" w:rsidRPr="00E72158" w:rsidRDefault="009538EE" w:rsidP="00F748E2">
      <w:pPr>
        <w:spacing w:line="360" w:lineRule="auto"/>
        <w:rPr>
          <w:rFonts w:ascii="Arial" w:hAnsi="Arial" w:cs="Arial"/>
          <w:b/>
          <w:sz w:val="22"/>
          <w:lang w:val="fr-FR"/>
        </w:rPr>
      </w:pPr>
    </w:p>
    <w:p w14:paraId="34B4A36E" w14:textId="77777777" w:rsidR="0025053C" w:rsidRPr="00E72158" w:rsidRDefault="0025053C" w:rsidP="00F748E2">
      <w:pPr>
        <w:spacing w:line="360" w:lineRule="auto"/>
        <w:rPr>
          <w:rFonts w:ascii="Arial" w:hAnsi="Arial" w:cs="Arial"/>
          <w:b/>
          <w:sz w:val="22"/>
          <w:lang w:val="fr-FR"/>
        </w:rPr>
      </w:pPr>
    </w:p>
    <w:p w14:paraId="3ED79DDF" w14:textId="77777777" w:rsidR="002F2159" w:rsidRPr="00E72158" w:rsidRDefault="002F2159" w:rsidP="00F748E2">
      <w:pPr>
        <w:spacing w:line="360" w:lineRule="auto"/>
        <w:rPr>
          <w:rFonts w:ascii="Arial" w:hAnsi="Arial" w:cs="Arial"/>
          <w:sz w:val="22"/>
          <w:lang w:val="fr-FR"/>
        </w:rPr>
      </w:pPr>
    </w:p>
    <w:p w14:paraId="5660C31D" w14:textId="77777777" w:rsidR="002F2159" w:rsidRPr="00E72158" w:rsidRDefault="002F2159" w:rsidP="00F748E2">
      <w:pPr>
        <w:spacing w:line="360" w:lineRule="auto"/>
        <w:rPr>
          <w:rFonts w:ascii="Arial" w:hAnsi="Arial" w:cs="Arial"/>
          <w:sz w:val="22"/>
          <w:lang w:val="fr-FR"/>
        </w:rPr>
      </w:pPr>
    </w:p>
    <w:p w14:paraId="1A1E8EEE" w14:textId="2B6F8C0D" w:rsidR="00764127" w:rsidRPr="00E72158" w:rsidRDefault="00000000" w:rsidP="00F748E2">
      <w:pPr>
        <w:spacing w:line="360" w:lineRule="auto"/>
        <w:rPr>
          <w:rFonts w:ascii="Arial" w:hAnsi="Arial" w:cs="Arial"/>
          <w:sz w:val="22"/>
          <w:lang w:val="fr-FR"/>
        </w:rPr>
      </w:pPr>
      <w:r w:rsidRPr="00E72158">
        <w:rPr>
          <w:rFonts w:ascii="Arial" w:hAnsi="Arial" w:cs="Arial"/>
          <w:sz w:val="22"/>
          <w:lang w:val="fr-FR"/>
        </w:rPr>
        <w:br w:type="page"/>
      </w:r>
    </w:p>
    <w:sdt>
      <w:sdtPr>
        <w:rPr>
          <w:rFonts w:ascii="Arial" w:eastAsiaTheme="minorHAnsi" w:hAnsi="Arial" w:cs="Arial"/>
          <w:color w:val="auto"/>
          <w:sz w:val="22"/>
          <w:szCs w:val="22"/>
          <w:lang w:val="en-GB"/>
        </w:rPr>
        <w:id w:val="887997483"/>
        <w:docPartObj>
          <w:docPartGallery w:val="Table of Contents"/>
          <w:docPartUnique/>
        </w:docPartObj>
      </w:sdtPr>
      <w:sdtEndPr>
        <w:rPr>
          <w:b/>
          <w:bCs/>
          <w:noProof/>
        </w:rPr>
      </w:sdtEndPr>
      <w:sdtContent>
        <w:p w14:paraId="45C3EA90" w14:textId="2BE81879" w:rsidR="00E0409E" w:rsidRPr="00F748E2" w:rsidRDefault="00000000" w:rsidP="00F748E2">
          <w:pPr>
            <w:pStyle w:val="TOCHeading"/>
            <w:spacing w:line="360" w:lineRule="auto"/>
            <w:rPr>
              <w:rFonts w:ascii="Arial" w:hAnsi="Arial" w:cs="Arial"/>
              <w:color w:val="auto"/>
              <w:sz w:val="22"/>
              <w:szCs w:val="22"/>
            </w:rPr>
          </w:pPr>
          <w:r w:rsidRPr="00F748E2">
            <w:rPr>
              <w:rFonts w:ascii="Arial" w:hAnsi="Arial" w:cs="Arial"/>
              <w:color w:val="auto"/>
              <w:sz w:val="22"/>
              <w:szCs w:val="22"/>
            </w:rPr>
            <w:t>Table of Contents</w:t>
          </w:r>
        </w:p>
        <w:p w14:paraId="3F844700" w14:textId="1DCD2B8C" w:rsidR="000A2638" w:rsidRPr="00F748E2" w:rsidRDefault="00000000" w:rsidP="00F748E2">
          <w:pPr>
            <w:pStyle w:val="TOC1"/>
            <w:tabs>
              <w:tab w:val="right" w:leader="dot" w:pos="9350"/>
            </w:tabs>
            <w:spacing w:line="360" w:lineRule="auto"/>
            <w:rPr>
              <w:rFonts w:ascii="Arial" w:eastAsiaTheme="minorEastAsia" w:hAnsi="Arial" w:cs="Arial"/>
              <w:noProof/>
              <w:sz w:val="22"/>
              <w:lang w:eastAsia="en-GB"/>
            </w:rPr>
          </w:pPr>
          <w:r w:rsidRPr="00F748E2">
            <w:rPr>
              <w:rFonts w:ascii="Arial" w:hAnsi="Arial" w:cs="Arial"/>
              <w:sz w:val="22"/>
            </w:rPr>
            <w:fldChar w:fldCharType="begin"/>
          </w:r>
          <w:r w:rsidRPr="00F748E2">
            <w:rPr>
              <w:rFonts w:ascii="Arial" w:hAnsi="Arial" w:cs="Arial"/>
              <w:sz w:val="22"/>
            </w:rPr>
            <w:instrText xml:space="preserve"> TOC \o "1-3" \h \z \u </w:instrText>
          </w:r>
          <w:r w:rsidRPr="00F748E2">
            <w:rPr>
              <w:rFonts w:ascii="Arial" w:hAnsi="Arial" w:cs="Arial"/>
              <w:sz w:val="22"/>
            </w:rPr>
            <w:fldChar w:fldCharType="separate"/>
          </w:r>
          <w:hyperlink w:anchor="_Toc232255356" w:history="1">
            <w:r w:rsidR="000A2638" w:rsidRPr="00F748E2">
              <w:rPr>
                <w:rStyle w:val="Hyperlink"/>
                <w:rFonts w:ascii="Arial" w:hAnsi="Arial" w:cs="Arial"/>
                <w:noProof/>
                <w:sz w:val="22"/>
              </w:rPr>
              <w:t>Introduction</w:t>
            </w:r>
            <w:r w:rsidR="000A2638" w:rsidRPr="00F748E2">
              <w:rPr>
                <w:rFonts w:ascii="Arial" w:hAnsi="Arial" w:cs="Arial"/>
                <w:noProof/>
                <w:webHidden/>
                <w:sz w:val="22"/>
              </w:rPr>
              <w:tab/>
            </w:r>
            <w:r w:rsidR="000A2638" w:rsidRPr="00F748E2">
              <w:rPr>
                <w:rFonts w:ascii="Arial" w:hAnsi="Arial" w:cs="Arial"/>
                <w:noProof/>
                <w:webHidden/>
                <w:sz w:val="22"/>
              </w:rPr>
              <w:fldChar w:fldCharType="begin"/>
            </w:r>
            <w:r w:rsidR="000A2638" w:rsidRPr="00F748E2">
              <w:rPr>
                <w:rFonts w:ascii="Arial" w:hAnsi="Arial" w:cs="Arial"/>
                <w:noProof/>
                <w:webHidden/>
                <w:sz w:val="22"/>
              </w:rPr>
              <w:instrText xml:space="preserve"> PAGEREF _Toc232255356 \h </w:instrText>
            </w:r>
            <w:r w:rsidR="000A2638" w:rsidRPr="00F748E2">
              <w:rPr>
                <w:rFonts w:ascii="Arial" w:hAnsi="Arial" w:cs="Arial"/>
                <w:noProof/>
                <w:webHidden/>
                <w:sz w:val="22"/>
              </w:rPr>
            </w:r>
            <w:r w:rsidR="000A2638" w:rsidRPr="00F748E2">
              <w:rPr>
                <w:rFonts w:ascii="Arial" w:hAnsi="Arial" w:cs="Arial"/>
                <w:noProof/>
                <w:webHidden/>
                <w:sz w:val="22"/>
              </w:rPr>
              <w:fldChar w:fldCharType="separate"/>
            </w:r>
            <w:r w:rsidR="000A2638" w:rsidRPr="00F748E2">
              <w:rPr>
                <w:rFonts w:ascii="Arial" w:hAnsi="Arial" w:cs="Arial"/>
                <w:noProof/>
                <w:webHidden/>
                <w:sz w:val="22"/>
              </w:rPr>
              <w:t>3</w:t>
            </w:r>
            <w:r w:rsidR="000A2638" w:rsidRPr="00F748E2">
              <w:rPr>
                <w:rFonts w:ascii="Arial" w:hAnsi="Arial" w:cs="Arial"/>
                <w:noProof/>
                <w:webHidden/>
                <w:sz w:val="22"/>
              </w:rPr>
              <w:fldChar w:fldCharType="end"/>
            </w:r>
          </w:hyperlink>
        </w:p>
        <w:p w14:paraId="50A4AD3B" w14:textId="4F2B6923" w:rsidR="000A2638" w:rsidRPr="00F748E2" w:rsidRDefault="000A2638" w:rsidP="00F748E2">
          <w:pPr>
            <w:pStyle w:val="TOC1"/>
            <w:tabs>
              <w:tab w:val="right" w:leader="dot" w:pos="9350"/>
            </w:tabs>
            <w:spacing w:line="360" w:lineRule="auto"/>
            <w:rPr>
              <w:rFonts w:ascii="Arial" w:eastAsiaTheme="minorEastAsia" w:hAnsi="Arial" w:cs="Arial"/>
              <w:noProof/>
              <w:sz w:val="22"/>
              <w:lang w:eastAsia="en-GB"/>
            </w:rPr>
          </w:pPr>
          <w:hyperlink w:anchor="_Toc232255357" w:history="1">
            <w:r w:rsidRPr="00F748E2">
              <w:rPr>
                <w:rStyle w:val="Hyperlink"/>
                <w:rFonts w:ascii="Arial" w:hAnsi="Arial" w:cs="Arial"/>
                <w:noProof/>
                <w:sz w:val="22"/>
              </w:rPr>
              <w:t>Section 1: SDG 3 - Good Health and Well-being</w:t>
            </w:r>
            <w:r w:rsidRPr="00F748E2">
              <w:rPr>
                <w:rFonts w:ascii="Arial" w:hAnsi="Arial" w:cs="Arial"/>
                <w:noProof/>
                <w:webHidden/>
                <w:sz w:val="22"/>
              </w:rPr>
              <w:tab/>
            </w:r>
            <w:r w:rsidRPr="00F748E2">
              <w:rPr>
                <w:rFonts w:ascii="Arial" w:hAnsi="Arial" w:cs="Arial"/>
                <w:noProof/>
                <w:webHidden/>
                <w:sz w:val="22"/>
              </w:rPr>
              <w:fldChar w:fldCharType="begin"/>
            </w:r>
            <w:r w:rsidRPr="00F748E2">
              <w:rPr>
                <w:rFonts w:ascii="Arial" w:hAnsi="Arial" w:cs="Arial"/>
                <w:noProof/>
                <w:webHidden/>
                <w:sz w:val="22"/>
              </w:rPr>
              <w:instrText xml:space="preserve"> PAGEREF _Toc232255357 \h </w:instrText>
            </w:r>
            <w:r w:rsidRPr="00F748E2">
              <w:rPr>
                <w:rFonts w:ascii="Arial" w:hAnsi="Arial" w:cs="Arial"/>
                <w:noProof/>
                <w:webHidden/>
                <w:sz w:val="22"/>
              </w:rPr>
            </w:r>
            <w:r w:rsidRPr="00F748E2">
              <w:rPr>
                <w:rFonts w:ascii="Arial" w:hAnsi="Arial" w:cs="Arial"/>
                <w:noProof/>
                <w:webHidden/>
                <w:sz w:val="22"/>
              </w:rPr>
              <w:fldChar w:fldCharType="separate"/>
            </w:r>
            <w:r w:rsidRPr="00F748E2">
              <w:rPr>
                <w:rFonts w:ascii="Arial" w:hAnsi="Arial" w:cs="Arial"/>
                <w:noProof/>
                <w:webHidden/>
                <w:sz w:val="22"/>
              </w:rPr>
              <w:t>3</w:t>
            </w:r>
            <w:r w:rsidRPr="00F748E2">
              <w:rPr>
                <w:rFonts w:ascii="Arial" w:hAnsi="Arial" w:cs="Arial"/>
                <w:noProof/>
                <w:webHidden/>
                <w:sz w:val="22"/>
              </w:rPr>
              <w:fldChar w:fldCharType="end"/>
            </w:r>
          </w:hyperlink>
        </w:p>
        <w:p w14:paraId="58968F4B" w14:textId="0E95079F" w:rsidR="000A2638" w:rsidRPr="00F748E2" w:rsidRDefault="000A2638" w:rsidP="00F748E2">
          <w:pPr>
            <w:pStyle w:val="TOC2"/>
            <w:tabs>
              <w:tab w:val="right" w:leader="dot" w:pos="9350"/>
            </w:tabs>
            <w:spacing w:line="360" w:lineRule="auto"/>
            <w:rPr>
              <w:rFonts w:ascii="Arial" w:eastAsiaTheme="minorEastAsia" w:hAnsi="Arial" w:cs="Arial"/>
              <w:noProof/>
              <w:sz w:val="22"/>
              <w:lang w:eastAsia="en-GB"/>
            </w:rPr>
          </w:pPr>
          <w:hyperlink w:anchor="_Toc232255358" w:history="1">
            <w:r w:rsidRPr="00F748E2">
              <w:rPr>
                <w:rStyle w:val="Hyperlink"/>
                <w:rFonts w:ascii="Arial" w:hAnsi="Arial" w:cs="Arial"/>
                <w:noProof/>
                <w:sz w:val="22"/>
              </w:rPr>
              <w:t>Overview of SDG 3</w:t>
            </w:r>
            <w:r w:rsidRPr="00F748E2">
              <w:rPr>
                <w:rFonts w:ascii="Arial" w:hAnsi="Arial" w:cs="Arial"/>
                <w:noProof/>
                <w:webHidden/>
                <w:sz w:val="22"/>
              </w:rPr>
              <w:tab/>
            </w:r>
            <w:r w:rsidRPr="00F748E2">
              <w:rPr>
                <w:rFonts w:ascii="Arial" w:hAnsi="Arial" w:cs="Arial"/>
                <w:noProof/>
                <w:webHidden/>
                <w:sz w:val="22"/>
              </w:rPr>
              <w:fldChar w:fldCharType="begin"/>
            </w:r>
            <w:r w:rsidRPr="00F748E2">
              <w:rPr>
                <w:rFonts w:ascii="Arial" w:hAnsi="Arial" w:cs="Arial"/>
                <w:noProof/>
                <w:webHidden/>
                <w:sz w:val="22"/>
              </w:rPr>
              <w:instrText xml:space="preserve"> PAGEREF _Toc232255358 \h </w:instrText>
            </w:r>
            <w:r w:rsidRPr="00F748E2">
              <w:rPr>
                <w:rFonts w:ascii="Arial" w:hAnsi="Arial" w:cs="Arial"/>
                <w:noProof/>
                <w:webHidden/>
                <w:sz w:val="22"/>
              </w:rPr>
            </w:r>
            <w:r w:rsidRPr="00F748E2">
              <w:rPr>
                <w:rFonts w:ascii="Arial" w:hAnsi="Arial" w:cs="Arial"/>
                <w:noProof/>
                <w:webHidden/>
                <w:sz w:val="22"/>
              </w:rPr>
              <w:fldChar w:fldCharType="separate"/>
            </w:r>
            <w:r w:rsidRPr="00F748E2">
              <w:rPr>
                <w:rFonts w:ascii="Arial" w:hAnsi="Arial" w:cs="Arial"/>
                <w:noProof/>
                <w:webHidden/>
                <w:sz w:val="22"/>
              </w:rPr>
              <w:t>3</w:t>
            </w:r>
            <w:r w:rsidRPr="00F748E2">
              <w:rPr>
                <w:rFonts w:ascii="Arial" w:hAnsi="Arial" w:cs="Arial"/>
                <w:noProof/>
                <w:webHidden/>
                <w:sz w:val="22"/>
              </w:rPr>
              <w:fldChar w:fldCharType="end"/>
            </w:r>
          </w:hyperlink>
        </w:p>
        <w:p w14:paraId="23040870" w14:textId="48D9E2E1" w:rsidR="000A2638" w:rsidRPr="00F748E2" w:rsidRDefault="000A2638" w:rsidP="00F748E2">
          <w:pPr>
            <w:pStyle w:val="TOC2"/>
            <w:tabs>
              <w:tab w:val="right" w:leader="dot" w:pos="9350"/>
            </w:tabs>
            <w:spacing w:line="360" w:lineRule="auto"/>
            <w:rPr>
              <w:rFonts w:ascii="Arial" w:eastAsiaTheme="minorEastAsia" w:hAnsi="Arial" w:cs="Arial"/>
              <w:noProof/>
              <w:sz w:val="22"/>
              <w:lang w:eastAsia="en-GB"/>
            </w:rPr>
          </w:pPr>
          <w:hyperlink w:anchor="_Toc232255359" w:history="1">
            <w:r w:rsidRPr="00F748E2">
              <w:rPr>
                <w:rStyle w:val="Hyperlink"/>
                <w:rFonts w:ascii="Arial" w:hAnsi="Arial" w:cs="Arial"/>
                <w:noProof/>
                <w:sz w:val="22"/>
              </w:rPr>
              <w:t>Critical Evaluation of Global Policies/Initiatives</w:t>
            </w:r>
            <w:r w:rsidRPr="00F748E2">
              <w:rPr>
                <w:rFonts w:ascii="Arial" w:hAnsi="Arial" w:cs="Arial"/>
                <w:noProof/>
                <w:webHidden/>
                <w:sz w:val="22"/>
              </w:rPr>
              <w:tab/>
            </w:r>
            <w:r w:rsidRPr="00F748E2">
              <w:rPr>
                <w:rFonts w:ascii="Arial" w:hAnsi="Arial" w:cs="Arial"/>
                <w:noProof/>
                <w:webHidden/>
                <w:sz w:val="22"/>
              </w:rPr>
              <w:fldChar w:fldCharType="begin"/>
            </w:r>
            <w:r w:rsidRPr="00F748E2">
              <w:rPr>
                <w:rFonts w:ascii="Arial" w:hAnsi="Arial" w:cs="Arial"/>
                <w:noProof/>
                <w:webHidden/>
                <w:sz w:val="22"/>
              </w:rPr>
              <w:instrText xml:space="preserve"> PAGEREF _Toc232255359 \h </w:instrText>
            </w:r>
            <w:r w:rsidRPr="00F748E2">
              <w:rPr>
                <w:rFonts w:ascii="Arial" w:hAnsi="Arial" w:cs="Arial"/>
                <w:noProof/>
                <w:webHidden/>
                <w:sz w:val="22"/>
              </w:rPr>
            </w:r>
            <w:r w:rsidRPr="00F748E2">
              <w:rPr>
                <w:rFonts w:ascii="Arial" w:hAnsi="Arial" w:cs="Arial"/>
                <w:noProof/>
                <w:webHidden/>
                <w:sz w:val="22"/>
              </w:rPr>
              <w:fldChar w:fldCharType="separate"/>
            </w:r>
            <w:r w:rsidRPr="00F748E2">
              <w:rPr>
                <w:rFonts w:ascii="Arial" w:hAnsi="Arial" w:cs="Arial"/>
                <w:noProof/>
                <w:webHidden/>
                <w:sz w:val="22"/>
              </w:rPr>
              <w:t>3</w:t>
            </w:r>
            <w:r w:rsidRPr="00F748E2">
              <w:rPr>
                <w:rFonts w:ascii="Arial" w:hAnsi="Arial" w:cs="Arial"/>
                <w:noProof/>
                <w:webHidden/>
                <w:sz w:val="22"/>
              </w:rPr>
              <w:fldChar w:fldCharType="end"/>
            </w:r>
          </w:hyperlink>
        </w:p>
        <w:p w14:paraId="6CC48282" w14:textId="091ECAE0" w:rsidR="000A2638" w:rsidRPr="00F748E2" w:rsidRDefault="000A2638" w:rsidP="00F748E2">
          <w:pPr>
            <w:pStyle w:val="TOC2"/>
            <w:tabs>
              <w:tab w:val="right" w:leader="dot" w:pos="9350"/>
            </w:tabs>
            <w:spacing w:line="360" w:lineRule="auto"/>
            <w:rPr>
              <w:rFonts w:ascii="Arial" w:eastAsiaTheme="minorEastAsia" w:hAnsi="Arial" w:cs="Arial"/>
              <w:noProof/>
              <w:sz w:val="22"/>
              <w:lang w:eastAsia="en-GB"/>
            </w:rPr>
          </w:pPr>
          <w:hyperlink w:anchor="_Toc232255360" w:history="1">
            <w:r w:rsidRPr="00F748E2">
              <w:rPr>
                <w:rStyle w:val="Hyperlink"/>
                <w:rFonts w:ascii="Arial" w:hAnsi="Arial" w:cs="Arial"/>
                <w:noProof/>
                <w:sz w:val="22"/>
              </w:rPr>
              <w:t>Critical Evaluation of UK National and Local Examples</w:t>
            </w:r>
            <w:r w:rsidRPr="00F748E2">
              <w:rPr>
                <w:rFonts w:ascii="Arial" w:hAnsi="Arial" w:cs="Arial"/>
                <w:noProof/>
                <w:webHidden/>
                <w:sz w:val="22"/>
              </w:rPr>
              <w:tab/>
            </w:r>
            <w:r w:rsidRPr="00F748E2">
              <w:rPr>
                <w:rFonts w:ascii="Arial" w:hAnsi="Arial" w:cs="Arial"/>
                <w:noProof/>
                <w:webHidden/>
                <w:sz w:val="22"/>
              </w:rPr>
              <w:fldChar w:fldCharType="begin"/>
            </w:r>
            <w:r w:rsidRPr="00F748E2">
              <w:rPr>
                <w:rFonts w:ascii="Arial" w:hAnsi="Arial" w:cs="Arial"/>
                <w:noProof/>
                <w:webHidden/>
                <w:sz w:val="22"/>
              </w:rPr>
              <w:instrText xml:space="preserve"> PAGEREF _Toc232255360 \h </w:instrText>
            </w:r>
            <w:r w:rsidRPr="00F748E2">
              <w:rPr>
                <w:rFonts w:ascii="Arial" w:hAnsi="Arial" w:cs="Arial"/>
                <w:noProof/>
                <w:webHidden/>
                <w:sz w:val="22"/>
              </w:rPr>
            </w:r>
            <w:r w:rsidRPr="00F748E2">
              <w:rPr>
                <w:rFonts w:ascii="Arial" w:hAnsi="Arial" w:cs="Arial"/>
                <w:noProof/>
                <w:webHidden/>
                <w:sz w:val="22"/>
              </w:rPr>
              <w:fldChar w:fldCharType="separate"/>
            </w:r>
            <w:r w:rsidRPr="00F748E2">
              <w:rPr>
                <w:rFonts w:ascii="Arial" w:hAnsi="Arial" w:cs="Arial"/>
                <w:noProof/>
                <w:webHidden/>
                <w:sz w:val="22"/>
              </w:rPr>
              <w:t>4</w:t>
            </w:r>
            <w:r w:rsidRPr="00F748E2">
              <w:rPr>
                <w:rFonts w:ascii="Arial" w:hAnsi="Arial" w:cs="Arial"/>
                <w:noProof/>
                <w:webHidden/>
                <w:sz w:val="22"/>
              </w:rPr>
              <w:fldChar w:fldCharType="end"/>
            </w:r>
          </w:hyperlink>
        </w:p>
        <w:p w14:paraId="49CF9C8D" w14:textId="16BD2CF4" w:rsidR="000A2638" w:rsidRPr="00F748E2" w:rsidRDefault="000A2638" w:rsidP="00F748E2">
          <w:pPr>
            <w:pStyle w:val="TOC2"/>
            <w:tabs>
              <w:tab w:val="right" w:leader="dot" w:pos="9350"/>
            </w:tabs>
            <w:spacing w:line="360" w:lineRule="auto"/>
            <w:rPr>
              <w:rFonts w:ascii="Arial" w:eastAsiaTheme="minorEastAsia" w:hAnsi="Arial" w:cs="Arial"/>
              <w:noProof/>
              <w:sz w:val="22"/>
              <w:lang w:eastAsia="en-GB"/>
            </w:rPr>
          </w:pPr>
          <w:hyperlink w:anchor="_Toc232255361" w:history="1">
            <w:r w:rsidRPr="00F748E2">
              <w:rPr>
                <w:rStyle w:val="Hyperlink"/>
                <w:rFonts w:ascii="Arial" w:hAnsi="Arial" w:cs="Arial"/>
                <w:noProof/>
                <w:sz w:val="22"/>
              </w:rPr>
              <w:t>Application of Theories/Models</w:t>
            </w:r>
            <w:r w:rsidRPr="00F748E2">
              <w:rPr>
                <w:rFonts w:ascii="Arial" w:hAnsi="Arial" w:cs="Arial"/>
                <w:noProof/>
                <w:webHidden/>
                <w:sz w:val="22"/>
              </w:rPr>
              <w:tab/>
            </w:r>
            <w:r w:rsidRPr="00F748E2">
              <w:rPr>
                <w:rFonts w:ascii="Arial" w:hAnsi="Arial" w:cs="Arial"/>
                <w:noProof/>
                <w:webHidden/>
                <w:sz w:val="22"/>
              </w:rPr>
              <w:fldChar w:fldCharType="begin"/>
            </w:r>
            <w:r w:rsidRPr="00F748E2">
              <w:rPr>
                <w:rFonts w:ascii="Arial" w:hAnsi="Arial" w:cs="Arial"/>
                <w:noProof/>
                <w:webHidden/>
                <w:sz w:val="22"/>
              </w:rPr>
              <w:instrText xml:space="preserve"> PAGEREF _Toc232255361 \h </w:instrText>
            </w:r>
            <w:r w:rsidRPr="00F748E2">
              <w:rPr>
                <w:rFonts w:ascii="Arial" w:hAnsi="Arial" w:cs="Arial"/>
                <w:noProof/>
                <w:webHidden/>
                <w:sz w:val="22"/>
              </w:rPr>
            </w:r>
            <w:r w:rsidRPr="00F748E2">
              <w:rPr>
                <w:rFonts w:ascii="Arial" w:hAnsi="Arial" w:cs="Arial"/>
                <w:noProof/>
                <w:webHidden/>
                <w:sz w:val="22"/>
              </w:rPr>
              <w:fldChar w:fldCharType="separate"/>
            </w:r>
            <w:r w:rsidRPr="00F748E2">
              <w:rPr>
                <w:rFonts w:ascii="Arial" w:hAnsi="Arial" w:cs="Arial"/>
                <w:noProof/>
                <w:webHidden/>
                <w:sz w:val="22"/>
              </w:rPr>
              <w:t>4</w:t>
            </w:r>
            <w:r w:rsidRPr="00F748E2">
              <w:rPr>
                <w:rFonts w:ascii="Arial" w:hAnsi="Arial" w:cs="Arial"/>
                <w:noProof/>
                <w:webHidden/>
                <w:sz w:val="22"/>
              </w:rPr>
              <w:fldChar w:fldCharType="end"/>
            </w:r>
          </w:hyperlink>
        </w:p>
        <w:p w14:paraId="3CB5B9A5" w14:textId="04394B45" w:rsidR="000A2638" w:rsidRPr="00F748E2" w:rsidRDefault="000A2638" w:rsidP="00F748E2">
          <w:pPr>
            <w:pStyle w:val="TOC2"/>
            <w:tabs>
              <w:tab w:val="right" w:leader="dot" w:pos="9350"/>
            </w:tabs>
            <w:spacing w:line="360" w:lineRule="auto"/>
            <w:rPr>
              <w:rFonts w:ascii="Arial" w:eastAsiaTheme="minorEastAsia" w:hAnsi="Arial" w:cs="Arial"/>
              <w:noProof/>
              <w:sz w:val="22"/>
              <w:lang w:eastAsia="en-GB"/>
            </w:rPr>
          </w:pPr>
          <w:hyperlink w:anchor="_Toc232255362" w:history="1">
            <w:r w:rsidRPr="00F748E2">
              <w:rPr>
                <w:rStyle w:val="Hyperlink"/>
                <w:rFonts w:ascii="Arial" w:hAnsi="Arial" w:cs="Arial"/>
                <w:noProof/>
                <w:sz w:val="22"/>
              </w:rPr>
              <w:t>Recommendations</w:t>
            </w:r>
            <w:r w:rsidRPr="00F748E2">
              <w:rPr>
                <w:rFonts w:ascii="Arial" w:hAnsi="Arial" w:cs="Arial"/>
                <w:noProof/>
                <w:webHidden/>
                <w:sz w:val="22"/>
              </w:rPr>
              <w:tab/>
            </w:r>
            <w:r w:rsidRPr="00F748E2">
              <w:rPr>
                <w:rFonts w:ascii="Arial" w:hAnsi="Arial" w:cs="Arial"/>
                <w:noProof/>
                <w:webHidden/>
                <w:sz w:val="22"/>
              </w:rPr>
              <w:fldChar w:fldCharType="begin"/>
            </w:r>
            <w:r w:rsidRPr="00F748E2">
              <w:rPr>
                <w:rFonts w:ascii="Arial" w:hAnsi="Arial" w:cs="Arial"/>
                <w:noProof/>
                <w:webHidden/>
                <w:sz w:val="22"/>
              </w:rPr>
              <w:instrText xml:space="preserve"> PAGEREF _Toc232255362 \h </w:instrText>
            </w:r>
            <w:r w:rsidRPr="00F748E2">
              <w:rPr>
                <w:rFonts w:ascii="Arial" w:hAnsi="Arial" w:cs="Arial"/>
                <w:noProof/>
                <w:webHidden/>
                <w:sz w:val="22"/>
              </w:rPr>
            </w:r>
            <w:r w:rsidRPr="00F748E2">
              <w:rPr>
                <w:rFonts w:ascii="Arial" w:hAnsi="Arial" w:cs="Arial"/>
                <w:noProof/>
                <w:webHidden/>
                <w:sz w:val="22"/>
              </w:rPr>
              <w:fldChar w:fldCharType="separate"/>
            </w:r>
            <w:r w:rsidRPr="00F748E2">
              <w:rPr>
                <w:rFonts w:ascii="Arial" w:hAnsi="Arial" w:cs="Arial"/>
                <w:noProof/>
                <w:webHidden/>
                <w:sz w:val="22"/>
              </w:rPr>
              <w:t>5</w:t>
            </w:r>
            <w:r w:rsidRPr="00F748E2">
              <w:rPr>
                <w:rFonts w:ascii="Arial" w:hAnsi="Arial" w:cs="Arial"/>
                <w:noProof/>
                <w:webHidden/>
                <w:sz w:val="22"/>
              </w:rPr>
              <w:fldChar w:fldCharType="end"/>
            </w:r>
          </w:hyperlink>
        </w:p>
        <w:p w14:paraId="229FC26A" w14:textId="5B6C1164" w:rsidR="000A2638" w:rsidRPr="00F748E2" w:rsidRDefault="000A2638" w:rsidP="00F748E2">
          <w:pPr>
            <w:pStyle w:val="TOC1"/>
            <w:tabs>
              <w:tab w:val="right" w:leader="dot" w:pos="9350"/>
            </w:tabs>
            <w:spacing w:line="360" w:lineRule="auto"/>
            <w:rPr>
              <w:rFonts w:ascii="Arial" w:eastAsiaTheme="minorEastAsia" w:hAnsi="Arial" w:cs="Arial"/>
              <w:noProof/>
              <w:sz w:val="22"/>
              <w:lang w:eastAsia="en-GB"/>
            </w:rPr>
          </w:pPr>
          <w:hyperlink w:anchor="_Toc232255363" w:history="1">
            <w:r w:rsidRPr="00F748E2">
              <w:rPr>
                <w:rStyle w:val="Hyperlink"/>
                <w:rFonts w:ascii="Arial" w:hAnsi="Arial" w:cs="Arial"/>
                <w:noProof/>
                <w:sz w:val="22"/>
              </w:rPr>
              <w:t>Section 2: SDG 4 – Quality Education</w:t>
            </w:r>
            <w:r w:rsidRPr="00F748E2">
              <w:rPr>
                <w:rFonts w:ascii="Arial" w:hAnsi="Arial" w:cs="Arial"/>
                <w:noProof/>
                <w:webHidden/>
                <w:sz w:val="22"/>
              </w:rPr>
              <w:tab/>
            </w:r>
            <w:r w:rsidRPr="00F748E2">
              <w:rPr>
                <w:rFonts w:ascii="Arial" w:hAnsi="Arial" w:cs="Arial"/>
                <w:noProof/>
                <w:webHidden/>
                <w:sz w:val="22"/>
              </w:rPr>
              <w:fldChar w:fldCharType="begin"/>
            </w:r>
            <w:r w:rsidRPr="00F748E2">
              <w:rPr>
                <w:rFonts w:ascii="Arial" w:hAnsi="Arial" w:cs="Arial"/>
                <w:noProof/>
                <w:webHidden/>
                <w:sz w:val="22"/>
              </w:rPr>
              <w:instrText xml:space="preserve"> PAGEREF _Toc232255363 \h </w:instrText>
            </w:r>
            <w:r w:rsidRPr="00F748E2">
              <w:rPr>
                <w:rFonts w:ascii="Arial" w:hAnsi="Arial" w:cs="Arial"/>
                <w:noProof/>
                <w:webHidden/>
                <w:sz w:val="22"/>
              </w:rPr>
            </w:r>
            <w:r w:rsidRPr="00F748E2">
              <w:rPr>
                <w:rFonts w:ascii="Arial" w:hAnsi="Arial" w:cs="Arial"/>
                <w:noProof/>
                <w:webHidden/>
                <w:sz w:val="22"/>
              </w:rPr>
              <w:fldChar w:fldCharType="separate"/>
            </w:r>
            <w:r w:rsidRPr="00F748E2">
              <w:rPr>
                <w:rFonts w:ascii="Arial" w:hAnsi="Arial" w:cs="Arial"/>
                <w:noProof/>
                <w:webHidden/>
                <w:sz w:val="22"/>
              </w:rPr>
              <w:t>5</w:t>
            </w:r>
            <w:r w:rsidRPr="00F748E2">
              <w:rPr>
                <w:rFonts w:ascii="Arial" w:hAnsi="Arial" w:cs="Arial"/>
                <w:noProof/>
                <w:webHidden/>
                <w:sz w:val="22"/>
              </w:rPr>
              <w:fldChar w:fldCharType="end"/>
            </w:r>
          </w:hyperlink>
        </w:p>
        <w:p w14:paraId="65F21D52" w14:textId="5F951ADB" w:rsidR="000A2638" w:rsidRPr="00F748E2" w:rsidRDefault="000A2638" w:rsidP="00F748E2">
          <w:pPr>
            <w:pStyle w:val="TOC2"/>
            <w:tabs>
              <w:tab w:val="right" w:leader="dot" w:pos="9350"/>
            </w:tabs>
            <w:spacing w:line="360" w:lineRule="auto"/>
            <w:rPr>
              <w:rFonts w:ascii="Arial" w:eastAsiaTheme="minorEastAsia" w:hAnsi="Arial" w:cs="Arial"/>
              <w:noProof/>
              <w:sz w:val="22"/>
              <w:lang w:eastAsia="en-GB"/>
            </w:rPr>
          </w:pPr>
          <w:hyperlink w:anchor="_Toc232255364" w:history="1">
            <w:r w:rsidRPr="00F748E2">
              <w:rPr>
                <w:rStyle w:val="Hyperlink"/>
                <w:rFonts w:ascii="Arial" w:hAnsi="Arial" w:cs="Arial"/>
                <w:noProof/>
                <w:sz w:val="22"/>
              </w:rPr>
              <w:t>Overview of SDG 4</w:t>
            </w:r>
            <w:r w:rsidRPr="00F748E2">
              <w:rPr>
                <w:rFonts w:ascii="Arial" w:hAnsi="Arial" w:cs="Arial"/>
                <w:noProof/>
                <w:webHidden/>
                <w:sz w:val="22"/>
              </w:rPr>
              <w:fldChar w:fldCharType="begin"/>
            </w:r>
            <w:r w:rsidRPr="00F748E2">
              <w:rPr>
                <w:rFonts w:ascii="Arial" w:hAnsi="Arial" w:cs="Arial"/>
                <w:noProof/>
                <w:webHidden/>
                <w:sz w:val="22"/>
              </w:rPr>
              <w:instrText xml:space="preserve"> PAGEREF _Toc232255364 \h </w:instrText>
            </w:r>
            <w:r w:rsidRPr="00F748E2">
              <w:rPr>
                <w:rFonts w:ascii="Arial" w:hAnsi="Arial" w:cs="Arial"/>
                <w:noProof/>
                <w:webHidden/>
                <w:sz w:val="22"/>
              </w:rPr>
            </w:r>
            <w:r w:rsidRPr="00F748E2">
              <w:rPr>
                <w:rFonts w:ascii="Arial" w:hAnsi="Arial" w:cs="Arial"/>
                <w:noProof/>
                <w:webHidden/>
                <w:sz w:val="22"/>
              </w:rPr>
              <w:fldChar w:fldCharType="separate"/>
            </w:r>
            <w:r w:rsidRPr="00F748E2">
              <w:rPr>
                <w:rFonts w:ascii="Arial" w:hAnsi="Arial" w:cs="Arial"/>
                <w:noProof/>
                <w:webHidden/>
                <w:sz w:val="22"/>
              </w:rPr>
              <w:t>.5</w:t>
            </w:r>
            <w:r w:rsidRPr="00F748E2">
              <w:rPr>
                <w:rFonts w:ascii="Arial" w:hAnsi="Arial" w:cs="Arial"/>
                <w:noProof/>
                <w:webHidden/>
                <w:sz w:val="22"/>
              </w:rPr>
              <w:fldChar w:fldCharType="end"/>
            </w:r>
          </w:hyperlink>
        </w:p>
        <w:p w14:paraId="145BB134" w14:textId="36F32890" w:rsidR="000A2638" w:rsidRPr="00F748E2" w:rsidRDefault="000A2638" w:rsidP="00F748E2">
          <w:pPr>
            <w:pStyle w:val="TOC2"/>
            <w:tabs>
              <w:tab w:val="right" w:leader="dot" w:pos="9350"/>
            </w:tabs>
            <w:spacing w:line="360" w:lineRule="auto"/>
            <w:rPr>
              <w:rFonts w:ascii="Arial" w:eastAsiaTheme="minorEastAsia" w:hAnsi="Arial" w:cs="Arial"/>
              <w:noProof/>
              <w:sz w:val="22"/>
              <w:lang w:eastAsia="en-GB"/>
            </w:rPr>
          </w:pPr>
          <w:hyperlink w:anchor="_Toc232255365" w:history="1">
            <w:r w:rsidRPr="00F748E2">
              <w:rPr>
                <w:rStyle w:val="Hyperlink"/>
                <w:rFonts w:ascii="Arial" w:hAnsi="Arial" w:cs="Arial"/>
                <w:noProof/>
                <w:sz w:val="22"/>
              </w:rPr>
              <w:t>Critical Evaluation of Global Policies/Initiatives</w:t>
            </w:r>
            <w:r w:rsidRPr="00F748E2">
              <w:rPr>
                <w:rFonts w:ascii="Arial" w:hAnsi="Arial" w:cs="Arial"/>
                <w:noProof/>
                <w:webHidden/>
                <w:sz w:val="22"/>
              </w:rPr>
              <w:tab/>
            </w:r>
            <w:r w:rsidRPr="00F748E2">
              <w:rPr>
                <w:rFonts w:ascii="Arial" w:hAnsi="Arial" w:cs="Arial"/>
                <w:noProof/>
                <w:webHidden/>
                <w:sz w:val="22"/>
              </w:rPr>
              <w:fldChar w:fldCharType="begin"/>
            </w:r>
            <w:r w:rsidRPr="00F748E2">
              <w:rPr>
                <w:rFonts w:ascii="Arial" w:hAnsi="Arial" w:cs="Arial"/>
                <w:noProof/>
                <w:webHidden/>
                <w:sz w:val="22"/>
              </w:rPr>
              <w:instrText xml:space="preserve"> PAGEREF _Toc232255365 \h </w:instrText>
            </w:r>
            <w:r w:rsidRPr="00F748E2">
              <w:rPr>
                <w:rFonts w:ascii="Arial" w:hAnsi="Arial" w:cs="Arial"/>
                <w:noProof/>
                <w:webHidden/>
                <w:sz w:val="22"/>
              </w:rPr>
            </w:r>
            <w:r w:rsidRPr="00F748E2">
              <w:rPr>
                <w:rFonts w:ascii="Arial" w:hAnsi="Arial" w:cs="Arial"/>
                <w:noProof/>
                <w:webHidden/>
                <w:sz w:val="22"/>
              </w:rPr>
              <w:fldChar w:fldCharType="separate"/>
            </w:r>
            <w:r w:rsidRPr="00F748E2">
              <w:rPr>
                <w:rFonts w:ascii="Arial" w:hAnsi="Arial" w:cs="Arial"/>
                <w:noProof/>
                <w:webHidden/>
                <w:sz w:val="22"/>
              </w:rPr>
              <w:t>5</w:t>
            </w:r>
            <w:r w:rsidRPr="00F748E2">
              <w:rPr>
                <w:rFonts w:ascii="Arial" w:hAnsi="Arial" w:cs="Arial"/>
                <w:noProof/>
                <w:webHidden/>
                <w:sz w:val="22"/>
              </w:rPr>
              <w:fldChar w:fldCharType="end"/>
            </w:r>
          </w:hyperlink>
        </w:p>
        <w:p w14:paraId="1CA9C646" w14:textId="37DD1644" w:rsidR="000A2638" w:rsidRPr="00F748E2" w:rsidRDefault="000A2638" w:rsidP="00F748E2">
          <w:pPr>
            <w:pStyle w:val="TOC2"/>
            <w:tabs>
              <w:tab w:val="right" w:leader="dot" w:pos="9350"/>
            </w:tabs>
            <w:spacing w:line="360" w:lineRule="auto"/>
            <w:rPr>
              <w:rFonts w:ascii="Arial" w:eastAsiaTheme="minorEastAsia" w:hAnsi="Arial" w:cs="Arial"/>
              <w:noProof/>
              <w:sz w:val="22"/>
              <w:lang w:eastAsia="en-GB"/>
            </w:rPr>
          </w:pPr>
          <w:hyperlink w:anchor="_Toc232255366" w:history="1">
            <w:r w:rsidRPr="00F748E2">
              <w:rPr>
                <w:rStyle w:val="Hyperlink"/>
                <w:rFonts w:ascii="Arial" w:hAnsi="Arial" w:cs="Arial"/>
                <w:noProof/>
                <w:sz w:val="22"/>
              </w:rPr>
              <w:t>Critical Evaluation of UK National and Local Examples</w:t>
            </w:r>
            <w:r w:rsidRPr="00F748E2">
              <w:rPr>
                <w:rFonts w:ascii="Arial" w:hAnsi="Arial" w:cs="Arial"/>
                <w:noProof/>
                <w:webHidden/>
                <w:sz w:val="22"/>
              </w:rPr>
              <w:tab/>
            </w:r>
            <w:r w:rsidRPr="00F748E2">
              <w:rPr>
                <w:rFonts w:ascii="Arial" w:hAnsi="Arial" w:cs="Arial"/>
                <w:noProof/>
                <w:webHidden/>
                <w:sz w:val="22"/>
              </w:rPr>
              <w:fldChar w:fldCharType="begin"/>
            </w:r>
            <w:r w:rsidRPr="00F748E2">
              <w:rPr>
                <w:rFonts w:ascii="Arial" w:hAnsi="Arial" w:cs="Arial"/>
                <w:noProof/>
                <w:webHidden/>
                <w:sz w:val="22"/>
              </w:rPr>
              <w:instrText xml:space="preserve"> PAGEREF _Toc232255366 \h </w:instrText>
            </w:r>
            <w:r w:rsidRPr="00F748E2">
              <w:rPr>
                <w:rFonts w:ascii="Arial" w:hAnsi="Arial" w:cs="Arial"/>
                <w:noProof/>
                <w:webHidden/>
                <w:sz w:val="22"/>
              </w:rPr>
            </w:r>
            <w:r w:rsidRPr="00F748E2">
              <w:rPr>
                <w:rFonts w:ascii="Arial" w:hAnsi="Arial" w:cs="Arial"/>
                <w:noProof/>
                <w:webHidden/>
                <w:sz w:val="22"/>
              </w:rPr>
              <w:fldChar w:fldCharType="separate"/>
            </w:r>
            <w:r w:rsidRPr="00F748E2">
              <w:rPr>
                <w:rFonts w:ascii="Arial" w:hAnsi="Arial" w:cs="Arial"/>
                <w:noProof/>
                <w:webHidden/>
                <w:sz w:val="22"/>
              </w:rPr>
              <w:t>6</w:t>
            </w:r>
            <w:r w:rsidRPr="00F748E2">
              <w:rPr>
                <w:rFonts w:ascii="Arial" w:hAnsi="Arial" w:cs="Arial"/>
                <w:noProof/>
                <w:webHidden/>
                <w:sz w:val="22"/>
              </w:rPr>
              <w:fldChar w:fldCharType="end"/>
            </w:r>
          </w:hyperlink>
        </w:p>
        <w:p w14:paraId="38282F9E" w14:textId="77207E36" w:rsidR="000A2638" w:rsidRPr="00F748E2" w:rsidRDefault="000A2638" w:rsidP="00F748E2">
          <w:pPr>
            <w:pStyle w:val="TOC2"/>
            <w:tabs>
              <w:tab w:val="right" w:leader="dot" w:pos="9350"/>
            </w:tabs>
            <w:spacing w:line="360" w:lineRule="auto"/>
            <w:rPr>
              <w:rFonts w:ascii="Arial" w:eastAsiaTheme="minorEastAsia" w:hAnsi="Arial" w:cs="Arial"/>
              <w:noProof/>
              <w:sz w:val="22"/>
              <w:lang w:eastAsia="en-GB"/>
            </w:rPr>
          </w:pPr>
          <w:hyperlink w:anchor="_Toc232255367" w:history="1">
            <w:r w:rsidRPr="00F748E2">
              <w:rPr>
                <w:rStyle w:val="Hyperlink"/>
                <w:rFonts w:ascii="Arial" w:hAnsi="Arial" w:cs="Arial"/>
                <w:noProof/>
                <w:sz w:val="22"/>
              </w:rPr>
              <w:t>Application of Theories/Models</w:t>
            </w:r>
            <w:r w:rsidRPr="00F748E2">
              <w:rPr>
                <w:rFonts w:ascii="Arial" w:hAnsi="Arial" w:cs="Arial"/>
                <w:noProof/>
                <w:webHidden/>
                <w:sz w:val="22"/>
              </w:rPr>
              <w:tab/>
            </w:r>
            <w:r w:rsidRPr="00F748E2">
              <w:rPr>
                <w:rFonts w:ascii="Arial" w:hAnsi="Arial" w:cs="Arial"/>
                <w:noProof/>
                <w:webHidden/>
                <w:sz w:val="22"/>
              </w:rPr>
              <w:fldChar w:fldCharType="begin"/>
            </w:r>
            <w:r w:rsidRPr="00F748E2">
              <w:rPr>
                <w:rFonts w:ascii="Arial" w:hAnsi="Arial" w:cs="Arial"/>
                <w:noProof/>
                <w:webHidden/>
                <w:sz w:val="22"/>
              </w:rPr>
              <w:instrText xml:space="preserve"> PAGEREF _Toc232255367 \h </w:instrText>
            </w:r>
            <w:r w:rsidRPr="00F748E2">
              <w:rPr>
                <w:rFonts w:ascii="Arial" w:hAnsi="Arial" w:cs="Arial"/>
                <w:noProof/>
                <w:webHidden/>
                <w:sz w:val="22"/>
              </w:rPr>
            </w:r>
            <w:r w:rsidRPr="00F748E2">
              <w:rPr>
                <w:rFonts w:ascii="Arial" w:hAnsi="Arial" w:cs="Arial"/>
                <w:noProof/>
                <w:webHidden/>
                <w:sz w:val="22"/>
              </w:rPr>
              <w:fldChar w:fldCharType="separate"/>
            </w:r>
            <w:r w:rsidRPr="00F748E2">
              <w:rPr>
                <w:rFonts w:ascii="Arial" w:hAnsi="Arial" w:cs="Arial"/>
                <w:noProof/>
                <w:webHidden/>
                <w:sz w:val="22"/>
              </w:rPr>
              <w:t>7</w:t>
            </w:r>
            <w:r w:rsidRPr="00F748E2">
              <w:rPr>
                <w:rFonts w:ascii="Arial" w:hAnsi="Arial" w:cs="Arial"/>
                <w:noProof/>
                <w:webHidden/>
                <w:sz w:val="22"/>
              </w:rPr>
              <w:fldChar w:fldCharType="end"/>
            </w:r>
          </w:hyperlink>
        </w:p>
        <w:p w14:paraId="78B77F1C" w14:textId="7687C7E9" w:rsidR="000A2638" w:rsidRPr="00F748E2" w:rsidRDefault="000A2638" w:rsidP="00F748E2">
          <w:pPr>
            <w:pStyle w:val="TOC2"/>
            <w:tabs>
              <w:tab w:val="right" w:leader="dot" w:pos="9350"/>
            </w:tabs>
            <w:spacing w:line="360" w:lineRule="auto"/>
            <w:rPr>
              <w:rFonts w:ascii="Arial" w:eastAsiaTheme="minorEastAsia" w:hAnsi="Arial" w:cs="Arial"/>
              <w:noProof/>
              <w:sz w:val="22"/>
              <w:lang w:eastAsia="en-GB"/>
            </w:rPr>
          </w:pPr>
          <w:hyperlink w:anchor="_Toc232255368" w:history="1">
            <w:r w:rsidRPr="00F748E2">
              <w:rPr>
                <w:rStyle w:val="Hyperlink"/>
                <w:rFonts w:ascii="Arial" w:hAnsi="Arial" w:cs="Arial"/>
                <w:noProof/>
                <w:sz w:val="22"/>
              </w:rPr>
              <w:t>Recommendations</w:t>
            </w:r>
            <w:r w:rsidRPr="00F748E2">
              <w:rPr>
                <w:rFonts w:ascii="Arial" w:hAnsi="Arial" w:cs="Arial"/>
                <w:noProof/>
                <w:webHidden/>
                <w:sz w:val="22"/>
              </w:rPr>
              <w:tab/>
            </w:r>
            <w:r w:rsidRPr="00F748E2">
              <w:rPr>
                <w:rFonts w:ascii="Arial" w:hAnsi="Arial" w:cs="Arial"/>
                <w:noProof/>
                <w:webHidden/>
                <w:sz w:val="22"/>
              </w:rPr>
              <w:fldChar w:fldCharType="begin"/>
            </w:r>
            <w:r w:rsidRPr="00F748E2">
              <w:rPr>
                <w:rFonts w:ascii="Arial" w:hAnsi="Arial" w:cs="Arial"/>
                <w:noProof/>
                <w:webHidden/>
                <w:sz w:val="22"/>
              </w:rPr>
              <w:instrText xml:space="preserve"> PAGEREF _Toc232255368 \h </w:instrText>
            </w:r>
            <w:r w:rsidRPr="00F748E2">
              <w:rPr>
                <w:rFonts w:ascii="Arial" w:hAnsi="Arial" w:cs="Arial"/>
                <w:noProof/>
                <w:webHidden/>
                <w:sz w:val="22"/>
              </w:rPr>
            </w:r>
            <w:r w:rsidRPr="00F748E2">
              <w:rPr>
                <w:rFonts w:ascii="Arial" w:hAnsi="Arial" w:cs="Arial"/>
                <w:noProof/>
                <w:webHidden/>
                <w:sz w:val="22"/>
              </w:rPr>
              <w:fldChar w:fldCharType="separate"/>
            </w:r>
            <w:r w:rsidRPr="00F748E2">
              <w:rPr>
                <w:rFonts w:ascii="Arial" w:hAnsi="Arial" w:cs="Arial"/>
                <w:noProof/>
                <w:webHidden/>
                <w:sz w:val="22"/>
              </w:rPr>
              <w:t>7</w:t>
            </w:r>
            <w:r w:rsidRPr="00F748E2">
              <w:rPr>
                <w:rFonts w:ascii="Arial" w:hAnsi="Arial" w:cs="Arial"/>
                <w:noProof/>
                <w:webHidden/>
                <w:sz w:val="22"/>
              </w:rPr>
              <w:fldChar w:fldCharType="end"/>
            </w:r>
          </w:hyperlink>
        </w:p>
        <w:p w14:paraId="329456A6" w14:textId="487E0C72" w:rsidR="000A2638" w:rsidRPr="00F748E2" w:rsidRDefault="000A2638" w:rsidP="00F748E2">
          <w:pPr>
            <w:pStyle w:val="TOC1"/>
            <w:tabs>
              <w:tab w:val="right" w:leader="dot" w:pos="9350"/>
            </w:tabs>
            <w:spacing w:line="360" w:lineRule="auto"/>
            <w:rPr>
              <w:rFonts w:ascii="Arial" w:eastAsiaTheme="minorEastAsia" w:hAnsi="Arial" w:cs="Arial"/>
              <w:noProof/>
              <w:sz w:val="22"/>
              <w:lang w:eastAsia="en-GB"/>
            </w:rPr>
          </w:pPr>
          <w:hyperlink w:anchor="_Toc232255369" w:history="1">
            <w:r w:rsidRPr="00F748E2">
              <w:rPr>
                <w:rStyle w:val="Hyperlink"/>
                <w:rFonts w:ascii="Arial" w:hAnsi="Arial" w:cs="Arial"/>
                <w:noProof/>
                <w:sz w:val="22"/>
              </w:rPr>
              <w:t>Conclusion</w:t>
            </w:r>
            <w:r w:rsidRPr="00F748E2">
              <w:rPr>
                <w:rFonts w:ascii="Arial" w:hAnsi="Arial" w:cs="Arial"/>
                <w:noProof/>
                <w:webHidden/>
                <w:sz w:val="22"/>
              </w:rPr>
              <w:tab/>
            </w:r>
            <w:r w:rsidRPr="00F748E2">
              <w:rPr>
                <w:rFonts w:ascii="Arial" w:hAnsi="Arial" w:cs="Arial"/>
                <w:noProof/>
                <w:webHidden/>
                <w:sz w:val="22"/>
              </w:rPr>
              <w:fldChar w:fldCharType="begin"/>
            </w:r>
            <w:r w:rsidRPr="00F748E2">
              <w:rPr>
                <w:rFonts w:ascii="Arial" w:hAnsi="Arial" w:cs="Arial"/>
                <w:noProof/>
                <w:webHidden/>
                <w:sz w:val="22"/>
              </w:rPr>
              <w:instrText xml:space="preserve"> PAGEREF _Toc232255369 \h </w:instrText>
            </w:r>
            <w:r w:rsidRPr="00F748E2">
              <w:rPr>
                <w:rFonts w:ascii="Arial" w:hAnsi="Arial" w:cs="Arial"/>
                <w:noProof/>
                <w:webHidden/>
                <w:sz w:val="22"/>
              </w:rPr>
            </w:r>
            <w:r w:rsidRPr="00F748E2">
              <w:rPr>
                <w:rFonts w:ascii="Arial" w:hAnsi="Arial" w:cs="Arial"/>
                <w:noProof/>
                <w:webHidden/>
                <w:sz w:val="22"/>
              </w:rPr>
              <w:fldChar w:fldCharType="separate"/>
            </w:r>
            <w:r w:rsidRPr="00F748E2">
              <w:rPr>
                <w:rFonts w:ascii="Arial" w:hAnsi="Arial" w:cs="Arial"/>
                <w:noProof/>
                <w:webHidden/>
                <w:sz w:val="22"/>
              </w:rPr>
              <w:t>7</w:t>
            </w:r>
            <w:r w:rsidRPr="00F748E2">
              <w:rPr>
                <w:rFonts w:ascii="Arial" w:hAnsi="Arial" w:cs="Arial"/>
                <w:noProof/>
                <w:webHidden/>
                <w:sz w:val="22"/>
              </w:rPr>
              <w:fldChar w:fldCharType="end"/>
            </w:r>
          </w:hyperlink>
        </w:p>
        <w:p w14:paraId="7FCCF358" w14:textId="3C073F01" w:rsidR="000A2638" w:rsidRPr="00F748E2" w:rsidRDefault="000A2638" w:rsidP="00F748E2">
          <w:pPr>
            <w:pStyle w:val="TOC1"/>
            <w:tabs>
              <w:tab w:val="right" w:leader="dot" w:pos="9350"/>
            </w:tabs>
            <w:spacing w:line="360" w:lineRule="auto"/>
            <w:rPr>
              <w:rFonts w:ascii="Arial" w:eastAsiaTheme="minorEastAsia" w:hAnsi="Arial" w:cs="Arial"/>
              <w:noProof/>
              <w:sz w:val="22"/>
              <w:lang w:eastAsia="en-GB"/>
            </w:rPr>
          </w:pPr>
          <w:hyperlink w:anchor="_Toc232255370" w:history="1">
            <w:r w:rsidRPr="00F748E2">
              <w:rPr>
                <w:rStyle w:val="Hyperlink"/>
                <w:rFonts w:ascii="Arial" w:hAnsi="Arial" w:cs="Arial"/>
                <w:noProof/>
                <w:sz w:val="22"/>
              </w:rPr>
              <w:t>References</w:t>
            </w:r>
            <w:r w:rsidRPr="00F748E2">
              <w:rPr>
                <w:rFonts w:ascii="Arial" w:hAnsi="Arial" w:cs="Arial"/>
                <w:noProof/>
                <w:webHidden/>
                <w:sz w:val="22"/>
              </w:rPr>
              <w:tab/>
            </w:r>
            <w:r w:rsidRPr="00F748E2">
              <w:rPr>
                <w:rFonts w:ascii="Arial" w:hAnsi="Arial" w:cs="Arial"/>
                <w:noProof/>
                <w:webHidden/>
                <w:sz w:val="22"/>
              </w:rPr>
              <w:fldChar w:fldCharType="begin"/>
            </w:r>
            <w:r w:rsidRPr="00F748E2">
              <w:rPr>
                <w:rFonts w:ascii="Arial" w:hAnsi="Arial" w:cs="Arial"/>
                <w:noProof/>
                <w:webHidden/>
                <w:sz w:val="22"/>
              </w:rPr>
              <w:instrText xml:space="preserve"> PAGEREF _Toc232255370 \h </w:instrText>
            </w:r>
            <w:r w:rsidRPr="00F748E2">
              <w:rPr>
                <w:rFonts w:ascii="Arial" w:hAnsi="Arial" w:cs="Arial"/>
                <w:noProof/>
                <w:webHidden/>
                <w:sz w:val="22"/>
              </w:rPr>
            </w:r>
            <w:r w:rsidRPr="00F748E2">
              <w:rPr>
                <w:rFonts w:ascii="Arial" w:hAnsi="Arial" w:cs="Arial"/>
                <w:noProof/>
                <w:webHidden/>
                <w:sz w:val="22"/>
              </w:rPr>
              <w:fldChar w:fldCharType="separate"/>
            </w:r>
            <w:r w:rsidRPr="00F748E2">
              <w:rPr>
                <w:rFonts w:ascii="Arial" w:hAnsi="Arial" w:cs="Arial"/>
                <w:noProof/>
                <w:webHidden/>
                <w:sz w:val="22"/>
              </w:rPr>
              <w:t>9</w:t>
            </w:r>
            <w:r w:rsidRPr="00F748E2">
              <w:rPr>
                <w:rFonts w:ascii="Arial" w:hAnsi="Arial" w:cs="Arial"/>
                <w:noProof/>
                <w:webHidden/>
                <w:sz w:val="22"/>
              </w:rPr>
              <w:fldChar w:fldCharType="end"/>
            </w:r>
          </w:hyperlink>
        </w:p>
        <w:p w14:paraId="080A7E3E" w14:textId="16C5DB8C" w:rsidR="00E0409E" w:rsidRPr="00F748E2" w:rsidRDefault="00000000" w:rsidP="00F748E2">
          <w:pPr>
            <w:spacing w:line="360" w:lineRule="auto"/>
            <w:rPr>
              <w:rFonts w:ascii="Arial" w:hAnsi="Arial" w:cs="Arial"/>
              <w:sz w:val="22"/>
            </w:rPr>
          </w:pPr>
          <w:r w:rsidRPr="00F748E2">
            <w:rPr>
              <w:rFonts w:ascii="Arial" w:hAnsi="Arial" w:cs="Arial"/>
              <w:b/>
              <w:bCs/>
              <w:noProof/>
              <w:sz w:val="22"/>
            </w:rPr>
            <w:fldChar w:fldCharType="end"/>
          </w:r>
        </w:p>
      </w:sdtContent>
    </w:sdt>
    <w:p w14:paraId="715C88CA" w14:textId="05F8A4D3" w:rsidR="004260F5" w:rsidRPr="00F748E2" w:rsidRDefault="004260F5" w:rsidP="00F748E2">
      <w:pPr>
        <w:spacing w:line="360" w:lineRule="auto"/>
        <w:rPr>
          <w:rFonts w:ascii="Arial" w:hAnsi="Arial" w:cs="Arial"/>
          <w:sz w:val="22"/>
        </w:rPr>
      </w:pPr>
    </w:p>
    <w:p w14:paraId="2ED7D472" w14:textId="77777777" w:rsidR="00764127" w:rsidRPr="00F748E2" w:rsidRDefault="00764127" w:rsidP="00F748E2">
      <w:pPr>
        <w:spacing w:line="360" w:lineRule="auto"/>
        <w:rPr>
          <w:rFonts w:ascii="Arial" w:hAnsi="Arial" w:cs="Arial"/>
          <w:sz w:val="22"/>
        </w:rPr>
      </w:pPr>
    </w:p>
    <w:p w14:paraId="2FBCA952" w14:textId="73B887BA" w:rsidR="004260F5" w:rsidRPr="00F748E2" w:rsidRDefault="004260F5" w:rsidP="00F748E2">
      <w:pPr>
        <w:spacing w:line="360" w:lineRule="auto"/>
        <w:rPr>
          <w:rFonts w:ascii="Arial" w:hAnsi="Arial" w:cs="Arial"/>
          <w:sz w:val="22"/>
        </w:rPr>
      </w:pPr>
    </w:p>
    <w:p w14:paraId="093BDBB7" w14:textId="5868B9BF" w:rsidR="004260F5" w:rsidRPr="00F748E2" w:rsidRDefault="00000000" w:rsidP="00F748E2">
      <w:pPr>
        <w:spacing w:line="360" w:lineRule="auto"/>
        <w:rPr>
          <w:rFonts w:ascii="Arial" w:hAnsi="Arial" w:cs="Arial"/>
          <w:sz w:val="22"/>
        </w:rPr>
      </w:pPr>
      <w:r w:rsidRPr="00F748E2">
        <w:rPr>
          <w:rFonts w:ascii="Arial" w:hAnsi="Arial" w:cs="Arial"/>
          <w:sz w:val="22"/>
        </w:rPr>
        <w:br w:type="page"/>
      </w:r>
    </w:p>
    <w:p w14:paraId="2574F89E" w14:textId="5857E7AF" w:rsidR="004260F5" w:rsidRPr="00F748E2" w:rsidRDefault="00000000" w:rsidP="00F748E2">
      <w:pPr>
        <w:pStyle w:val="Heading1"/>
        <w:spacing w:line="360" w:lineRule="auto"/>
        <w:rPr>
          <w:rFonts w:ascii="Arial" w:hAnsi="Arial" w:cs="Arial"/>
          <w:sz w:val="22"/>
          <w:szCs w:val="22"/>
        </w:rPr>
      </w:pPr>
      <w:bookmarkStart w:id="0" w:name="_Toc232255356"/>
      <w:r w:rsidRPr="00F748E2">
        <w:rPr>
          <w:rFonts w:ascii="Arial" w:hAnsi="Arial" w:cs="Arial"/>
          <w:sz w:val="22"/>
          <w:szCs w:val="22"/>
        </w:rPr>
        <w:lastRenderedPageBreak/>
        <w:t>Introduction</w:t>
      </w:r>
      <w:bookmarkEnd w:id="0"/>
    </w:p>
    <w:p w14:paraId="467BA2C3" w14:textId="5A414738" w:rsidR="00BC3540" w:rsidRPr="00F748E2" w:rsidRDefault="00000000" w:rsidP="00F748E2">
      <w:pPr>
        <w:spacing w:line="360" w:lineRule="auto"/>
        <w:rPr>
          <w:rFonts w:ascii="Arial" w:hAnsi="Arial" w:cs="Arial"/>
          <w:sz w:val="22"/>
        </w:rPr>
      </w:pPr>
      <w:r w:rsidRPr="00F748E2">
        <w:rPr>
          <w:rFonts w:ascii="Arial" w:hAnsi="Arial" w:cs="Arial"/>
          <w:sz w:val="22"/>
        </w:rPr>
        <w:t>The United Nations Sustainable Development Goals (SDGs) from 2015 offer a worldwide solution to social, economic and environmental problems, with a particular focus on population wellbeing and on reducing inequalities (United Nations, 2015). Of these, SDG 3 (Good Health and Well-being) and SDG 4 (Quality Education) stand out as having a direct impact, as well as an indirect impact, on health outcomes throughout the life course. SDG 3 is all about achieving healthy lives through healthcare, prevention and mental health care. SDG 4 encourages inclusive and equitable education with many links to better health literacy, job prospects and healthier lifestyles. Although there is a well-developed healthcare and education system in the UK, inequalities persist between socio-economic and regional groups in terms of life expectancy and access to services and in education (Atalay et al., 2023). The purpose of this report is to critically assess the relationship between SDG 3 and SDG 4 and the health and well-being of citizens in the UK.</w:t>
      </w:r>
    </w:p>
    <w:p w14:paraId="5C239145" w14:textId="77777777" w:rsidR="00836735" w:rsidRPr="00F748E2" w:rsidRDefault="00836735" w:rsidP="00F748E2">
      <w:pPr>
        <w:spacing w:line="360" w:lineRule="auto"/>
        <w:rPr>
          <w:rFonts w:ascii="Arial" w:hAnsi="Arial" w:cs="Arial"/>
          <w:sz w:val="22"/>
        </w:rPr>
      </w:pPr>
    </w:p>
    <w:p w14:paraId="137296B3" w14:textId="283B4F75" w:rsidR="004260F5" w:rsidRPr="00F748E2" w:rsidRDefault="00000000" w:rsidP="00F748E2">
      <w:pPr>
        <w:pStyle w:val="Heading1"/>
        <w:spacing w:line="360" w:lineRule="auto"/>
        <w:rPr>
          <w:rFonts w:ascii="Arial" w:hAnsi="Arial" w:cs="Arial"/>
          <w:sz w:val="22"/>
          <w:szCs w:val="22"/>
        </w:rPr>
      </w:pPr>
      <w:bookmarkStart w:id="1" w:name="_Toc232255357"/>
      <w:r w:rsidRPr="00F748E2">
        <w:rPr>
          <w:rFonts w:ascii="Arial" w:hAnsi="Arial" w:cs="Arial"/>
          <w:sz w:val="22"/>
          <w:szCs w:val="22"/>
        </w:rPr>
        <w:t>Section 1: SDG 3</w:t>
      </w:r>
      <w:r w:rsidR="001224C3" w:rsidRPr="00F748E2">
        <w:rPr>
          <w:rFonts w:ascii="Arial" w:hAnsi="Arial" w:cs="Arial"/>
          <w:sz w:val="22"/>
          <w:szCs w:val="22"/>
        </w:rPr>
        <w:t xml:space="preserve"> - </w:t>
      </w:r>
      <w:r w:rsidRPr="00F748E2">
        <w:rPr>
          <w:rFonts w:ascii="Arial" w:hAnsi="Arial" w:cs="Arial"/>
          <w:sz w:val="22"/>
          <w:szCs w:val="22"/>
        </w:rPr>
        <w:t>Good Health and Well-being</w:t>
      </w:r>
      <w:bookmarkEnd w:id="1"/>
    </w:p>
    <w:p w14:paraId="10329415" w14:textId="65A79F64" w:rsidR="001224C3" w:rsidRPr="00F748E2" w:rsidRDefault="00000000" w:rsidP="00F748E2">
      <w:pPr>
        <w:pStyle w:val="Heading2"/>
        <w:spacing w:line="360" w:lineRule="auto"/>
        <w:rPr>
          <w:rFonts w:ascii="Arial" w:hAnsi="Arial" w:cs="Arial"/>
          <w:sz w:val="22"/>
          <w:szCs w:val="22"/>
        </w:rPr>
      </w:pPr>
      <w:bookmarkStart w:id="2" w:name="_Toc232255358"/>
      <w:r w:rsidRPr="00F748E2">
        <w:rPr>
          <w:rFonts w:ascii="Arial" w:hAnsi="Arial" w:cs="Arial"/>
          <w:sz w:val="22"/>
          <w:szCs w:val="22"/>
        </w:rPr>
        <w:t>Overview of SDG 3</w:t>
      </w:r>
      <w:bookmarkEnd w:id="2"/>
    </w:p>
    <w:p w14:paraId="527EE313" w14:textId="0C80E73B" w:rsidR="00AA686D" w:rsidRPr="00F748E2" w:rsidRDefault="00000000" w:rsidP="00F748E2">
      <w:pPr>
        <w:spacing w:line="360" w:lineRule="auto"/>
        <w:rPr>
          <w:rFonts w:ascii="Arial" w:hAnsi="Arial" w:cs="Arial"/>
          <w:sz w:val="22"/>
        </w:rPr>
      </w:pPr>
      <w:r w:rsidRPr="00F748E2">
        <w:rPr>
          <w:rFonts w:ascii="Arial" w:hAnsi="Arial" w:cs="Arial"/>
          <w:sz w:val="22"/>
        </w:rPr>
        <w:t>Sustainable Development Goal (SDG) 3 seeks to "ensure healthy lives and promote wellbeing for all at all ages," including goals to reduce the mortality rates of mothers as well as children under five, combat both communicable and non-communicable diseases, enhance mental health care, and promote universal health coverage (UHC) (Hossain et al., 2024). SDG 3 is closely linked to the tenets of the National Health Service (NHS) in the UK, such as equitable access to health and prevention-based public health action. Meanwhile, the effective achievement of these targets is being undermined by increased demand, ageing populations and growing health disparities (Khan et al., 2024).</w:t>
      </w:r>
    </w:p>
    <w:p w14:paraId="250D8C09" w14:textId="77777777" w:rsidR="001224C3" w:rsidRPr="00F748E2" w:rsidRDefault="001224C3" w:rsidP="00F748E2">
      <w:pPr>
        <w:spacing w:line="360" w:lineRule="auto"/>
        <w:rPr>
          <w:rFonts w:ascii="Arial" w:hAnsi="Arial" w:cs="Arial"/>
          <w:sz w:val="22"/>
        </w:rPr>
      </w:pPr>
    </w:p>
    <w:p w14:paraId="5627DF28" w14:textId="5A387144" w:rsidR="004260F5" w:rsidRPr="00F748E2" w:rsidRDefault="00000000" w:rsidP="00F748E2">
      <w:pPr>
        <w:pStyle w:val="Heading2"/>
        <w:spacing w:line="360" w:lineRule="auto"/>
        <w:rPr>
          <w:rFonts w:ascii="Arial" w:hAnsi="Arial" w:cs="Arial"/>
          <w:sz w:val="22"/>
          <w:szCs w:val="22"/>
        </w:rPr>
      </w:pPr>
      <w:bookmarkStart w:id="3" w:name="_Toc232255359"/>
      <w:r w:rsidRPr="00F748E2">
        <w:rPr>
          <w:rFonts w:ascii="Arial" w:hAnsi="Arial" w:cs="Arial"/>
          <w:sz w:val="22"/>
          <w:szCs w:val="22"/>
        </w:rPr>
        <w:t>Critical Evaluation of Global Policies/Initiatives</w:t>
      </w:r>
      <w:bookmarkEnd w:id="3"/>
    </w:p>
    <w:p w14:paraId="59472040" w14:textId="77777777" w:rsidR="00A761A4" w:rsidRPr="00F748E2" w:rsidRDefault="00000000" w:rsidP="00F748E2">
      <w:pPr>
        <w:spacing w:line="360" w:lineRule="auto"/>
        <w:rPr>
          <w:rFonts w:ascii="Arial" w:hAnsi="Arial" w:cs="Arial"/>
          <w:sz w:val="22"/>
        </w:rPr>
      </w:pPr>
      <w:r w:rsidRPr="00F748E2">
        <w:rPr>
          <w:rFonts w:ascii="Arial" w:hAnsi="Arial" w:cs="Arial"/>
          <w:sz w:val="22"/>
        </w:rPr>
        <w:t xml:space="preserve">The WHO's Universal Health Coverage (UHC) agenda and the Comprehensive Mental Health Action Plan (2013–2030) are key international strategies advancing SDG 3 through facilitating access to essential health care services and elevating mental health as a priority for the global health agenda. UHC has gained widespread acceptance for setting a normative benchmark that </w:t>
      </w:r>
      <w:r w:rsidRPr="00F748E2">
        <w:rPr>
          <w:rFonts w:ascii="Arial" w:hAnsi="Arial" w:cs="Arial"/>
          <w:sz w:val="22"/>
        </w:rPr>
        <w:lastRenderedPageBreak/>
        <w:t xml:space="preserve">strives to set financial barriers lower and services more accessible, thereby having a positive impact on health outcomes in several regions (World Health Organisation, 2022). Likewise, the Mental Health Action Plan has reinforced the importance of mental health as a key aspect of wellbeing and led to the formation of policies and international partnership-building. </w:t>
      </w:r>
    </w:p>
    <w:p w14:paraId="742DB6F8" w14:textId="106355F0" w:rsidR="00A761A4" w:rsidRPr="00F748E2" w:rsidRDefault="00000000" w:rsidP="00F748E2">
      <w:pPr>
        <w:spacing w:line="360" w:lineRule="auto"/>
        <w:rPr>
          <w:rFonts w:ascii="Arial" w:hAnsi="Arial" w:cs="Arial"/>
          <w:sz w:val="22"/>
        </w:rPr>
      </w:pPr>
      <w:r w:rsidRPr="00F748E2">
        <w:rPr>
          <w:rFonts w:ascii="Arial" w:hAnsi="Arial" w:cs="Arial"/>
          <w:sz w:val="22"/>
        </w:rPr>
        <w:t>However, the implementation is not complete, with significant policy-practice gaps reported, notably because of the variation in national resources, governance capacity, and political buy</w:t>
      </w:r>
      <w:r w:rsidR="00B95A3C">
        <w:rPr>
          <w:rFonts w:ascii="Arial" w:hAnsi="Arial" w:cs="Arial"/>
          <w:sz w:val="22"/>
        </w:rPr>
        <w:t xml:space="preserve"> </w:t>
      </w:r>
      <w:r w:rsidRPr="00F748E2">
        <w:rPr>
          <w:rFonts w:ascii="Arial" w:hAnsi="Arial" w:cs="Arial"/>
          <w:sz w:val="22"/>
        </w:rPr>
        <w:t>(</w:t>
      </w:r>
      <w:proofErr w:type="spellStart"/>
      <w:r w:rsidRPr="00F748E2">
        <w:rPr>
          <w:rFonts w:ascii="Arial" w:hAnsi="Arial" w:cs="Arial"/>
          <w:sz w:val="22"/>
        </w:rPr>
        <w:t>tvala</w:t>
      </w:r>
      <w:proofErr w:type="spellEnd"/>
      <w:r w:rsidRPr="00F748E2">
        <w:rPr>
          <w:rFonts w:ascii="Arial" w:hAnsi="Arial" w:cs="Arial"/>
          <w:sz w:val="22"/>
        </w:rPr>
        <w:t xml:space="preserve"> et al., 2023). With limited budgets, further obstacles to progress include the fact that mental health is allocated less funding worldwide. Moreover, global policies are usually one-size-fits-all and thus fail to respond to local socio-cultural and economic contexts (Zapata-Barrero and Mansouri, 2022). Therefore, although it offers a lot of guidance, these frameworks are limited in their effectiveness due to structural inequalities and the variability in national adaptation.</w:t>
      </w:r>
    </w:p>
    <w:p w14:paraId="7D28726C" w14:textId="77777777" w:rsidR="001224C3" w:rsidRPr="00F748E2" w:rsidRDefault="001224C3" w:rsidP="00F748E2">
      <w:pPr>
        <w:spacing w:line="360" w:lineRule="auto"/>
        <w:rPr>
          <w:rFonts w:ascii="Arial" w:hAnsi="Arial" w:cs="Arial"/>
          <w:sz w:val="22"/>
        </w:rPr>
      </w:pPr>
    </w:p>
    <w:p w14:paraId="1A86C89E" w14:textId="300DD2D1" w:rsidR="004260F5" w:rsidRPr="00F748E2" w:rsidRDefault="00000000" w:rsidP="00F748E2">
      <w:pPr>
        <w:pStyle w:val="Heading2"/>
        <w:spacing w:line="360" w:lineRule="auto"/>
        <w:rPr>
          <w:rFonts w:ascii="Arial" w:hAnsi="Arial" w:cs="Arial"/>
          <w:sz w:val="22"/>
          <w:szCs w:val="22"/>
        </w:rPr>
      </w:pPr>
      <w:bookmarkStart w:id="4" w:name="_Toc232255360"/>
      <w:r w:rsidRPr="00F748E2">
        <w:rPr>
          <w:rFonts w:ascii="Arial" w:hAnsi="Arial" w:cs="Arial"/>
          <w:sz w:val="22"/>
          <w:szCs w:val="22"/>
        </w:rPr>
        <w:t>Critical Evaluation of UK National and Local Examples</w:t>
      </w:r>
      <w:bookmarkEnd w:id="4"/>
    </w:p>
    <w:p w14:paraId="451BD282" w14:textId="04466B7C" w:rsidR="00A761A4" w:rsidRPr="00F748E2" w:rsidRDefault="00000000" w:rsidP="00F748E2">
      <w:pPr>
        <w:spacing w:line="360" w:lineRule="auto"/>
        <w:rPr>
          <w:rFonts w:ascii="Arial" w:hAnsi="Arial" w:cs="Arial"/>
          <w:sz w:val="22"/>
        </w:rPr>
      </w:pPr>
      <w:r w:rsidRPr="00F748E2">
        <w:rPr>
          <w:rFonts w:ascii="Arial" w:hAnsi="Arial" w:cs="Arial"/>
          <w:sz w:val="22"/>
        </w:rPr>
        <w:t>The NHS Long Term Plan (2023) is a key national policy supporting SDG 3 that focuses on prevention, integrated care systems (ICS) and better access to mental health services. At the same time, it seeks to tackle health inequalities by addressing inequalities in resources; however, because of an inadequate workforce and limited funding, its scale of implementation has been limited, as argued by Stansbury et al. (2023). Likewise, the policies pursued under Public Health England (now part of the UK Health Security Agency and Office for Health Improvement and Disparities) have targeted obesity, smoking and health protection (Everest et al., 2022). While these programmes have led to the improvement of population health indicators, austerity and cuts in public health have had a disproportionate impact on disadvantaged groups, thus exacerbating health inequalities (Marmot, 2020).</w:t>
      </w:r>
    </w:p>
    <w:p w14:paraId="4893A48C" w14:textId="723A1CD9" w:rsidR="00A761A4" w:rsidRPr="00F748E2" w:rsidRDefault="00000000" w:rsidP="00F748E2">
      <w:pPr>
        <w:spacing w:line="360" w:lineRule="auto"/>
        <w:rPr>
          <w:rFonts w:ascii="Arial" w:hAnsi="Arial" w:cs="Arial"/>
          <w:sz w:val="22"/>
        </w:rPr>
      </w:pPr>
      <w:r w:rsidRPr="00F748E2">
        <w:rPr>
          <w:rFonts w:ascii="Arial" w:hAnsi="Arial" w:cs="Arial"/>
          <w:sz w:val="22"/>
        </w:rPr>
        <w:t xml:space="preserve">Community health programmes and health promotion campaigns, including social prescribing and localised wellbeing initiatives, have demonstrated promise at the local level to tackle social determinants of health. This was confirmed by Giebel et al. (2022), who found that interventions within the community had positive impacts on well-being. There are, however, significant regional differences, especially between north and south England, with regard to life expectancy and services. However, according to Norman et al. (2022), these divides are not a result of mere policy inadequacy but also a consequence of socio-economic structural discrimination. </w:t>
      </w:r>
      <w:r w:rsidRPr="00F748E2">
        <w:rPr>
          <w:rFonts w:ascii="Arial" w:hAnsi="Arial" w:cs="Arial"/>
          <w:sz w:val="22"/>
        </w:rPr>
        <w:lastRenderedPageBreak/>
        <w:t>Moreover, staffing gaps and resource constraints remain a challenge for local service delivery, impacting the overall effectiveness of SDG 3 implementation in the UK.</w:t>
      </w:r>
    </w:p>
    <w:p w14:paraId="7C0E9165" w14:textId="77777777" w:rsidR="001224C3" w:rsidRPr="00F748E2" w:rsidRDefault="001224C3" w:rsidP="00F748E2">
      <w:pPr>
        <w:spacing w:line="360" w:lineRule="auto"/>
        <w:rPr>
          <w:rFonts w:ascii="Arial" w:hAnsi="Arial" w:cs="Arial"/>
          <w:sz w:val="22"/>
        </w:rPr>
      </w:pPr>
    </w:p>
    <w:p w14:paraId="141F44B3" w14:textId="5D8F66A3" w:rsidR="004260F5" w:rsidRPr="00F748E2" w:rsidRDefault="00000000" w:rsidP="00F748E2">
      <w:pPr>
        <w:pStyle w:val="Heading2"/>
        <w:spacing w:line="360" w:lineRule="auto"/>
        <w:rPr>
          <w:rFonts w:ascii="Arial" w:hAnsi="Arial" w:cs="Arial"/>
          <w:sz w:val="22"/>
          <w:szCs w:val="22"/>
        </w:rPr>
      </w:pPr>
      <w:bookmarkStart w:id="5" w:name="_Toc232255361"/>
      <w:r w:rsidRPr="00F748E2">
        <w:rPr>
          <w:rFonts w:ascii="Arial" w:hAnsi="Arial" w:cs="Arial"/>
          <w:sz w:val="22"/>
          <w:szCs w:val="22"/>
        </w:rPr>
        <w:t>Application of Theories/Models</w:t>
      </w:r>
      <w:bookmarkEnd w:id="5"/>
    </w:p>
    <w:p w14:paraId="347F5097" w14:textId="5C066E4A" w:rsidR="00A761A4" w:rsidRPr="00F748E2" w:rsidRDefault="00000000" w:rsidP="00F748E2">
      <w:pPr>
        <w:spacing w:line="360" w:lineRule="auto"/>
        <w:rPr>
          <w:rFonts w:ascii="Arial" w:hAnsi="Arial" w:cs="Arial"/>
          <w:sz w:val="22"/>
        </w:rPr>
      </w:pPr>
      <w:r w:rsidRPr="00F748E2">
        <w:rPr>
          <w:rFonts w:ascii="Arial" w:hAnsi="Arial" w:cs="Arial"/>
          <w:sz w:val="22"/>
        </w:rPr>
        <w:t>The Social Determinants of Health (SDH) model by Dahlgren and Whitehead offers a useful lens in which to examine the inequitable implementation of SDG 3 in the UK and stresses the need for considering a wide range of determinants beyond access to health care. Although the NHS appears universal in its structure, inequalities in health persist due to limited attention on factors upstream in less affluent regions, according to Marmot (2020). This indicates that SDG 3 development is not limited to healthcare interventions, but is just as influenced by wider socio-economic policies (Bala et al., 2025). Much of NHS service delivery is based on a different approach</w:t>
      </w:r>
      <w:r w:rsidR="002D42E7" w:rsidRPr="00F748E2">
        <w:rPr>
          <w:rFonts w:ascii="Arial" w:hAnsi="Arial" w:cs="Arial"/>
          <w:sz w:val="22"/>
        </w:rPr>
        <w:t xml:space="preserve">, </w:t>
      </w:r>
      <w:r w:rsidRPr="00F748E2">
        <w:rPr>
          <w:rFonts w:ascii="Arial" w:hAnsi="Arial" w:cs="Arial"/>
          <w:sz w:val="22"/>
        </w:rPr>
        <w:t>the biomedical one of diagnosis and treatment of disease. Although it has allowed important achievements in clinical management, Barnes et al. (2022) question its ability to solve complex health problems, including mental health and chronic illnesses, which are caused by multiple factors. The social model of health suggests, thus, that integrated, prevention-oriented approaches are needed, and that there is a gap between policy aspiring for such an approach and practice.</w:t>
      </w:r>
    </w:p>
    <w:p w14:paraId="1D5F1963" w14:textId="77777777" w:rsidR="001224C3" w:rsidRPr="00F748E2" w:rsidRDefault="001224C3" w:rsidP="00F748E2">
      <w:pPr>
        <w:spacing w:line="360" w:lineRule="auto"/>
        <w:rPr>
          <w:rFonts w:ascii="Arial" w:hAnsi="Arial" w:cs="Arial"/>
          <w:sz w:val="22"/>
        </w:rPr>
      </w:pPr>
    </w:p>
    <w:p w14:paraId="3EAA0471" w14:textId="07A0E646" w:rsidR="004260F5" w:rsidRPr="00F748E2" w:rsidRDefault="00000000" w:rsidP="00F748E2">
      <w:pPr>
        <w:pStyle w:val="Heading2"/>
        <w:spacing w:line="360" w:lineRule="auto"/>
        <w:rPr>
          <w:rFonts w:ascii="Arial" w:hAnsi="Arial" w:cs="Arial"/>
          <w:sz w:val="22"/>
          <w:szCs w:val="22"/>
        </w:rPr>
      </w:pPr>
      <w:bookmarkStart w:id="6" w:name="_Toc232255362"/>
      <w:r w:rsidRPr="00F748E2">
        <w:rPr>
          <w:rFonts w:ascii="Arial" w:hAnsi="Arial" w:cs="Arial"/>
          <w:sz w:val="22"/>
          <w:szCs w:val="22"/>
        </w:rPr>
        <w:t>Recommendations</w:t>
      </w:r>
      <w:bookmarkEnd w:id="6"/>
    </w:p>
    <w:p w14:paraId="20F962AB" w14:textId="2078CAE8" w:rsidR="00541581" w:rsidRPr="00F748E2" w:rsidRDefault="00000000" w:rsidP="00F748E2">
      <w:pPr>
        <w:spacing w:line="360" w:lineRule="auto"/>
        <w:rPr>
          <w:rFonts w:ascii="Arial" w:hAnsi="Arial" w:cs="Arial"/>
          <w:sz w:val="22"/>
        </w:rPr>
      </w:pPr>
      <w:r w:rsidRPr="00F748E2">
        <w:rPr>
          <w:rFonts w:ascii="Arial" w:hAnsi="Arial" w:cs="Arial"/>
          <w:sz w:val="22"/>
        </w:rPr>
        <w:t>To address the issues identified, a greater focus on prevention and early intervention is needed, especially in disadvantaged communities where health risks are clustered. Holmér et al. (2023) state that shifting resources into primary care and public health may help alleviate pressures in the system in the long run. Regions with the highest inequalities should be targeted in funding strategies as outlined by Marmot (2020): 'proportionate universalism'. Moreover, good health integration with the social care and community services is vital. This is supported by Khatri et al. (2023), who found that coordinated care systems can improve efficiency and equity, but face challenges of continued investment and expansion of their members.</w:t>
      </w:r>
    </w:p>
    <w:p w14:paraId="7D05BE01" w14:textId="77777777" w:rsidR="001224C3" w:rsidRPr="00F748E2" w:rsidRDefault="001224C3" w:rsidP="00F748E2">
      <w:pPr>
        <w:spacing w:line="360" w:lineRule="auto"/>
        <w:rPr>
          <w:rFonts w:ascii="Arial" w:hAnsi="Arial" w:cs="Arial"/>
          <w:sz w:val="22"/>
        </w:rPr>
      </w:pPr>
    </w:p>
    <w:p w14:paraId="1B792D4F" w14:textId="3B104168" w:rsidR="004260F5" w:rsidRPr="00F748E2" w:rsidRDefault="00000000" w:rsidP="00F748E2">
      <w:pPr>
        <w:pStyle w:val="Heading1"/>
        <w:spacing w:line="360" w:lineRule="auto"/>
        <w:rPr>
          <w:rFonts w:ascii="Arial" w:hAnsi="Arial" w:cs="Arial"/>
          <w:b w:val="0"/>
          <w:bCs/>
          <w:sz w:val="22"/>
          <w:szCs w:val="22"/>
        </w:rPr>
      </w:pPr>
      <w:bookmarkStart w:id="7" w:name="_Toc232255363"/>
      <w:r w:rsidRPr="00F748E2">
        <w:rPr>
          <w:rFonts w:ascii="Arial" w:hAnsi="Arial" w:cs="Arial"/>
          <w:b w:val="0"/>
          <w:bCs/>
          <w:sz w:val="22"/>
          <w:szCs w:val="22"/>
        </w:rPr>
        <w:lastRenderedPageBreak/>
        <w:t>Section 2: SDG 4 – Quality Education</w:t>
      </w:r>
      <w:bookmarkEnd w:id="7"/>
    </w:p>
    <w:p w14:paraId="490861E1" w14:textId="34C65CAB" w:rsidR="004260F5" w:rsidRPr="00F748E2" w:rsidRDefault="00000000" w:rsidP="00F748E2">
      <w:pPr>
        <w:pStyle w:val="Heading2"/>
        <w:spacing w:line="360" w:lineRule="auto"/>
        <w:rPr>
          <w:rFonts w:ascii="Arial" w:hAnsi="Arial" w:cs="Arial"/>
          <w:sz w:val="22"/>
          <w:szCs w:val="22"/>
        </w:rPr>
      </w:pPr>
      <w:bookmarkStart w:id="8" w:name="_Toc232255364"/>
      <w:r w:rsidRPr="00F748E2">
        <w:rPr>
          <w:rFonts w:ascii="Arial" w:hAnsi="Arial" w:cs="Arial"/>
          <w:sz w:val="22"/>
          <w:szCs w:val="22"/>
        </w:rPr>
        <w:t>Overview of SDG 4</w:t>
      </w:r>
      <w:bookmarkEnd w:id="8"/>
    </w:p>
    <w:p w14:paraId="6D718673" w14:textId="3067C1E2" w:rsidR="00541581" w:rsidRPr="00F748E2" w:rsidRDefault="00000000" w:rsidP="00F748E2">
      <w:pPr>
        <w:spacing w:line="360" w:lineRule="auto"/>
        <w:rPr>
          <w:rFonts w:ascii="Arial" w:hAnsi="Arial" w:cs="Arial"/>
          <w:sz w:val="22"/>
        </w:rPr>
      </w:pPr>
      <w:r w:rsidRPr="00F748E2">
        <w:rPr>
          <w:rFonts w:ascii="Arial" w:hAnsi="Arial" w:cs="Arial"/>
          <w:sz w:val="22"/>
        </w:rPr>
        <w:t>SDG 4 is dedicated to "ensure inclusive and equitable quality education and promote lifelong learning opportunities for all", which includes goals related to access to primary and secondary education, to improve learning outcomes, and to ensure equal access to affordable quality higher education (United Nations, 2015). Education is important for social determinants of health, as it affects health literacy, job opportunities and health in general. Huang et al. (2025) contend that there is a strong relationship between educational attainment and healthiest behaviours, as well as longer life expectancy. In the UK, inequalities in access and attainment to education persist and correlate with social and economic inequalities in health outcomes.</w:t>
      </w:r>
    </w:p>
    <w:p w14:paraId="08E46E12" w14:textId="77777777" w:rsidR="003F3838" w:rsidRPr="00F748E2" w:rsidRDefault="003F3838" w:rsidP="00F748E2">
      <w:pPr>
        <w:spacing w:line="360" w:lineRule="auto"/>
        <w:rPr>
          <w:rFonts w:ascii="Arial" w:hAnsi="Arial" w:cs="Arial"/>
          <w:sz w:val="22"/>
        </w:rPr>
      </w:pPr>
    </w:p>
    <w:p w14:paraId="7FD43F04" w14:textId="50175202" w:rsidR="004260F5" w:rsidRPr="00F748E2" w:rsidRDefault="00000000" w:rsidP="00F748E2">
      <w:pPr>
        <w:pStyle w:val="Heading2"/>
        <w:spacing w:line="360" w:lineRule="auto"/>
        <w:rPr>
          <w:rFonts w:ascii="Arial" w:hAnsi="Arial" w:cs="Arial"/>
          <w:sz w:val="22"/>
          <w:szCs w:val="22"/>
        </w:rPr>
      </w:pPr>
      <w:bookmarkStart w:id="9" w:name="_Toc232255365"/>
      <w:r w:rsidRPr="00F748E2">
        <w:rPr>
          <w:rFonts w:ascii="Arial" w:hAnsi="Arial" w:cs="Arial"/>
          <w:sz w:val="22"/>
          <w:szCs w:val="22"/>
        </w:rPr>
        <w:t>Critical Evaluation of Global Policies/Initiatives</w:t>
      </w:r>
      <w:bookmarkEnd w:id="9"/>
    </w:p>
    <w:p w14:paraId="58E94E15" w14:textId="6B6A62D5" w:rsidR="00541581" w:rsidRPr="00F748E2" w:rsidRDefault="00000000" w:rsidP="00F748E2">
      <w:pPr>
        <w:spacing w:line="360" w:lineRule="auto"/>
        <w:rPr>
          <w:rFonts w:ascii="Arial" w:hAnsi="Arial" w:cs="Arial"/>
          <w:sz w:val="22"/>
        </w:rPr>
      </w:pPr>
      <w:r w:rsidRPr="00F748E2">
        <w:rPr>
          <w:rFonts w:ascii="Arial" w:hAnsi="Arial" w:cs="Arial"/>
          <w:sz w:val="22"/>
        </w:rPr>
        <w:t>The UNESCO Education 2030 Framework and the Global Partnership for Education (GPE) have been major contributors in advancing SDG 4 by fostering inclusive, equitable, and quality education systems globally. The Education 2030 Framework set ambitious global goals and monitoring and accountability systems, which boosted enrolment rates and aligned policies between countries (Öztemur et al., 2024). GPE has also raised funds and encouraged international partnerships, including to help support low and middle-income countries build a stronger education sector.</w:t>
      </w:r>
    </w:p>
    <w:p w14:paraId="3DBD1471" w14:textId="5A28300A" w:rsidR="006B26B7" w:rsidRPr="00F748E2" w:rsidRDefault="00000000" w:rsidP="00F748E2">
      <w:pPr>
        <w:spacing w:line="360" w:lineRule="auto"/>
        <w:rPr>
          <w:rFonts w:ascii="Arial" w:hAnsi="Arial" w:cs="Arial"/>
          <w:sz w:val="22"/>
          <w:highlight w:val="yellow"/>
        </w:rPr>
      </w:pPr>
      <w:r w:rsidRPr="00F748E2">
        <w:rPr>
          <w:rFonts w:ascii="Arial" w:hAnsi="Arial" w:cs="Arial"/>
          <w:sz w:val="22"/>
        </w:rPr>
        <w:t>This is confirmed by Wagner et al. (2022), who note that such partnerships have enhanced access to basic education for the marginalised. Mishra et al. (2023), however, challenge the progress, citing the fact that there are still inequalities based on socio-economic status, gender and geography. The COVID-19 situation further highlighted inequities in access to remote learning, including for children from disadvantaged backgrounds. Furthermore, gaps in funding hinder the sustainability of global education efforts that have a limited impact. Consequently, such frameworks have made strides in increasing access and establishing standards, but suffer from structural inequalities and non-uniform application in contexts.</w:t>
      </w:r>
    </w:p>
    <w:p w14:paraId="4EF87619" w14:textId="77777777" w:rsidR="003F3838" w:rsidRPr="00F748E2" w:rsidRDefault="003F3838" w:rsidP="00F748E2">
      <w:pPr>
        <w:spacing w:line="360" w:lineRule="auto"/>
        <w:rPr>
          <w:rFonts w:ascii="Arial" w:hAnsi="Arial" w:cs="Arial"/>
          <w:sz w:val="22"/>
        </w:rPr>
      </w:pPr>
    </w:p>
    <w:p w14:paraId="70BF153C" w14:textId="27767667" w:rsidR="004260F5" w:rsidRPr="00F748E2" w:rsidRDefault="00000000" w:rsidP="00F748E2">
      <w:pPr>
        <w:pStyle w:val="Heading2"/>
        <w:spacing w:line="360" w:lineRule="auto"/>
        <w:rPr>
          <w:rFonts w:ascii="Arial" w:hAnsi="Arial" w:cs="Arial"/>
          <w:sz w:val="22"/>
          <w:szCs w:val="22"/>
        </w:rPr>
      </w:pPr>
      <w:bookmarkStart w:id="10" w:name="_Toc232255366"/>
      <w:r w:rsidRPr="00F748E2">
        <w:rPr>
          <w:rFonts w:ascii="Arial" w:hAnsi="Arial" w:cs="Arial"/>
          <w:sz w:val="22"/>
          <w:szCs w:val="22"/>
        </w:rPr>
        <w:lastRenderedPageBreak/>
        <w:t>Critical Evaluation of UK National and Local Examples</w:t>
      </w:r>
      <w:bookmarkEnd w:id="10"/>
    </w:p>
    <w:p w14:paraId="6BC28482" w14:textId="5DE222F1" w:rsidR="006B26B7" w:rsidRPr="00F748E2" w:rsidRDefault="00000000" w:rsidP="00F748E2">
      <w:pPr>
        <w:spacing w:line="360" w:lineRule="auto"/>
        <w:rPr>
          <w:rFonts w:ascii="Arial" w:hAnsi="Arial" w:cs="Arial"/>
          <w:sz w:val="22"/>
        </w:rPr>
      </w:pPr>
      <w:r w:rsidRPr="00F748E2">
        <w:rPr>
          <w:rFonts w:ascii="Arial" w:hAnsi="Arial" w:cs="Arial"/>
          <w:sz w:val="22"/>
        </w:rPr>
        <w:t>Department for Education (DfE) policies at a national level provide focused interventions to tackle attainment gaps and learning loss from the pandemic. Riordan et al. (2025) suggest that the Pupil Premium has been constrained by the variable scale and implementation of the funding to disadvantaged pupils, with insufficient funding levels when compared to need. Likewise, Ofsted's inspection framework and reforms to the national curriculum are designed to bring about quality and accountability, but the changes are criticised by Fitrianto (2025), who notes that high-stakes inspections focus on measurable achievements rather than student wellbeing. The policies signal some commitment to SDG 4, although substantial socio-economic and ethnic attainment gaps suggest that structural inequities are not being sufficiently addressed.</w:t>
      </w:r>
    </w:p>
    <w:p w14:paraId="322B1062" w14:textId="3E419E9F" w:rsidR="003F3838" w:rsidRPr="00F748E2" w:rsidRDefault="00000000" w:rsidP="00F748E2">
      <w:pPr>
        <w:spacing w:line="360" w:lineRule="auto"/>
        <w:rPr>
          <w:rFonts w:ascii="Arial" w:hAnsi="Arial" w:cs="Arial"/>
          <w:sz w:val="22"/>
        </w:rPr>
      </w:pPr>
      <w:r w:rsidRPr="00F748E2">
        <w:rPr>
          <w:rFonts w:ascii="Arial" w:hAnsi="Arial" w:cs="Arial"/>
          <w:sz w:val="22"/>
        </w:rPr>
        <w:t>Local measures, including Mental Health Support Teams (MHSTs) within schools and University-led widening participation programmes, seek to enhance access to education and wellbeing. These findings corroborate the effectiveness of school-based mental health interventions as suggested by Adindu et al. (2025) for early identification and intervention. Their coverage, however, is uneven Sambrook et al. (2025) demonstrated that not all schools have MHSTs. Additionally, the National Tutoring Programme (NTP), which was launched to address COVID-19 learning loss, has been criticised for low participation and logistical issues. During school closures, Golden et al. (2023) assert that the digital divide adversely impacted disadvantaged learners, exacerbating the inequality that already existed. The national and regional plans are therefore promising but limited as there is a lack of funding, regional differences and variable delivery.</w:t>
      </w:r>
    </w:p>
    <w:p w14:paraId="38A44B93" w14:textId="77777777" w:rsidR="006B26B7" w:rsidRPr="00F748E2" w:rsidRDefault="006B26B7" w:rsidP="00F748E2">
      <w:pPr>
        <w:spacing w:line="360" w:lineRule="auto"/>
        <w:rPr>
          <w:rFonts w:ascii="Arial" w:hAnsi="Arial" w:cs="Arial"/>
          <w:sz w:val="22"/>
        </w:rPr>
      </w:pPr>
    </w:p>
    <w:p w14:paraId="6B5B4002" w14:textId="000F6987" w:rsidR="007B174E" w:rsidRPr="00F748E2" w:rsidRDefault="00000000" w:rsidP="00F748E2">
      <w:pPr>
        <w:pStyle w:val="Heading2"/>
        <w:spacing w:line="360" w:lineRule="auto"/>
        <w:rPr>
          <w:rFonts w:ascii="Arial" w:hAnsi="Arial" w:cs="Arial"/>
          <w:sz w:val="22"/>
          <w:szCs w:val="22"/>
        </w:rPr>
      </w:pPr>
      <w:bookmarkStart w:id="11" w:name="_Toc232255367"/>
      <w:r w:rsidRPr="00F748E2">
        <w:rPr>
          <w:rFonts w:ascii="Arial" w:hAnsi="Arial" w:cs="Arial"/>
          <w:sz w:val="22"/>
          <w:szCs w:val="22"/>
        </w:rPr>
        <w:t>Application of Theories/Models</w:t>
      </w:r>
      <w:bookmarkEnd w:id="11"/>
    </w:p>
    <w:p w14:paraId="5A721FA1" w14:textId="2B61537C" w:rsidR="006B26B7" w:rsidRPr="00F748E2" w:rsidRDefault="00000000" w:rsidP="00F748E2">
      <w:pPr>
        <w:spacing w:line="360" w:lineRule="auto"/>
        <w:rPr>
          <w:rFonts w:ascii="Arial" w:hAnsi="Arial" w:cs="Arial"/>
          <w:sz w:val="22"/>
        </w:rPr>
      </w:pPr>
      <w:r w:rsidRPr="00F748E2">
        <w:rPr>
          <w:rFonts w:ascii="Arial" w:hAnsi="Arial" w:cs="Arial"/>
          <w:sz w:val="22"/>
        </w:rPr>
        <w:t xml:space="preserve">Education is regarded as a major determinant that affects the Social Determinants of Health (SDH), thereby impacting long-term wellbeing, within the SDH framework. In the UK, inequalities in education are directly related to inequalities in health, with lower attainment associated with poorer health outcomes and shorter life expectancy (Marmot 2020). This reinforces the notion that restrictions on SDG 4 implementation have an impact on the overall public health agenda. According to Human Capital Theory, education investments also boost individual productivity and economic potential, which leads to better living conditions and health </w:t>
      </w:r>
      <w:r w:rsidRPr="00F748E2">
        <w:rPr>
          <w:rFonts w:ascii="Arial" w:hAnsi="Arial" w:cs="Arial"/>
          <w:sz w:val="22"/>
        </w:rPr>
        <w:lastRenderedPageBreak/>
        <w:t>resources, indirectly benefiting health. (Moodie and Wheelahan, 2023) This view, however, has been challenged as there is the assumption of equal returns from education, and Jaeger (2022) claims that social and cultural capital shape educational outcomes, with the disadvantaged group gaining less despite the same kind of interventions. These models therefore emphasise that health outcomes in the UK cannot be completely addressed by education policies alone if they are not targeted at structural inequalities.</w:t>
      </w:r>
    </w:p>
    <w:p w14:paraId="22A75300" w14:textId="77777777" w:rsidR="007B174E" w:rsidRPr="00F748E2" w:rsidRDefault="007B174E" w:rsidP="00F748E2">
      <w:pPr>
        <w:spacing w:line="360" w:lineRule="auto"/>
        <w:rPr>
          <w:rFonts w:ascii="Arial" w:hAnsi="Arial" w:cs="Arial"/>
          <w:sz w:val="22"/>
        </w:rPr>
      </w:pPr>
    </w:p>
    <w:p w14:paraId="47AF5522" w14:textId="7DB2D7F1" w:rsidR="004260F5" w:rsidRPr="00F748E2" w:rsidRDefault="00000000" w:rsidP="00F748E2">
      <w:pPr>
        <w:pStyle w:val="Heading2"/>
        <w:spacing w:line="360" w:lineRule="auto"/>
        <w:rPr>
          <w:rFonts w:ascii="Arial" w:hAnsi="Arial" w:cs="Arial"/>
          <w:sz w:val="22"/>
          <w:szCs w:val="22"/>
        </w:rPr>
      </w:pPr>
      <w:bookmarkStart w:id="12" w:name="_Toc232255368"/>
      <w:r w:rsidRPr="00F748E2">
        <w:rPr>
          <w:rFonts w:ascii="Arial" w:hAnsi="Arial" w:cs="Arial"/>
          <w:sz w:val="22"/>
          <w:szCs w:val="22"/>
        </w:rPr>
        <w:t>Recommendations</w:t>
      </w:r>
      <w:bookmarkEnd w:id="12"/>
    </w:p>
    <w:p w14:paraId="7568851A" w14:textId="4DD8F3F6" w:rsidR="008241DD" w:rsidRPr="00F748E2" w:rsidRDefault="00000000" w:rsidP="00F748E2">
      <w:pPr>
        <w:spacing w:line="360" w:lineRule="auto"/>
        <w:rPr>
          <w:rFonts w:ascii="Arial" w:hAnsi="Arial" w:cs="Arial"/>
          <w:sz w:val="22"/>
        </w:rPr>
      </w:pPr>
      <w:r w:rsidRPr="00F748E2">
        <w:rPr>
          <w:rFonts w:ascii="Arial" w:hAnsi="Arial" w:cs="Arial"/>
          <w:sz w:val="22"/>
        </w:rPr>
        <w:t>Expanding and strengthening programmes like Pupil Premium and a targeted and sustained investment in disadvantaged areas will be crucial to closing attainment gaps. The importance of ECE should be underscored, as Solang et al. (2024) state that early interventions in education and health are most optimal in the long run. Moreover, there is a need to incorporate comprehensive mental health support in schools. The findings of Ramey and Ramey (2023) support this approach, demonstrating improved well-being through early intervention. However, as previously commented, a consistent national level and sufficient funding are essential for meaningful and equitable impact.</w:t>
      </w:r>
    </w:p>
    <w:p w14:paraId="183295D8" w14:textId="77777777" w:rsidR="007B174E" w:rsidRPr="00F748E2" w:rsidRDefault="007B174E" w:rsidP="00F748E2">
      <w:pPr>
        <w:spacing w:line="360" w:lineRule="auto"/>
        <w:rPr>
          <w:rFonts w:ascii="Arial" w:hAnsi="Arial" w:cs="Arial"/>
          <w:bCs/>
          <w:sz w:val="22"/>
        </w:rPr>
      </w:pPr>
    </w:p>
    <w:p w14:paraId="44AAAC0E" w14:textId="49E76595" w:rsidR="004260F5" w:rsidRPr="00F748E2" w:rsidRDefault="00000000" w:rsidP="00F748E2">
      <w:pPr>
        <w:pStyle w:val="Heading1"/>
        <w:spacing w:line="360" w:lineRule="auto"/>
        <w:rPr>
          <w:rFonts w:ascii="Arial" w:hAnsi="Arial" w:cs="Arial"/>
          <w:b w:val="0"/>
          <w:bCs/>
          <w:sz w:val="22"/>
          <w:szCs w:val="22"/>
        </w:rPr>
      </w:pPr>
      <w:bookmarkStart w:id="13" w:name="_Toc232255369"/>
      <w:r w:rsidRPr="00F748E2">
        <w:rPr>
          <w:rFonts w:ascii="Arial" w:hAnsi="Arial" w:cs="Arial"/>
          <w:b w:val="0"/>
          <w:bCs/>
          <w:sz w:val="22"/>
          <w:szCs w:val="22"/>
        </w:rPr>
        <w:t>Conclusion</w:t>
      </w:r>
      <w:bookmarkEnd w:id="13"/>
    </w:p>
    <w:p w14:paraId="26C60DD9" w14:textId="423D4251" w:rsidR="003A0BD5" w:rsidRPr="00F748E2" w:rsidRDefault="00000000" w:rsidP="00F748E2">
      <w:pPr>
        <w:spacing w:line="360" w:lineRule="auto"/>
        <w:rPr>
          <w:rFonts w:ascii="Arial" w:hAnsi="Arial" w:cs="Arial"/>
          <w:sz w:val="22"/>
          <w:highlight w:val="yellow"/>
        </w:rPr>
      </w:pPr>
      <w:r w:rsidRPr="00F748E2">
        <w:rPr>
          <w:rFonts w:ascii="Arial" w:hAnsi="Arial" w:cs="Arial"/>
          <w:sz w:val="22"/>
        </w:rPr>
        <w:t>T</w:t>
      </w:r>
      <w:r w:rsidR="00B20552" w:rsidRPr="00F748E2">
        <w:rPr>
          <w:rFonts w:ascii="Arial" w:hAnsi="Arial" w:cs="Arial"/>
          <w:sz w:val="22"/>
        </w:rPr>
        <w:t>his report has highlighted that SDG 3 is vital to improving health systems in the UK by supporting the promotion of prevention, access to care, and integrated care</w:t>
      </w:r>
      <w:r w:rsidR="00C4543D">
        <w:rPr>
          <w:rFonts w:ascii="Arial" w:hAnsi="Arial" w:cs="Arial"/>
          <w:sz w:val="22"/>
        </w:rPr>
        <w:t xml:space="preserve"> </w:t>
      </w:r>
      <w:r w:rsidR="00B20552" w:rsidRPr="00F748E2">
        <w:rPr>
          <w:rFonts w:ascii="Arial" w:hAnsi="Arial" w:cs="Arial"/>
          <w:sz w:val="22"/>
        </w:rPr>
        <w:t>however, continued health inequality, regional variation, and resource limitations are the barriers. Likewise, SDG 4 has an important long</w:t>
      </w:r>
      <w:r w:rsidR="000746CC">
        <w:rPr>
          <w:rFonts w:ascii="Arial" w:hAnsi="Arial" w:cs="Arial"/>
          <w:sz w:val="22"/>
        </w:rPr>
        <w:t xml:space="preserve"> </w:t>
      </w:r>
      <w:r w:rsidR="00B20552" w:rsidRPr="00F748E2">
        <w:rPr>
          <w:rFonts w:ascii="Arial" w:hAnsi="Arial" w:cs="Arial"/>
          <w:sz w:val="22"/>
        </w:rPr>
        <w:t>term impact on health and wellbeing with its focus on improved access, attainment, and health literacy within education, but socio-economic and ethnic inequities continue, and post</w:t>
      </w:r>
      <w:r w:rsidR="00A8018A">
        <w:rPr>
          <w:rFonts w:ascii="Arial" w:hAnsi="Arial" w:cs="Arial"/>
          <w:sz w:val="22"/>
        </w:rPr>
        <w:t xml:space="preserve"> </w:t>
      </w:r>
      <w:r w:rsidR="00B20552" w:rsidRPr="00F748E2">
        <w:rPr>
          <w:rFonts w:ascii="Arial" w:hAnsi="Arial" w:cs="Arial"/>
          <w:sz w:val="22"/>
        </w:rPr>
        <w:t>pandemic shifts have reduced its overall impact. The analysis highlights a strong interconnection between the two goals, as education enhances individuals' ability to make informed health decisions, while good health is essential for effective learning and academic achievement</w:t>
      </w:r>
      <w:r w:rsidR="008047CC" w:rsidRPr="00F748E2">
        <w:rPr>
          <w:rFonts w:ascii="Arial" w:hAnsi="Arial" w:cs="Arial"/>
          <w:sz w:val="22"/>
        </w:rPr>
        <w:t xml:space="preserve">. </w:t>
      </w:r>
      <w:r w:rsidR="00E87F4A" w:rsidRPr="00F748E2">
        <w:rPr>
          <w:rFonts w:ascii="Arial" w:hAnsi="Arial" w:cs="Arial"/>
          <w:sz w:val="22"/>
        </w:rPr>
        <w:t xml:space="preserve">Both SDGs have contributed to the implementation of key policies in the UK, albeit not completely and equitably, as a result of the structural disparities and their implementation gaps. There is a need for policy integration that brings together health and education policies and continued investment in communities and properties that are disadvantaged. To make a difference, the causes of inequality need to be addressed. In the </w:t>
      </w:r>
      <w:r w:rsidR="00E87F4A" w:rsidRPr="00F748E2">
        <w:rPr>
          <w:rFonts w:ascii="Arial" w:hAnsi="Arial" w:cs="Arial"/>
          <w:sz w:val="22"/>
        </w:rPr>
        <w:lastRenderedPageBreak/>
        <w:t>future, sustainable development in the UK is going to be driven by coordinated and equity</w:t>
      </w:r>
      <w:r w:rsidR="00291483">
        <w:rPr>
          <w:rFonts w:ascii="Arial" w:hAnsi="Arial" w:cs="Arial"/>
          <w:sz w:val="22"/>
        </w:rPr>
        <w:t xml:space="preserve"> </w:t>
      </w:r>
      <w:r w:rsidR="00E87F4A" w:rsidRPr="00F748E2">
        <w:rPr>
          <w:rFonts w:ascii="Arial" w:hAnsi="Arial" w:cs="Arial"/>
          <w:sz w:val="22"/>
        </w:rPr>
        <w:t>focused interventions that link policy intent with lived experience.</w:t>
      </w:r>
    </w:p>
    <w:p w14:paraId="633CC733" w14:textId="77777777" w:rsidR="00B20552" w:rsidRPr="00F748E2" w:rsidRDefault="00B20552" w:rsidP="00F748E2">
      <w:pPr>
        <w:spacing w:line="360" w:lineRule="auto"/>
        <w:rPr>
          <w:rFonts w:ascii="Arial" w:hAnsi="Arial" w:cs="Arial"/>
          <w:sz w:val="22"/>
        </w:rPr>
      </w:pPr>
    </w:p>
    <w:p w14:paraId="0ED21FA6" w14:textId="2E14D489" w:rsidR="003A0BD5" w:rsidRPr="00F748E2" w:rsidRDefault="00000000" w:rsidP="00F748E2">
      <w:pPr>
        <w:spacing w:line="360" w:lineRule="auto"/>
        <w:rPr>
          <w:rFonts w:ascii="Arial" w:hAnsi="Arial" w:cs="Arial"/>
          <w:sz w:val="22"/>
        </w:rPr>
      </w:pPr>
      <w:r w:rsidRPr="00F748E2">
        <w:rPr>
          <w:rFonts w:ascii="Arial" w:hAnsi="Arial" w:cs="Arial"/>
          <w:sz w:val="22"/>
        </w:rPr>
        <w:br w:type="page"/>
      </w:r>
    </w:p>
    <w:p w14:paraId="702A4C35" w14:textId="2BE897D7" w:rsidR="003A0BD5" w:rsidRPr="00F748E2" w:rsidRDefault="00000000" w:rsidP="00F748E2">
      <w:pPr>
        <w:pStyle w:val="Heading1"/>
        <w:spacing w:line="360" w:lineRule="auto"/>
        <w:rPr>
          <w:rFonts w:ascii="Arial" w:hAnsi="Arial" w:cs="Arial"/>
          <w:sz w:val="22"/>
          <w:szCs w:val="22"/>
        </w:rPr>
      </w:pPr>
      <w:bookmarkStart w:id="14" w:name="_Toc232255370"/>
      <w:r w:rsidRPr="00F748E2">
        <w:rPr>
          <w:rFonts w:ascii="Arial" w:hAnsi="Arial" w:cs="Arial"/>
          <w:sz w:val="22"/>
          <w:szCs w:val="22"/>
        </w:rPr>
        <w:lastRenderedPageBreak/>
        <w:t>References</w:t>
      </w:r>
      <w:bookmarkEnd w:id="14"/>
    </w:p>
    <w:p w14:paraId="465AB5D1" w14:textId="5322F7DB"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Adindu, K.N., Ameh, E.O., Anadu, J.U., Akubue, N., Onakoya, A., Ajah, O.N., Anthony, E.B., Chukwunonye, C., Opawale, O., Ayodele10, I.M. and Okoawoh11, A.I., </w:t>
      </w:r>
      <w:r w:rsidR="00A70DC9" w:rsidRPr="00F748E2">
        <w:rPr>
          <w:rFonts w:ascii="Arial" w:hAnsi="Arial" w:cs="Arial"/>
          <w:sz w:val="22"/>
          <w:shd w:val="clear" w:color="auto" w:fill="FFFFFF"/>
        </w:rPr>
        <w:t>(</w:t>
      </w:r>
      <w:r w:rsidRPr="00F748E2">
        <w:rPr>
          <w:rFonts w:ascii="Arial" w:hAnsi="Arial" w:cs="Arial"/>
          <w:sz w:val="22"/>
          <w:shd w:val="clear" w:color="auto" w:fill="FFFFFF"/>
        </w:rPr>
        <w:t>2025</w:t>
      </w:r>
      <w:r w:rsidR="00A70DC9" w:rsidRPr="00F748E2">
        <w:rPr>
          <w:rFonts w:ascii="Arial" w:hAnsi="Arial" w:cs="Arial"/>
          <w:sz w:val="22"/>
          <w:shd w:val="clear" w:color="auto" w:fill="FFFFFF"/>
        </w:rPr>
        <w:t>)</w:t>
      </w:r>
      <w:r w:rsidRPr="00F748E2">
        <w:rPr>
          <w:rFonts w:ascii="Arial" w:hAnsi="Arial" w:cs="Arial"/>
          <w:sz w:val="22"/>
          <w:shd w:val="clear" w:color="auto" w:fill="FFFFFF"/>
        </w:rPr>
        <w:t>. Early Detection and Intervention for Adolescent Mental Health Disorders: Evaluating the Effectiveness of School Mental Health Leads vs. Nhs Child and Adolescent Mental Health Services (Camhs).</w:t>
      </w:r>
    </w:p>
    <w:p w14:paraId="20FDE92C" w14:textId="23935554"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Atalay, K., Edwards, R. and Georgiakakis, F., </w:t>
      </w:r>
      <w:r w:rsidR="00A70DC9" w:rsidRPr="00F748E2">
        <w:rPr>
          <w:rFonts w:ascii="Arial" w:hAnsi="Arial" w:cs="Arial"/>
          <w:sz w:val="22"/>
          <w:shd w:val="clear" w:color="auto" w:fill="FFFFFF"/>
        </w:rPr>
        <w:t>(</w:t>
      </w:r>
      <w:r w:rsidRPr="00F748E2">
        <w:rPr>
          <w:rFonts w:ascii="Arial" w:hAnsi="Arial" w:cs="Arial"/>
          <w:sz w:val="22"/>
          <w:shd w:val="clear" w:color="auto" w:fill="FFFFFF"/>
        </w:rPr>
        <w:t>2023</w:t>
      </w:r>
      <w:r w:rsidR="00A70DC9" w:rsidRPr="00F748E2">
        <w:rPr>
          <w:rFonts w:ascii="Arial" w:hAnsi="Arial" w:cs="Arial"/>
          <w:sz w:val="22"/>
          <w:shd w:val="clear" w:color="auto" w:fill="FFFFFF"/>
        </w:rPr>
        <w:t>)</w:t>
      </w:r>
      <w:r w:rsidRPr="00F748E2">
        <w:rPr>
          <w:rFonts w:ascii="Arial" w:hAnsi="Arial" w:cs="Arial"/>
          <w:sz w:val="22"/>
          <w:shd w:val="clear" w:color="auto" w:fill="FFFFFF"/>
        </w:rPr>
        <w:t>. Mortality inequality, spatial differences and health care access. </w:t>
      </w:r>
      <w:r w:rsidRPr="00F748E2">
        <w:rPr>
          <w:rFonts w:ascii="Arial" w:hAnsi="Arial" w:cs="Arial"/>
          <w:i/>
          <w:iCs/>
          <w:sz w:val="22"/>
          <w:shd w:val="clear" w:color="auto" w:fill="FFFFFF"/>
        </w:rPr>
        <w:t>Health Economics</w:t>
      </w:r>
      <w:r w:rsidRPr="00F748E2">
        <w:rPr>
          <w:rFonts w:ascii="Arial" w:hAnsi="Arial" w:cs="Arial"/>
          <w:sz w:val="22"/>
          <w:shd w:val="clear" w:color="auto" w:fill="FFFFFF"/>
        </w:rPr>
        <w:t>, </w:t>
      </w:r>
      <w:r w:rsidRPr="00F748E2">
        <w:rPr>
          <w:rFonts w:ascii="Arial" w:hAnsi="Arial" w:cs="Arial"/>
          <w:i/>
          <w:iCs/>
          <w:sz w:val="22"/>
          <w:shd w:val="clear" w:color="auto" w:fill="FFFFFF"/>
        </w:rPr>
        <w:t>32</w:t>
      </w:r>
      <w:r w:rsidRPr="00F748E2">
        <w:rPr>
          <w:rFonts w:ascii="Arial" w:hAnsi="Arial" w:cs="Arial"/>
          <w:sz w:val="22"/>
          <w:shd w:val="clear" w:color="auto" w:fill="FFFFFF"/>
        </w:rPr>
        <w:t>(11), pp.2632-2654.</w:t>
      </w:r>
    </w:p>
    <w:p w14:paraId="47E6F315" w14:textId="58AEEA02"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Bala, H., Shaheen, R., Cura, F., Yola, A.T. and Khatoon, G., </w:t>
      </w:r>
      <w:r w:rsidR="00A70DC9" w:rsidRPr="00F748E2">
        <w:rPr>
          <w:rFonts w:ascii="Arial" w:hAnsi="Arial" w:cs="Arial"/>
          <w:sz w:val="22"/>
          <w:shd w:val="clear" w:color="auto" w:fill="FFFFFF"/>
        </w:rPr>
        <w:t>(</w:t>
      </w:r>
      <w:r w:rsidRPr="00F748E2">
        <w:rPr>
          <w:rFonts w:ascii="Arial" w:hAnsi="Arial" w:cs="Arial"/>
          <w:sz w:val="22"/>
          <w:shd w:val="clear" w:color="auto" w:fill="FFFFFF"/>
        </w:rPr>
        <w:t>2025</w:t>
      </w:r>
      <w:r w:rsidR="00A70DC9" w:rsidRPr="00F748E2">
        <w:rPr>
          <w:rFonts w:ascii="Arial" w:hAnsi="Arial" w:cs="Arial"/>
          <w:sz w:val="22"/>
          <w:shd w:val="clear" w:color="auto" w:fill="FFFFFF"/>
        </w:rPr>
        <w:t>)</w:t>
      </w:r>
      <w:r w:rsidRPr="00F748E2">
        <w:rPr>
          <w:rFonts w:ascii="Arial" w:hAnsi="Arial" w:cs="Arial"/>
          <w:sz w:val="22"/>
          <w:shd w:val="clear" w:color="auto" w:fill="FFFFFF"/>
        </w:rPr>
        <w:t>. Examining goal 3 of the sustainable development agenda: socio-demographic vs. macroeconomic influences on health and social well-being. </w:t>
      </w:r>
      <w:r w:rsidRPr="00F748E2">
        <w:rPr>
          <w:rFonts w:ascii="Arial" w:hAnsi="Arial" w:cs="Arial"/>
          <w:i/>
          <w:iCs/>
          <w:sz w:val="22"/>
          <w:shd w:val="clear" w:color="auto" w:fill="FFFFFF"/>
        </w:rPr>
        <w:t>Environment, Development and Sustainability</w:t>
      </w:r>
      <w:r w:rsidRPr="00F748E2">
        <w:rPr>
          <w:rFonts w:ascii="Arial" w:hAnsi="Arial" w:cs="Arial"/>
          <w:sz w:val="22"/>
          <w:shd w:val="clear" w:color="auto" w:fill="FFFFFF"/>
        </w:rPr>
        <w:t>, pp.1-29.</w:t>
      </w:r>
    </w:p>
    <w:p w14:paraId="02084C04" w14:textId="3BDBDD67"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Banatvala, N., Akselrod, S., Bovet, P. and Mendis, S., </w:t>
      </w:r>
      <w:r w:rsidR="00A70DC9" w:rsidRPr="00F748E2">
        <w:rPr>
          <w:rFonts w:ascii="Arial" w:hAnsi="Arial" w:cs="Arial"/>
          <w:sz w:val="22"/>
          <w:shd w:val="clear" w:color="auto" w:fill="FFFFFF"/>
        </w:rPr>
        <w:t>(</w:t>
      </w:r>
      <w:r w:rsidRPr="00F748E2">
        <w:rPr>
          <w:rFonts w:ascii="Arial" w:hAnsi="Arial" w:cs="Arial"/>
          <w:sz w:val="22"/>
          <w:shd w:val="clear" w:color="auto" w:fill="FFFFFF"/>
        </w:rPr>
        <w:t>2023</w:t>
      </w:r>
      <w:r w:rsidR="00A70DC9" w:rsidRPr="00F748E2">
        <w:rPr>
          <w:rFonts w:ascii="Arial" w:hAnsi="Arial" w:cs="Arial"/>
          <w:sz w:val="22"/>
          <w:shd w:val="clear" w:color="auto" w:fill="FFFFFF"/>
        </w:rPr>
        <w:t>)</w:t>
      </w:r>
      <w:r w:rsidRPr="00F748E2">
        <w:rPr>
          <w:rFonts w:ascii="Arial" w:hAnsi="Arial" w:cs="Arial"/>
          <w:sz w:val="22"/>
          <w:shd w:val="clear" w:color="auto" w:fill="FFFFFF"/>
        </w:rPr>
        <w:t>. The WHO global action plan for the prevention and control of NCDs 2013–2030. In </w:t>
      </w:r>
      <w:r w:rsidRPr="00F748E2">
        <w:rPr>
          <w:rFonts w:ascii="Arial" w:hAnsi="Arial" w:cs="Arial"/>
          <w:i/>
          <w:iCs/>
          <w:sz w:val="22"/>
          <w:shd w:val="clear" w:color="auto" w:fill="FFFFFF"/>
        </w:rPr>
        <w:t>Noncommunicable diseases</w:t>
      </w:r>
      <w:r w:rsidRPr="00F748E2">
        <w:rPr>
          <w:rFonts w:ascii="Arial" w:hAnsi="Arial" w:cs="Arial"/>
          <w:sz w:val="22"/>
          <w:shd w:val="clear" w:color="auto" w:fill="FFFFFF"/>
        </w:rPr>
        <w:t> (pp. 234-239). Routledge.</w:t>
      </w:r>
    </w:p>
    <w:p w14:paraId="1358F1B3" w14:textId="5928603D"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Barnes, G.L., Haghiran, M.Z. and Tracy, D.K., </w:t>
      </w:r>
      <w:r w:rsidR="00A70DC9" w:rsidRPr="00F748E2">
        <w:rPr>
          <w:rFonts w:ascii="Arial" w:hAnsi="Arial" w:cs="Arial"/>
          <w:sz w:val="22"/>
          <w:shd w:val="clear" w:color="auto" w:fill="FFFFFF"/>
        </w:rPr>
        <w:t>(</w:t>
      </w:r>
      <w:r w:rsidRPr="00F748E2">
        <w:rPr>
          <w:rFonts w:ascii="Arial" w:hAnsi="Arial" w:cs="Arial"/>
          <w:sz w:val="22"/>
          <w:shd w:val="clear" w:color="auto" w:fill="FFFFFF"/>
        </w:rPr>
        <w:t>2022</w:t>
      </w:r>
      <w:r w:rsidR="00A70DC9" w:rsidRPr="00F748E2">
        <w:rPr>
          <w:rFonts w:ascii="Arial" w:hAnsi="Arial" w:cs="Arial"/>
          <w:sz w:val="22"/>
          <w:shd w:val="clear" w:color="auto" w:fill="FFFFFF"/>
        </w:rPr>
        <w:t>)</w:t>
      </w:r>
      <w:r w:rsidRPr="00F748E2">
        <w:rPr>
          <w:rFonts w:ascii="Arial" w:hAnsi="Arial" w:cs="Arial"/>
          <w:sz w:val="22"/>
          <w:shd w:val="clear" w:color="auto" w:fill="FFFFFF"/>
        </w:rPr>
        <w:t>. Contemporary perceptions and meanings of ‘the medical model’amongst NHS mental health inpatient clinicians. </w:t>
      </w:r>
      <w:r w:rsidRPr="00F748E2">
        <w:rPr>
          <w:rFonts w:ascii="Arial" w:hAnsi="Arial" w:cs="Arial"/>
          <w:i/>
          <w:iCs/>
          <w:sz w:val="22"/>
          <w:shd w:val="clear" w:color="auto" w:fill="FFFFFF"/>
        </w:rPr>
        <w:t>International journal of mental health nursing</w:t>
      </w:r>
      <w:r w:rsidRPr="00F748E2">
        <w:rPr>
          <w:rFonts w:ascii="Arial" w:hAnsi="Arial" w:cs="Arial"/>
          <w:sz w:val="22"/>
          <w:shd w:val="clear" w:color="auto" w:fill="FFFFFF"/>
        </w:rPr>
        <w:t>, </w:t>
      </w:r>
      <w:r w:rsidRPr="00F748E2">
        <w:rPr>
          <w:rFonts w:ascii="Arial" w:hAnsi="Arial" w:cs="Arial"/>
          <w:i/>
          <w:iCs/>
          <w:sz w:val="22"/>
          <w:shd w:val="clear" w:color="auto" w:fill="FFFFFF"/>
        </w:rPr>
        <w:t>31</w:t>
      </w:r>
      <w:r w:rsidRPr="00F748E2">
        <w:rPr>
          <w:rFonts w:ascii="Arial" w:hAnsi="Arial" w:cs="Arial"/>
          <w:sz w:val="22"/>
          <w:shd w:val="clear" w:color="auto" w:fill="FFFFFF"/>
        </w:rPr>
        <w:t>(3), pp.567-575.</w:t>
      </w:r>
    </w:p>
    <w:p w14:paraId="563D1501" w14:textId="77777777"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England, N.H.S., (2023). </w:t>
      </w:r>
      <w:r w:rsidRPr="00F748E2">
        <w:rPr>
          <w:rFonts w:ascii="Arial" w:hAnsi="Arial" w:cs="Arial"/>
          <w:i/>
          <w:iCs/>
          <w:sz w:val="22"/>
          <w:shd w:val="clear" w:color="auto" w:fill="FFFFFF"/>
        </w:rPr>
        <w:t>NHS long term workforce plan</w:t>
      </w:r>
      <w:r w:rsidRPr="00F748E2">
        <w:rPr>
          <w:rFonts w:ascii="Arial" w:hAnsi="Arial" w:cs="Arial"/>
          <w:sz w:val="22"/>
          <w:shd w:val="clear" w:color="auto" w:fill="FFFFFF"/>
        </w:rPr>
        <w:t> [online]</w:t>
      </w:r>
    </w:p>
    <w:p w14:paraId="005BA1F5" w14:textId="25AD7389"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Everest, G., Marshall, L., Fraser, C. and Briggs, A., </w:t>
      </w:r>
      <w:r w:rsidR="00A70DC9" w:rsidRPr="00F748E2">
        <w:rPr>
          <w:rFonts w:ascii="Arial" w:hAnsi="Arial" w:cs="Arial"/>
          <w:sz w:val="22"/>
          <w:shd w:val="clear" w:color="auto" w:fill="FFFFFF"/>
        </w:rPr>
        <w:t>(</w:t>
      </w:r>
      <w:r w:rsidRPr="00F748E2">
        <w:rPr>
          <w:rFonts w:ascii="Arial" w:hAnsi="Arial" w:cs="Arial"/>
          <w:sz w:val="22"/>
          <w:shd w:val="clear" w:color="auto" w:fill="FFFFFF"/>
        </w:rPr>
        <w:t>2022</w:t>
      </w:r>
      <w:r w:rsidR="00A70DC9" w:rsidRPr="00F748E2">
        <w:rPr>
          <w:rFonts w:ascii="Arial" w:hAnsi="Arial" w:cs="Arial"/>
          <w:sz w:val="22"/>
          <w:shd w:val="clear" w:color="auto" w:fill="FFFFFF"/>
        </w:rPr>
        <w:t>)</w:t>
      </w:r>
      <w:r w:rsidRPr="00F748E2">
        <w:rPr>
          <w:rFonts w:ascii="Arial" w:hAnsi="Arial" w:cs="Arial"/>
          <w:sz w:val="22"/>
          <w:shd w:val="clear" w:color="auto" w:fill="FFFFFF"/>
        </w:rPr>
        <w:t>. Addressing the leading risk factors for ill health. </w:t>
      </w:r>
      <w:r w:rsidRPr="00F748E2">
        <w:rPr>
          <w:rFonts w:ascii="Arial" w:hAnsi="Arial" w:cs="Arial"/>
          <w:i/>
          <w:iCs/>
          <w:sz w:val="22"/>
          <w:shd w:val="clear" w:color="auto" w:fill="FFFFFF"/>
        </w:rPr>
        <w:t>The Health Foundation. Accessed</w:t>
      </w:r>
      <w:r w:rsidRPr="00F748E2">
        <w:rPr>
          <w:rFonts w:ascii="Arial" w:hAnsi="Arial" w:cs="Arial"/>
          <w:sz w:val="22"/>
          <w:shd w:val="clear" w:color="auto" w:fill="FFFFFF"/>
        </w:rPr>
        <w:t>, </w:t>
      </w:r>
      <w:r w:rsidRPr="00F748E2">
        <w:rPr>
          <w:rFonts w:ascii="Arial" w:hAnsi="Arial" w:cs="Arial"/>
          <w:i/>
          <w:iCs/>
          <w:sz w:val="22"/>
          <w:shd w:val="clear" w:color="auto" w:fill="FFFFFF"/>
        </w:rPr>
        <w:t>1</w:t>
      </w:r>
      <w:r w:rsidRPr="00F748E2">
        <w:rPr>
          <w:rFonts w:ascii="Arial" w:hAnsi="Arial" w:cs="Arial"/>
          <w:sz w:val="22"/>
          <w:shd w:val="clear" w:color="auto" w:fill="FFFFFF"/>
        </w:rPr>
        <w:t>.</w:t>
      </w:r>
    </w:p>
    <w:p w14:paraId="5660D845" w14:textId="583157D4"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Fitrianto, I., </w:t>
      </w:r>
      <w:r w:rsidR="00A70DC9" w:rsidRPr="00F748E2">
        <w:rPr>
          <w:rFonts w:ascii="Arial" w:hAnsi="Arial" w:cs="Arial"/>
          <w:sz w:val="22"/>
          <w:shd w:val="clear" w:color="auto" w:fill="FFFFFF"/>
        </w:rPr>
        <w:t>(</w:t>
      </w:r>
      <w:r w:rsidRPr="00F748E2">
        <w:rPr>
          <w:rFonts w:ascii="Arial" w:hAnsi="Arial" w:cs="Arial"/>
          <w:sz w:val="22"/>
          <w:shd w:val="clear" w:color="auto" w:fill="FFFFFF"/>
        </w:rPr>
        <w:t>2025</w:t>
      </w:r>
      <w:r w:rsidR="00A70DC9" w:rsidRPr="00F748E2">
        <w:rPr>
          <w:rFonts w:ascii="Arial" w:hAnsi="Arial" w:cs="Arial"/>
          <w:sz w:val="22"/>
          <w:shd w:val="clear" w:color="auto" w:fill="FFFFFF"/>
        </w:rPr>
        <w:t>)</w:t>
      </w:r>
      <w:r w:rsidRPr="00F748E2">
        <w:rPr>
          <w:rFonts w:ascii="Arial" w:hAnsi="Arial" w:cs="Arial"/>
          <w:sz w:val="22"/>
          <w:shd w:val="clear" w:color="auto" w:fill="FFFFFF"/>
        </w:rPr>
        <w:t>. Beyond competence: rethinking education for holistic Well-Being and happiness. </w:t>
      </w:r>
      <w:r w:rsidRPr="00F748E2">
        <w:rPr>
          <w:rFonts w:ascii="Arial" w:hAnsi="Arial" w:cs="Arial"/>
          <w:i/>
          <w:iCs/>
          <w:sz w:val="22"/>
          <w:shd w:val="clear" w:color="auto" w:fill="FFFFFF"/>
        </w:rPr>
        <w:t>International Journal of Post Axial: Futuristic Teaching and Learning</w:t>
      </w:r>
      <w:r w:rsidRPr="00F748E2">
        <w:rPr>
          <w:rFonts w:ascii="Arial" w:hAnsi="Arial" w:cs="Arial"/>
          <w:sz w:val="22"/>
          <w:shd w:val="clear" w:color="auto" w:fill="FFFFFF"/>
        </w:rPr>
        <w:t>, pp.1-11.</w:t>
      </w:r>
    </w:p>
    <w:p w14:paraId="5C55A59C" w14:textId="3192786B"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Giebel, C., Shrestha, N., Reilly, S., White, R.G., Zuluaga, M.I., Saldarriaga, G., Liu, G., Allen, D. and Gabbay, M., </w:t>
      </w:r>
      <w:r w:rsidR="00A70DC9" w:rsidRPr="00F748E2">
        <w:rPr>
          <w:rFonts w:ascii="Arial" w:hAnsi="Arial" w:cs="Arial"/>
          <w:sz w:val="22"/>
          <w:shd w:val="clear" w:color="auto" w:fill="FFFFFF"/>
        </w:rPr>
        <w:t>(</w:t>
      </w:r>
      <w:r w:rsidRPr="00F748E2">
        <w:rPr>
          <w:rFonts w:ascii="Arial" w:hAnsi="Arial" w:cs="Arial"/>
          <w:sz w:val="22"/>
          <w:shd w:val="clear" w:color="auto" w:fill="FFFFFF"/>
        </w:rPr>
        <w:t>2022</w:t>
      </w:r>
      <w:r w:rsidR="00A70DC9" w:rsidRPr="00F748E2">
        <w:rPr>
          <w:rFonts w:ascii="Arial" w:hAnsi="Arial" w:cs="Arial"/>
          <w:sz w:val="22"/>
          <w:shd w:val="clear" w:color="auto" w:fill="FFFFFF"/>
        </w:rPr>
        <w:t>)</w:t>
      </w:r>
      <w:r w:rsidRPr="00F748E2">
        <w:rPr>
          <w:rFonts w:ascii="Arial" w:hAnsi="Arial" w:cs="Arial"/>
          <w:sz w:val="22"/>
          <w:shd w:val="clear" w:color="auto" w:fill="FFFFFF"/>
        </w:rPr>
        <w:t>. Community-based mental health and well-being interventions for older adults in low-and middle-income countries: a systematic review and meta-analysis. </w:t>
      </w:r>
      <w:r w:rsidRPr="00F748E2">
        <w:rPr>
          <w:rFonts w:ascii="Arial" w:hAnsi="Arial" w:cs="Arial"/>
          <w:i/>
          <w:iCs/>
          <w:sz w:val="22"/>
          <w:shd w:val="clear" w:color="auto" w:fill="FFFFFF"/>
        </w:rPr>
        <w:t>BMC geriatrics</w:t>
      </w:r>
      <w:r w:rsidRPr="00F748E2">
        <w:rPr>
          <w:rFonts w:ascii="Arial" w:hAnsi="Arial" w:cs="Arial"/>
          <w:sz w:val="22"/>
          <w:shd w:val="clear" w:color="auto" w:fill="FFFFFF"/>
        </w:rPr>
        <w:t>, </w:t>
      </w:r>
      <w:r w:rsidRPr="00F748E2">
        <w:rPr>
          <w:rFonts w:ascii="Arial" w:hAnsi="Arial" w:cs="Arial"/>
          <w:i/>
          <w:iCs/>
          <w:sz w:val="22"/>
          <w:shd w:val="clear" w:color="auto" w:fill="FFFFFF"/>
        </w:rPr>
        <w:t>22</w:t>
      </w:r>
      <w:r w:rsidRPr="00F748E2">
        <w:rPr>
          <w:rFonts w:ascii="Arial" w:hAnsi="Arial" w:cs="Arial"/>
          <w:sz w:val="22"/>
          <w:shd w:val="clear" w:color="auto" w:fill="FFFFFF"/>
        </w:rPr>
        <w:t>(1), p.773.</w:t>
      </w:r>
    </w:p>
    <w:p w14:paraId="5CBF3207" w14:textId="524686C2"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Golden, A.R., Srisarajivakul, E.N., Hasselle, A.J., Pfund, R.A. and Knox, J., </w:t>
      </w:r>
      <w:r w:rsidR="00A70DC9" w:rsidRPr="00F748E2">
        <w:rPr>
          <w:rFonts w:ascii="Arial" w:hAnsi="Arial" w:cs="Arial"/>
          <w:sz w:val="22"/>
          <w:shd w:val="clear" w:color="auto" w:fill="FFFFFF"/>
        </w:rPr>
        <w:t>(</w:t>
      </w:r>
      <w:r w:rsidRPr="00F748E2">
        <w:rPr>
          <w:rFonts w:ascii="Arial" w:hAnsi="Arial" w:cs="Arial"/>
          <w:sz w:val="22"/>
          <w:shd w:val="clear" w:color="auto" w:fill="FFFFFF"/>
        </w:rPr>
        <w:t>2023</w:t>
      </w:r>
      <w:r w:rsidR="00A70DC9" w:rsidRPr="00F748E2">
        <w:rPr>
          <w:rFonts w:ascii="Arial" w:hAnsi="Arial" w:cs="Arial"/>
          <w:sz w:val="22"/>
          <w:shd w:val="clear" w:color="auto" w:fill="FFFFFF"/>
        </w:rPr>
        <w:t>)</w:t>
      </w:r>
      <w:r w:rsidRPr="00F748E2">
        <w:rPr>
          <w:rFonts w:ascii="Arial" w:hAnsi="Arial" w:cs="Arial"/>
          <w:sz w:val="22"/>
          <w:shd w:val="clear" w:color="auto" w:fill="FFFFFF"/>
        </w:rPr>
        <w:t>. What was a gap is now a chasm: Remote schooling, the digital divide, and educational inequities resulting from the COVID-19 pandemic. </w:t>
      </w:r>
      <w:r w:rsidRPr="00F748E2">
        <w:rPr>
          <w:rFonts w:ascii="Arial" w:hAnsi="Arial" w:cs="Arial"/>
          <w:i/>
          <w:iCs/>
          <w:sz w:val="22"/>
          <w:shd w:val="clear" w:color="auto" w:fill="FFFFFF"/>
        </w:rPr>
        <w:t>Current Opinion in Psychology</w:t>
      </w:r>
      <w:r w:rsidRPr="00F748E2">
        <w:rPr>
          <w:rFonts w:ascii="Arial" w:hAnsi="Arial" w:cs="Arial"/>
          <w:sz w:val="22"/>
          <w:shd w:val="clear" w:color="auto" w:fill="FFFFFF"/>
        </w:rPr>
        <w:t>, </w:t>
      </w:r>
      <w:r w:rsidRPr="00F748E2">
        <w:rPr>
          <w:rFonts w:ascii="Arial" w:hAnsi="Arial" w:cs="Arial"/>
          <w:i/>
          <w:iCs/>
          <w:sz w:val="22"/>
          <w:shd w:val="clear" w:color="auto" w:fill="FFFFFF"/>
        </w:rPr>
        <w:t>52</w:t>
      </w:r>
      <w:r w:rsidRPr="00F748E2">
        <w:rPr>
          <w:rFonts w:ascii="Arial" w:hAnsi="Arial" w:cs="Arial"/>
          <w:sz w:val="22"/>
          <w:shd w:val="clear" w:color="auto" w:fill="FFFFFF"/>
        </w:rPr>
        <w:t>, p.101632.</w:t>
      </w:r>
    </w:p>
    <w:p w14:paraId="2DEF2703" w14:textId="56F3A3BC"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lastRenderedPageBreak/>
        <w:t xml:space="preserve">Holmér, S., Nedlund, A.C., Thomas, K. and Krevers, B., </w:t>
      </w:r>
      <w:r w:rsidR="00A70DC9" w:rsidRPr="00F748E2">
        <w:rPr>
          <w:rFonts w:ascii="Arial" w:hAnsi="Arial" w:cs="Arial"/>
          <w:sz w:val="22"/>
          <w:shd w:val="clear" w:color="auto" w:fill="FFFFFF"/>
        </w:rPr>
        <w:t>(</w:t>
      </w:r>
      <w:r w:rsidRPr="00F748E2">
        <w:rPr>
          <w:rFonts w:ascii="Arial" w:hAnsi="Arial" w:cs="Arial"/>
          <w:sz w:val="22"/>
          <w:shd w:val="clear" w:color="auto" w:fill="FFFFFF"/>
        </w:rPr>
        <w:t>2023</w:t>
      </w:r>
      <w:r w:rsidR="00A70DC9" w:rsidRPr="00F748E2">
        <w:rPr>
          <w:rFonts w:ascii="Arial" w:hAnsi="Arial" w:cs="Arial"/>
          <w:sz w:val="22"/>
          <w:shd w:val="clear" w:color="auto" w:fill="FFFFFF"/>
        </w:rPr>
        <w:t>)</w:t>
      </w:r>
      <w:r w:rsidRPr="00F748E2">
        <w:rPr>
          <w:rFonts w:ascii="Arial" w:hAnsi="Arial" w:cs="Arial"/>
          <w:sz w:val="22"/>
          <w:shd w:val="clear" w:color="auto" w:fill="FFFFFF"/>
        </w:rPr>
        <w:t>. How health care professionals handle limited resources in primary care–an interview study. </w:t>
      </w:r>
      <w:r w:rsidRPr="00F748E2">
        <w:rPr>
          <w:rFonts w:ascii="Arial" w:hAnsi="Arial" w:cs="Arial"/>
          <w:i/>
          <w:iCs/>
          <w:sz w:val="22"/>
          <w:shd w:val="clear" w:color="auto" w:fill="FFFFFF"/>
        </w:rPr>
        <w:t>BMC Health Services Research</w:t>
      </w:r>
      <w:r w:rsidRPr="00F748E2">
        <w:rPr>
          <w:rFonts w:ascii="Arial" w:hAnsi="Arial" w:cs="Arial"/>
          <w:sz w:val="22"/>
          <w:shd w:val="clear" w:color="auto" w:fill="FFFFFF"/>
        </w:rPr>
        <w:t>, </w:t>
      </w:r>
      <w:r w:rsidRPr="00F748E2">
        <w:rPr>
          <w:rFonts w:ascii="Arial" w:hAnsi="Arial" w:cs="Arial"/>
          <w:i/>
          <w:iCs/>
          <w:sz w:val="22"/>
          <w:shd w:val="clear" w:color="auto" w:fill="FFFFFF"/>
        </w:rPr>
        <w:t>23</w:t>
      </w:r>
      <w:r w:rsidRPr="00F748E2">
        <w:rPr>
          <w:rFonts w:ascii="Arial" w:hAnsi="Arial" w:cs="Arial"/>
          <w:sz w:val="22"/>
          <w:shd w:val="clear" w:color="auto" w:fill="FFFFFF"/>
        </w:rPr>
        <w:t>(1), p.6.</w:t>
      </w:r>
    </w:p>
    <w:p w14:paraId="4AB86A37" w14:textId="529EAC74"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Hossain, F., Islam, R., Osugi, T., Shah, F., Mine, T., Nakashima, N. and Ahmed, A., </w:t>
      </w:r>
      <w:r w:rsidR="00A70DC9" w:rsidRPr="00F748E2">
        <w:rPr>
          <w:rFonts w:ascii="Arial" w:hAnsi="Arial" w:cs="Arial"/>
          <w:sz w:val="22"/>
          <w:shd w:val="clear" w:color="auto" w:fill="FFFFFF"/>
        </w:rPr>
        <w:t>(</w:t>
      </w:r>
      <w:r w:rsidRPr="00F748E2">
        <w:rPr>
          <w:rFonts w:ascii="Arial" w:hAnsi="Arial" w:cs="Arial"/>
          <w:sz w:val="22"/>
          <w:shd w:val="clear" w:color="auto" w:fill="FFFFFF"/>
        </w:rPr>
        <w:t>2024</w:t>
      </w:r>
      <w:r w:rsidR="00A70DC9" w:rsidRPr="00F748E2">
        <w:rPr>
          <w:rFonts w:ascii="Arial" w:hAnsi="Arial" w:cs="Arial"/>
          <w:sz w:val="22"/>
          <w:shd w:val="clear" w:color="auto" w:fill="FFFFFF"/>
        </w:rPr>
        <w:t>)</w:t>
      </w:r>
      <w:r w:rsidRPr="00F748E2">
        <w:rPr>
          <w:rFonts w:ascii="Arial" w:hAnsi="Arial" w:cs="Arial"/>
          <w:sz w:val="22"/>
          <w:shd w:val="clear" w:color="auto" w:fill="FFFFFF"/>
        </w:rPr>
        <w:t>. Concept of micro healthcare entrepreneurship (MHE) to facilitate universal health coverage (UHC): prospects and challenges. </w:t>
      </w:r>
      <w:r w:rsidRPr="00F748E2">
        <w:rPr>
          <w:rFonts w:ascii="Arial" w:hAnsi="Arial" w:cs="Arial"/>
          <w:i/>
          <w:iCs/>
          <w:sz w:val="22"/>
          <w:shd w:val="clear" w:color="auto" w:fill="FFFFFF"/>
        </w:rPr>
        <w:t>Sustainability</w:t>
      </w:r>
      <w:r w:rsidRPr="00F748E2">
        <w:rPr>
          <w:rFonts w:ascii="Arial" w:hAnsi="Arial" w:cs="Arial"/>
          <w:sz w:val="22"/>
          <w:shd w:val="clear" w:color="auto" w:fill="FFFFFF"/>
        </w:rPr>
        <w:t>, </w:t>
      </w:r>
      <w:r w:rsidRPr="00F748E2">
        <w:rPr>
          <w:rFonts w:ascii="Arial" w:hAnsi="Arial" w:cs="Arial"/>
          <w:i/>
          <w:iCs/>
          <w:sz w:val="22"/>
          <w:shd w:val="clear" w:color="auto" w:fill="FFFFFF"/>
        </w:rPr>
        <w:t>16</w:t>
      </w:r>
      <w:r w:rsidRPr="00F748E2">
        <w:rPr>
          <w:rFonts w:ascii="Arial" w:hAnsi="Arial" w:cs="Arial"/>
          <w:sz w:val="22"/>
          <w:shd w:val="clear" w:color="auto" w:fill="FFFFFF"/>
        </w:rPr>
        <w:t>(6), p.2268.</w:t>
      </w:r>
    </w:p>
    <w:p w14:paraId="1FCFAECD" w14:textId="1ACF650E"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Huang, Y., Wang, S., Tian, L., Zhang, X., Liu, S., Zhu, Z., Wang, W., Shi, D., He, M. and Shang, X., </w:t>
      </w:r>
      <w:r w:rsidR="00A70DC9" w:rsidRPr="00F748E2">
        <w:rPr>
          <w:rFonts w:ascii="Arial" w:hAnsi="Arial" w:cs="Arial"/>
          <w:sz w:val="22"/>
          <w:shd w:val="clear" w:color="auto" w:fill="FFFFFF"/>
        </w:rPr>
        <w:t>(</w:t>
      </w:r>
      <w:r w:rsidRPr="00F748E2">
        <w:rPr>
          <w:rFonts w:ascii="Arial" w:hAnsi="Arial" w:cs="Arial"/>
          <w:sz w:val="22"/>
          <w:shd w:val="clear" w:color="auto" w:fill="FFFFFF"/>
        </w:rPr>
        <w:t>2025</w:t>
      </w:r>
      <w:r w:rsidR="00A70DC9" w:rsidRPr="00F748E2">
        <w:rPr>
          <w:rFonts w:ascii="Arial" w:hAnsi="Arial" w:cs="Arial"/>
          <w:sz w:val="22"/>
          <w:shd w:val="clear" w:color="auto" w:fill="FFFFFF"/>
        </w:rPr>
        <w:t>)</w:t>
      </w:r>
      <w:r w:rsidRPr="00F748E2">
        <w:rPr>
          <w:rFonts w:ascii="Arial" w:hAnsi="Arial" w:cs="Arial"/>
          <w:sz w:val="22"/>
          <w:shd w:val="clear" w:color="auto" w:fill="FFFFFF"/>
        </w:rPr>
        <w:t>. Healthy lifestyle habits, educational attainment, and the risk of 45 age-related health and mortality outcomes in the UK: A prospective cohort study. </w:t>
      </w:r>
      <w:r w:rsidRPr="00F748E2">
        <w:rPr>
          <w:rFonts w:ascii="Arial" w:hAnsi="Arial" w:cs="Arial"/>
          <w:i/>
          <w:iCs/>
          <w:sz w:val="22"/>
          <w:shd w:val="clear" w:color="auto" w:fill="FFFFFF"/>
        </w:rPr>
        <w:t>The Journal of nutrition, health and aging</w:t>
      </w:r>
      <w:r w:rsidRPr="00F748E2">
        <w:rPr>
          <w:rFonts w:ascii="Arial" w:hAnsi="Arial" w:cs="Arial"/>
          <w:sz w:val="22"/>
          <w:shd w:val="clear" w:color="auto" w:fill="FFFFFF"/>
        </w:rPr>
        <w:t>, </w:t>
      </w:r>
      <w:r w:rsidRPr="00F748E2">
        <w:rPr>
          <w:rFonts w:ascii="Arial" w:hAnsi="Arial" w:cs="Arial"/>
          <w:i/>
          <w:iCs/>
          <w:sz w:val="22"/>
          <w:shd w:val="clear" w:color="auto" w:fill="FFFFFF"/>
        </w:rPr>
        <w:t>29</w:t>
      </w:r>
      <w:r w:rsidRPr="00F748E2">
        <w:rPr>
          <w:rFonts w:ascii="Arial" w:hAnsi="Arial" w:cs="Arial"/>
          <w:sz w:val="22"/>
          <w:shd w:val="clear" w:color="auto" w:fill="FFFFFF"/>
        </w:rPr>
        <w:t>(5), p.100525.</w:t>
      </w:r>
    </w:p>
    <w:p w14:paraId="7D71BABF" w14:textId="77777777"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Jæger, M.M., (2022). Cultural capital and educational inequality: An assessment of the state of the art. </w:t>
      </w:r>
      <w:r w:rsidRPr="00F748E2">
        <w:rPr>
          <w:rFonts w:ascii="Arial" w:hAnsi="Arial" w:cs="Arial"/>
          <w:i/>
          <w:iCs/>
          <w:sz w:val="22"/>
          <w:shd w:val="clear" w:color="auto" w:fill="FFFFFF"/>
        </w:rPr>
        <w:t>Handbook of sociological science</w:t>
      </w:r>
      <w:r w:rsidRPr="00F748E2">
        <w:rPr>
          <w:rFonts w:ascii="Arial" w:hAnsi="Arial" w:cs="Arial"/>
          <w:sz w:val="22"/>
          <w:shd w:val="clear" w:color="auto" w:fill="FFFFFF"/>
        </w:rPr>
        <w:t>, pp.121-134.</w:t>
      </w:r>
    </w:p>
    <w:p w14:paraId="0F162E25" w14:textId="2D0ED64F"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Khan, H.T., Addo, K.M. and Findlay, H., </w:t>
      </w:r>
      <w:r w:rsidR="00A70DC9" w:rsidRPr="00F748E2">
        <w:rPr>
          <w:rFonts w:ascii="Arial" w:hAnsi="Arial" w:cs="Arial"/>
          <w:sz w:val="22"/>
          <w:shd w:val="clear" w:color="auto" w:fill="FFFFFF"/>
        </w:rPr>
        <w:t>(</w:t>
      </w:r>
      <w:r w:rsidRPr="00F748E2">
        <w:rPr>
          <w:rFonts w:ascii="Arial" w:hAnsi="Arial" w:cs="Arial"/>
          <w:sz w:val="22"/>
          <w:shd w:val="clear" w:color="auto" w:fill="FFFFFF"/>
        </w:rPr>
        <w:t>2024</w:t>
      </w:r>
      <w:r w:rsidR="00A70DC9" w:rsidRPr="00F748E2">
        <w:rPr>
          <w:rFonts w:ascii="Arial" w:hAnsi="Arial" w:cs="Arial"/>
          <w:sz w:val="22"/>
          <w:shd w:val="clear" w:color="auto" w:fill="FFFFFF"/>
        </w:rPr>
        <w:t>)</w:t>
      </w:r>
      <w:r w:rsidRPr="00F748E2">
        <w:rPr>
          <w:rFonts w:ascii="Arial" w:hAnsi="Arial" w:cs="Arial"/>
          <w:sz w:val="22"/>
          <w:shd w:val="clear" w:color="auto" w:fill="FFFFFF"/>
        </w:rPr>
        <w:t>. Public health challenges and responses to the growing ageing populations. </w:t>
      </w:r>
      <w:r w:rsidRPr="00F748E2">
        <w:rPr>
          <w:rFonts w:ascii="Arial" w:hAnsi="Arial" w:cs="Arial"/>
          <w:i/>
          <w:iCs/>
          <w:sz w:val="22"/>
          <w:shd w:val="clear" w:color="auto" w:fill="FFFFFF"/>
        </w:rPr>
        <w:t>Public health challenges</w:t>
      </w:r>
      <w:r w:rsidRPr="00F748E2">
        <w:rPr>
          <w:rFonts w:ascii="Arial" w:hAnsi="Arial" w:cs="Arial"/>
          <w:sz w:val="22"/>
          <w:shd w:val="clear" w:color="auto" w:fill="FFFFFF"/>
        </w:rPr>
        <w:t>, </w:t>
      </w:r>
      <w:r w:rsidRPr="00F748E2">
        <w:rPr>
          <w:rFonts w:ascii="Arial" w:hAnsi="Arial" w:cs="Arial"/>
          <w:i/>
          <w:iCs/>
          <w:sz w:val="22"/>
          <w:shd w:val="clear" w:color="auto" w:fill="FFFFFF"/>
        </w:rPr>
        <w:t>3</w:t>
      </w:r>
      <w:r w:rsidRPr="00F748E2">
        <w:rPr>
          <w:rFonts w:ascii="Arial" w:hAnsi="Arial" w:cs="Arial"/>
          <w:sz w:val="22"/>
          <w:shd w:val="clear" w:color="auto" w:fill="FFFFFF"/>
        </w:rPr>
        <w:t>(3), p.e213.</w:t>
      </w:r>
    </w:p>
    <w:p w14:paraId="60F5058D" w14:textId="190ED624"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Khatri, R., Endalamaw, A., Erku, D., Wolka, E., Nigatu, F., Zewdie, A. and Assefa, Y., </w:t>
      </w:r>
      <w:r w:rsidR="00A70DC9" w:rsidRPr="00F748E2">
        <w:rPr>
          <w:rFonts w:ascii="Arial" w:hAnsi="Arial" w:cs="Arial"/>
          <w:sz w:val="22"/>
          <w:shd w:val="clear" w:color="auto" w:fill="FFFFFF"/>
        </w:rPr>
        <w:t>(</w:t>
      </w:r>
      <w:r w:rsidRPr="00F748E2">
        <w:rPr>
          <w:rFonts w:ascii="Arial" w:hAnsi="Arial" w:cs="Arial"/>
          <w:sz w:val="22"/>
          <w:shd w:val="clear" w:color="auto" w:fill="FFFFFF"/>
        </w:rPr>
        <w:t>2023</w:t>
      </w:r>
      <w:r w:rsidR="00A70DC9" w:rsidRPr="00F748E2">
        <w:rPr>
          <w:rFonts w:ascii="Arial" w:hAnsi="Arial" w:cs="Arial"/>
          <w:sz w:val="22"/>
          <w:shd w:val="clear" w:color="auto" w:fill="FFFFFF"/>
        </w:rPr>
        <w:t>)</w:t>
      </w:r>
      <w:r w:rsidRPr="00F748E2">
        <w:rPr>
          <w:rFonts w:ascii="Arial" w:hAnsi="Arial" w:cs="Arial"/>
          <w:sz w:val="22"/>
          <w:shd w:val="clear" w:color="auto" w:fill="FFFFFF"/>
        </w:rPr>
        <w:t>. Continuity and care coordination of primary health care: a scoping review. </w:t>
      </w:r>
      <w:r w:rsidRPr="00F748E2">
        <w:rPr>
          <w:rFonts w:ascii="Arial" w:hAnsi="Arial" w:cs="Arial"/>
          <w:i/>
          <w:iCs/>
          <w:sz w:val="22"/>
          <w:shd w:val="clear" w:color="auto" w:fill="FFFFFF"/>
        </w:rPr>
        <w:t>BMC Health Services Research</w:t>
      </w:r>
      <w:r w:rsidRPr="00F748E2">
        <w:rPr>
          <w:rFonts w:ascii="Arial" w:hAnsi="Arial" w:cs="Arial"/>
          <w:sz w:val="22"/>
          <w:shd w:val="clear" w:color="auto" w:fill="FFFFFF"/>
        </w:rPr>
        <w:t>, </w:t>
      </w:r>
      <w:r w:rsidRPr="00F748E2">
        <w:rPr>
          <w:rFonts w:ascii="Arial" w:hAnsi="Arial" w:cs="Arial"/>
          <w:i/>
          <w:iCs/>
          <w:sz w:val="22"/>
          <w:shd w:val="clear" w:color="auto" w:fill="FFFFFF"/>
        </w:rPr>
        <w:t>23</w:t>
      </w:r>
      <w:r w:rsidRPr="00F748E2">
        <w:rPr>
          <w:rFonts w:ascii="Arial" w:hAnsi="Arial" w:cs="Arial"/>
          <w:sz w:val="22"/>
          <w:shd w:val="clear" w:color="auto" w:fill="FFFFFF"/>
        </w:rPr>
        <w:t>(1), p.750.</w:t>
      </w:r>
    </w:p>
    <w:p w14:paraId="32E2D055" w14:textId="77777777"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Marmot, M., (2020). Health equity in England: the Marmot review 10 years on. </w:t>
      </w:r>
      <w:r w:rsidRPr="00F748E2">
        <w:rPr>
          <w:rFonts w:ascii="Arial" w:hAnsi="Arial" w:cs="Arial"/>
          <w:i/>
          <w:iCs/>
          <w:sz w:val="22"/>
          <w:shd w:val="clear" w:color="auto" w:fill="FFFFFF"/>
        </w:rPr>
        <w:t>Bmj</w:t>
      </w:r>
      <w:r w:rsidRPr="00F748E2">
        <w:rPr>
          <w:rFonts w:ascii="Arial" w:hAnsi="Arial" w:cs="Arial"/>
          <w:sz w:val="22"/>
          <w:shd w:val="clear" w:color="auto" w:fill="FFFFFF"/>
        </w:rPr>
        <w:t>, </w:t>
      </w:r>
      <w:r w:rsidRPr="00F748E2">
        <w:rPr>
          <w:rFonts w:ascii="Arial" w:hAnsi="Arial" w:cs="Arial"/>
          <w:i/>
          <w:iCs/>
          <w:sz w:val="22"/>
          <w:shd w:val="clear" w:color="auto" w:fill="FFFFFF"/>
        </w:rPr>
        <w:t>368</w:t>
      </w:r>
      <w:r w:rsidRPr="00F748E2">
        <w:rPr>
          <w:rFonts w:ascii="Arial" w:hAnsi="Arial" w:cs="Arial"/>
          <w:sz w:val="22"/>
          <w:shd w:val="clear" w:color="auto" w:fill="FFFFFF"/>
        </w:rPr>
        <w:t>.</w:t>
      </w:r>
    </w:p>
    <w:p w14:paraId="425F2C1D" w14:textId="6A02E19A"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Mishra, A., Mishra, A. and Pandey, G., </w:t>
      </w:r>
      <w:r w:rsidR="00A70DC9" w:rsidRPr="00F748E2">
        <w:rPr>
          <w:rFonts w:ascii="Arial" w:hAnsi="Arial" w:cs="Arial"/>
          <w:sz w:val="22"/>
          <w:shd w:val="clear" w:color="auto" w:fill="FFFFFF"/>
        </w:rPr>
        <w:t>(</w:t>
      </w:r>
      <w:r w:rsidRPr="00F748E2">
        <w:rPr>
          <w:rFonts w:ascii="Arial" w:hAnsi="Arial" w:cs="Arial"/>
          <w:sz w:val="22"/>
          <w:shd w:val="clear" w:color="auto" w:fill="FFFFFF"/>
        </w:rPr>
        <w:t>2023</w:t>
      </w:r>
      <w:r w:rsidR="00A70DC9" w:rsidRPr="00F748E2">
        <w:rPr>
          <w:rFonts w:ascii="Arial" w:hAnsi="Arial" w:cs="Arial"/>
          <w:sz w:val="22"/>
          <w:shd w:val="clear" w:color="auto" w:fill="FFFFFF"/>
        </w:rPr>
        <w:t>)</w:t>
      </w:r>
      <w:r w:rsidRPr="00F748E2">
        <w:rPr>
          <w:rFonts w:ascii="Arial" w:hAnsi="Arial" w:cs="Arial"/>
          <w:sz w:val="22"/>
          <w:shd w:val="clear" w:color="auto" w:fill="FFFFFF"/>
        </w:rPr>
        <w:t>. Spatial inequality and education: unraveling the geographical dimensions of educational disparities. </w:t>
      </w:r>
      <w:r w:rsidRPr="00F748E2">
        <w:rPr>
          <w:rFonts w:ascii="Arial" w:hAnsi="Arial" w:cs="Arial"/>
          <w:i/>
          <w:iCs/>
          <w:sz w:val="22"/>
          <w:shd w:val="clear" w:color="auto" w:fill="FFFFFF"/>
        </w:rPr>
        <w:t>Techno Learn</w:t>
      </w:r>
      <w:r w:rsidRPr="00F748E2">
        <w:rPr>
          <w:rFonts w:ascii="Arial" w:hAnsi="Arial" w:cs="Arial"/>
          <w:sz w:val="22"/>
          <w:shd w:val="clear" w:color="auto" w:fill="FFFFFF"/>
        </w:rPr>
        <w:t>, </w:t>
      </w:r>
      <w:r w:rsidRPr="00F748E2">
        <w:rPr>
          <w:rFonts w:ascii="Arial" w:hAnsi="Arial" w:cs="Arial"/>
          <w:i/>
          <w:iCs/>
          <w:sz w:val="22"/>
          <w:shd w:val="clear" w:color="auto" w:fill="FFFFFF"/>
        </w:rPr>
        <w:t>13</w:t>
      </w:r>
      <w:r w:rsidRPr="00F748E2">
        <w:rPr>
          <w:rFonts w:ascii="Arial" w:hAnsi="Arial" w:cs="Arial"/>
          <w:sz w:val="22"/>
          <w:shd w:val="clear" w:color="auto" w:fill="FFFFFF"/>
        </w:rPr>
        <w:t>(1), pp.29-43.</w:t>
      </w:r>
    </w:p>
    <w:p w14:paraId="582C2934" w14:textId="0B1E4C28"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Moodie, G. and Wheelahan, L., </w:t>
      </w:r>
      <w:r w:rsidR="00A70DC9" w:rsidRPr="00F748E2">
        <w:rPr>
          <w:rFonts w:ascii="Arial" w:hAnsi="Arial" w:cs="Arial"/>
          <w:sz w:val="22"/>
          <w:shd w:val="clear" w:color="auto" w:fill="FFFFFF"/>
        </w:rPr>
        <w:t>(</w:t>
      </w:r>
      <w:r w:rsidRPr="00F748E2">
        <w:rPr>
          <w:rFonts w:ascii="Arial" w:hAnsi="Arial" w:cs="Arial"/>
          <w:sz w:val="22"/>
          <w:shd w:val="clear" w:color="auto" w:fill="FFFFFF"/>
        </w:rPr>
        <w:t>2023</w:t>
      </w:r>
      <w:r w:rsidR="00A70DC9" w:rsidRPr="00F748E2">
        <w:rPr>
          <w:rFonts w:ascii="Arial" w:hAnsi="Arial" w:cs="Arial"/>
          <w:sz w:val="22"/>
          <w:shd w:val="clear" w:color="auto" w:fill="FFFFFF"/>
        </w:rPr>
        <w:t>)</w:t>
      </w:r>
      <w:r w:rsidRPr="00F748E2">
        <w:rPr>
          <w:rFonts w:ascii="Arial" w:hAnsi="Arial" w:cs="Arial"/>
          <w:sz w:val="22"/>
          <w:shd w:val="clear" w:color="auto" w:fill="FFFFFF"/>
        </w:rPr>
        <w:t>. Human capital theory and its discontents. In </w:t>
      </w:r>
      <w:r w:rsidRPr="00F748E2">
        <w:rPr>
          <w:rFonts w:ascii="Arial" w:hAnsi="Arial" w:cs="Arial"/>
          <w:i/>
          <w:iCs/>
          <w:sz w:val="22"/>
          <w:shd w:val="clear" w:color="auto" w:fill="FFFFFF"/>
        </w:rPr>
        <w:t>Access, lifelong learning and education for all</w:t>
      </w:r>
      <w:r w:rsidRPr="00F748E2">
        <w:rPr>
          <w:rFonts w:ascii="Arial" w:hAnsi="Arial" w:cs="Arial"/>
          <w:sz w:val="22"/>
          <w:shd w:val="clear" w:color="auto" w:fill="FFFFFF"/>
        </w:rPr>
        <w:t> (pp. 51-79). Cham: Springer International Publishing.</w:t>
      </w:r>
    </w:p>
    <w:p w14:paraId="31359379" w14:textId="0406F5F4"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Norman, P., Exeter, D., Shelton, N., Head, J. and Murray, E., </w:t>
      </w:r>
      <w:r w:rsidR="00A70DC9" w:rsidRPr="00F748E2">
        <w:rPr>
          <w:rFonts w:ascii="Arial" w:hAnsi="Arial" w:cs="Arial"/>
          <w:sz w:val="22"/>
          <w:shd w:val="clear" w:color="auto" w:fill="FFFFFF"/>
        </w:rPr>
        <w:t>(</w:t>
      </w:r>
      <w:r w:rsidRPr="00F748E2">
        <w:rPr>
          <w:rFonts w:ascii="Arial" w:hAnsi="Arial" w:cs="Arial"/>
          <w:sz w:val="22"/>
          <w:shd w:val="clear" w:color="auto" w:fill="FFFFFF"/>
        </w:rPr>
        <w:t>2022</w:t>
      </w:r>
      <w:r w:rsidR="00A70DC9" w:rsidRPr="00F748E2">
        <w:rPr>
          <w:rFonts w:ascii="Arial" w:hAnsi="Arial" w:cs="Arial"/>
          <w:sz w:val="22"/>
          <w:shd w:val="clear" w:color="auto" w:fill="FFFFFF"/>
        </w:rPr>
        <w:t>)</w:t>
      </w:r>
      <w:r w:rsidRPr="00F748E2">
        <w:rPr>
          <w:rFonts w:ascii="Arial" w:hAnsi="Arial" w:cs="Arial"/>
          <w:sz w:val="22"/>
          <w:shd w:val="clear" w:color="auto" w:fill="FFFFFF"/>
        </w:rPr>
        <w:t>. (Un-) healthy ageing: geographic inequalities in disability-free life expectancy in England and Wales. </w:t>
      </w:r>
      <w:r w:rsidRPr="00F748E2">
        <w:rPr>
          <w:rFonts w:ascii="Arial" w:hAnsi="Arial" w:cs="Arial"/>
          <w:i/>
          <w:iCs/>
          <w:sz w:val="22"/>
          <w:shd w:val="clear" w:color="auto" w:fill="FFFFFF"/>
        </w:rPr>
        <w:t>Health &amp; Place</w:t>
      </w:r>
      <w:r w:rsidRPr="00F748E2">
        <w:rPr>
          <w:rFonts w:ascii="Arial" w:hAnsi="Arial" w:cs="Arial"/>
          <w:sz w:val="22"/>
          <w:shd w:val="clear" w:color="auto" w:fill="FFFFFF"/>
        </w:rPr>
        <w:t>, </w:t>
      </w:r>
      <w:r w:rsidRPr="00F748E2">
        <w:rPr>
          <w:rFonts w:ascii="Arial" w:hAnsi="Arial" w:cs="Arial"/>
          <w:i/>
          <w:iCs/>
          <w:sz w:val="22"/>
          <w:shd w:val="clear" w:color="auto" w:fill="FFFFFF"/>
        </w:rPr>
        <w:t>76</w:t>
      </w:r>
      <w:r w:rsidRPr="00F748E2">
        <w:rPr>
          <w:rFonts w:ascii="Arial" w:hAnsi="Arial" w:cs="Arial"/>
          <w:sz w:val="22"/>
          <w:shd w:val="clear" w:color="auto" w:fill="FFFFFF"/>
        </w:rPr>
        <w:t>, p.102820.</w:t>
      </w:r>
    </w:p>
    <w:p w14:paraId="6F674BCA" w14:textId="64FE8F34"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Öztemur, H., Karabağ, A., Öcel, M. and Zengin, O., </w:t>
      </w:r>
      <w:r w:rsidR="00A70DC9" w:rsidRPr="00F748E2">
        <w:rPr>
          <w:rFonts w:ascii="Arial" w:hAnsi="Arial" w:cs="Arial"/>
          <w:sz w:val="22"/>
          <w:shd w:val="clear" w:color="auto" w:fill="FFFFFF"/>
        </w:rPr>
        <w:t>(</w:t>
      </w:r>
      <w:r w:rsidRPr="00F748E2">
        <w:rPr>
          <w:rFonts w:ascii="Arial" w:hAnsi="Arial" w:cs="Arial"/>
          <w:sz w:val="22"/>
          <w:shd w:val="clear" w:color="auto" w:fill="FFFFFF"/>
        </w:rPr>
        <w:t>2024</w:t>
      </w:r>
      <w:r w:rsidR="00A70DC9" w:rsidRPr="00F748E2">
        <w:rPr>
          <w:rFonts w:ascii="Arial" w:hAnsi="Arial" w:cs="Arial"/>
          <w:sz w:val="22"/>
          <w:shd w:val="clear" w:color="auto" w:fill="FFFFFF"/>
        </w:rPr>
        <w:t>)</w:t>
      </w:r>
      <w:r w:rsidRPr="00F748E2">
        <w:rPr>
          <w:rFonts w:ascii="Arial" w:hAnsi="Arial" w:cs="Arial"/>
          <w:sz w:val="22"/>
          <w:shd w:val="clear" w:color="auto" w:fill="FFFFFF"/>
        </w:rPr>
        <w:t>. Exploring the horizons of education: Insights from UNESCO's 2030 agenda. </w:t>
      </w:r>
      <w:r w:rsidRPr="00F748E2">
        <w:rPr>
          <w:rFonts w:ascii="Arial" w:hAnsi="Arial" w:cs="Arial"/>
          <w:i/>
          <w:iCs/>
          <w:sz w:val="22"/>
          <w:shd w:val="clear" w:color="auto" w:fill="FFFFFF"/>
        </w:rPr>
        <w:t>International Journal of Eurasian Education and Culture</w:t>
      </w:r>
      <w:r w:rsidRPr="00F748E2">
        <w:rPr>
          <w:rFonts w:ascii="Arial" w:hAnsi="Arial" w:cs="Arial"/>
          <w:sz w:val="22"/>
          <w:shd w:val="clear" w:color="auto" w:fill="FFFFFF"/>
        </w:rPr>
        <w:t>, </w:t>
      </w:r>
      <w:r w:rsidRPr="00F748E2">
        <w:rPr>
          <w:rFonts w:ascii="Arial" w:hAnsi="Arial" w:cs="Arial"/>
          <w:i/>
          <w:iCs/>
          <w:sz w:val="22"/>
          <w:shd w:val="clear" w:color="auto" w:fill="FFFFFF"/>
        </w:rPr>
        <w:t>9</w:t>
      </w:r>
      <w:r w:rsidRPr="00F748E2">
        <w:rPr>
          <w:rFonts w:ascii="Arial" w:hAnsi="Arial" w:cs="Arial"/>
          <w:sz w:val="22"/>
          <w:shd w:val="clear" w:color="auto" w:fill="FFFFFF"/>
        </w:rPr>
        <w:t>(25), pp.167-179.</w:t>
      </w:r>
    </w:p>
    <w:p w14:paraId="68D3857B" w14:textId="77777777"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lastRenderedPageBreak/>
        <w:t>Ramey, C.T. and Ramey, S.L., (2023). Early childhood education that promotes lifelong learning, health, and social well-being: The Abecedarian Project and its replications.</w:t>
      </w:r>
    </w:p>
    <w:p w14:paraId="15B4BEB1" w14:textId="77777777"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Riordan, S., The Pupil Premium: A policy that changed the education landscape in England. In </w:t>
      </w:r>
      <w:r w:rsidRPr="00F748E2">
        <w:rPr>
          <w:rFonts w:ascii="Arial" w:hAnsi="Arial" w:cs="Arial"/>
          <w:i/>
          <w:iCs/>
          <w:sz w:val="22"/>
          <w:shd w:val="clear" w:color="auto" w:fill="FFFFFF"/>
        </w:rPr>
        <w:t>Education Policy in England 2010–2024</w:t>
      </w:r>
      <w:r w:rsidRPr="00F748E2">
        <w:rPr>
          <w:rFonts w:ascii="Arial" w:hAnsi="Arial" w:cs="Arial"/>
          <w:sz w:val="22"/>
          <w:shd w:val="clear" w:color="auto" w:fill="FFFFFF"/>
        </w:rPr>
        <w:t> (pp. 123-133). Routledge.</w:t>
      </w:r>
    </w:p>
    <w:p w14:paraId="52043B35" w14:textId="72AA81FA"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Sambrook, L., McIntyre, J.C., Nathan, R., Tait, J., Ashley-Mudie, P., Humphreys, M., Wilson, P. and Saini, P., </w:t>
      </w:r>
      <w:r w:rsidR="00A70DC9" w:rsidRPr="00F748E2">
        <w:rPr>
          <w:rFonts w:ascii="Arial" w:hAnsi="Arial" w:cs="Arial"/>
          <w:sz w:val="22"/>
          <w:shd w:val="clear" w:color="auto" w:fill="FFFFFF"/>
        </w:rPr>
        <w:t>(</w:t>
      </w:r>
      <w:r w:rsidRPr="00F748E2">
        <w:rPr>
          <w:rFonts w:ascii="Arial" w:hAnsi="Arial" w:cs="Arial"/>
          <w:sz w:val="22"/>
          <w:shd w:val="clear" w:color="auto" w:fill="FFFFFF"/>
        </w:rPr>
        <w:t>2025</w:t>
      </w:r>
      <w:r w:rsidR="00A70DC9" w:rsidRPr="00F748E2">
        <w:rPr>
          <w:rFonts w:ascii="Arial" w:hAnsi="Arial" w:cs="Arial"/>
          <w:sz w:val="22"/>
          <w:shd w:val="clear" w:color="auto" w:fill="FFFFFF"/>
        </w:rPr>
        <w:t>)</w:t>
      </w:r>
      <w:r w:rsidRPr="00F748E2">
        <w:rPr>
          <w:rFonts w:ascii="Arial" w:hAnsi="Arial" w:cs="Arial"/>
          <w:sz w:val="22"/>
          <w:shd w:val="clear" w:color="auto" w:fill="FFFFFF"/>
        </w:rPr>
        <w:t>. ‘A community in crisis’: staff qualitative experiences of NHS and third sector mental healthcare in England. </w:t>
      </w:r>
      <w:r w:rsidRPr="00F748E2">
        <w:rPr>
          <w:rFonts w:ascii="Arial" w:hAnsi="Arial" w:cs="Arial"/>
          <w:i/>
          <w:iCs/>
          <w:sz w:val="22"/>
          <w:shd w:val="clear" w:color="auto" w:fill="FFFFFF"/>
        </w:rPr>
        <w:t>BJPsych Open</w:t>
      </w:r>
      <w:r w:rsidRPr="00F748E2">
        <w:rPr>
          <w:rFonts w:ascii="Arial" w:hAnsi="Arial" w:cs="Arial"/>
          <w:sz w:val="22"/>
          <w:shd w:val="clear" w:color="auto" w:fill="FFFFFF"/>
        </w:rPr>
        <w:t>, </w:t>
      </w:r>
      <w:r w:rsidRPr="00F748E2">
        <w:rPr>
          <w:rFonts w:ascii="Arial" w:hAnsi="Arial" w:cs="Arial"/>
          <w:i/>
          <w:iCs/>
          <w:sz w:val="22"/>
          <w:shd w:val="clear" w:color="auto" w:fill="FFFFFF"/>
        </w:rPr>
        <w:t>11</w:t>
      </w:r>
      <w:r w:rsidRPr="00F748E2">
        <w:rPr>
          <w:rFonts w:ascii="Arial" w:hAnsi="Arial" w:cs="Arial"/>
          <w:sz w:val="22"/>
          <w:shd w:val="clear" w:color="auto" w:fill="FFFFFF"/>
        </w:rPr>
        <w:t>(5), p.e210.</w:t>
      </w:r>
    </w:p>
    <w:p w14:paraId="07602EDC" w14:textId="77777777"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Solang, D.J., Yunus, M., Rukmini, B.S., Kurnia, K. and Umam, K., (2024). The impact of early childhood education on long-term outcomes. </w:t>
      </w:r>
      <w:r w:rsidRPr="00F748E2">
        <w:rPr>
          <w:rFonts w:ascii="Arial" w:hAnsi="Arial" w:cs="Arial"/>
          <w:i/>
          <w:iCs/>
          <w:sz w:val="22"/>
          <w:shd w:val="clear" w:color="auto" w:fill="FFFFFF"/>
        </w:rPr>
        <w:t>The Journal of Academic Science</w:t>
      </w:r>
      <w:r w:rsidRPr="00F748E2">
        <w:rPr>
          <w:rFonts w:ascii="Arial" w:hAnsi="Arial" w:cs="Arial"/>
          <w:sz w:val="22"/>
          <w:shd w:val="clear" w:color="auto" w:fill="FFFFFF"/>
        </w:rPr>
        <w:t>, </w:t>
      </w:r>
      <w:r w:rsidRPr="00F748E2">
        <w:rPr>
          <w:rFonts w:ascii="Arial" w:hAnsi="Arial" w:cs="Arial"/>
          <w:i/>
          <w:iCs/>
          <w:sz w:val="22"/>
          <w:shd w:val="clear" w:color="auto" w:fill="FFFFFF"/>
        </w:rPr>
        <w:t>1</w:t>
      </w:r>
      <w:r w:rsidRPr="00F748E2">
        <w:rPr>
          <w:rFonts w:ascii="Arial" w:hAnsi="Arial" w:cs="Arial"/>
          <w:sz w:val="22"/>
          <w:shd w:val="clear" w:color="auto" w:fill="FFFFFF"/>
        </w:rPr>
        <w:t>(4), pp.350-361.</w:t>
      </w:r>
    </w:p>
    <w:p w14:paraId="0FF24FCB" w14:textId="1FD91692"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Stansbury, A., Turner, D. and Balls, E., </w:t>
      </w:r>
      <w:r w:rsidR="00A70DC9" w:rsidRPr="00F748E2">
        <w:rPr>
          <w:rFonts w:ascii="Arial" w:hAnsi="Arial" w:cs="Arial"/>
          <w:sz w:val="22"/>
          <w:shd w:val="clear" w:color="auto" w:fill="FFFFFF"/>
        </w:rPr>
        <w:t>(</w:t>
      </w:r>
      <w:r w:rsidRPr="00F748E2">
        <w:rPr>
          <w:rFonts w:ascii="Arial" w:hAnsi="Arial" w:cs="Arial"/>
          <w:sz w:val="22"/>
          <w:shd w:val="clear" w:color="auto" w:fill="FFFFFF"/>
        </w:rPr>
        <w:t>2023</w:t>
      </w:r>
      <w:r w:rsidR="00A70DC9" w:rsidRPr="00F748E2">
        <w:rPr>
          <w:rFonts w:ascii="Arial" w:hAnsi="Arial" w:cs="Arial"/>
          <w:sz w:val="22"/>
          <w:shd w:val="clear" w:color="auto" w:fill="FFFFFF"/>
        </w:rPr>
        <w:t>)</w:t>
      </w:r>
      <w:r w:rsidRPr="00F748E2">
        <w:rPr>
          <w:rFonts w:ascii="Arial" w:hAnsi="Arial" w:cs="Arial"/>
          <w:sz w:val="22"/>
          <w:shd w:val="clear" w:color="auto" w:fill="FFFFFF"/>
        </w:rPr>
        <w:t>. Tackling the UK’s regional economic inequality: Binding constraints and avenues for policy intervention. </w:t>
      </w:r>
      <w:r w:rsidRPr="00F748E2">
        <w:rPr>
          <w:rFonts w:ascii="Arial" w:hAnsi="Arial" w:cs="Arial"/>
          <w:i/>
          <w:iCs/>
          <w:sz w:val="22"/>
          <w:shd w:val="clear" w:color="auto" w:fill="FFFFFF"/>
        </w:rPr>
        <w:t>Contemporary Social Science</w:t>
      </w:r>
      <w:r w:rsidRPr="00F748E2">
        <w:rPr>
          <w:rFonts w:ascii="Arial" w:hAnsi="Arial" w:cs="Arial"/>
          <w:sz w:val="22"/>
          <w:shd w:val="clear" w:color="auto" w:fill="FFFFFF"/>
        </w:rPr>
        <w:t>, </w:t>
      </w:r>
      <w:r w:rsidRPr="00F748E2">
        <w:rPr>
          <w:rFonts w:ascii="Arial" w:hAnsi="Arial" w:cs="Arial"/>
          <w:i/>
          <w:iCs/>
          <w:sz w:val="22"/>
          <w:shd w:val="clear" w:color="auto" w:fill="FFFFFF"/>
        </w:rPr>
        <w:t>18</w:t>
      </w:r>
      <w:r w:rsidRPr="00F748E2">
        <w:rPr>
          <w:rFonts w:ascii="Arial" w:hAnsi="Arial" w:cs="Arial"/>
          <w:sz w:val="22"/>
          <w:shd w:val="clear" w:color="auto" w:fill="FFFFFF"/>
        </w:rPr>
        <w:t>(3-4), pp.318-356.</w:t>
      </w:r>
    </w:p>
    <w:p w14:paraId="5DEBD61E" w14:textId="77777777" w:rsidR="00936528" w:rsidRPr="00F748E2" w:rsidRDefault="00000000" w:rsidP="00F748E2">
      <w:pPr>
        <w:spacing w:line="360" w:lineRule="auto"/>
        <w:ind w:left="720" w:hanging="720"/>
        <w:rPr>
          <w:rFonts w:ascii="Arial" w:hAnsi="Arial" w:cs="Arial"/>
          <w:sz w:val="22"/>
        </w:rPr>
      </w:pPr>
      <w:r w:rsidRPr="00F748E2">
        <w:rPr>
          <w:rFonts w:ascii="Arial" w:hAnsi="Arial" w:cs="Arial"/>
          <w:sz w:val="22"/>
        </w:rPr>
        <w:t xml:space="preserve">United Nations (2015). </w:t>
      </w:r>
      <w:r w:rsidRPr="00F748E2">
        <w:rPr>
          <w:rFonts w:ascii="Arial" w:hAnsi="Arial" w:cs="Arial"/>
          <w:i/>
          <w:iCs/>
          <w:sz w:val="22"/>
        </w:rPr>
        <w:t>The 17 Sustainable Development Goals</w:t>
      </w:r>
      <w:r w:rsidRPr="00F748E2">
        <w:rPr>
          <w:rFonts w:ascii="Arial" w:hAnsi="Arial" w:cs="Arial"/>
          <w:sz w:val="22"/>
        </w:rPr>
        <w:t xml:space="preserve">. [online] United Nations. Available at: </w:t>
      </w:r>
      <w:hyperlink r:id="rId11" w:history="1">
        <w:r w:rsidR="00936528" w:rsidRPr="00F748E2">
          <w:rPr>
            <w:rStyle w:val="Hyperlink"/>
            <w:rFonts w:ascii="Arial" w:hAnsi="Arial" w:cs="Arial"/>
            <w:sz w:val="22"/>
          </w:rPr>
          <w:t>https://sdgs.un.org/goals</w:t>
        </w:r>
      </w:hyperlink>
      <w:r w:rsidRPr="00F748E2">
        <w:rPr>
          <w:rFonts w:ascii="Arial" w:hAnsi="Arial" w:cs="Arial"/>
          <w:sz w:val="22"/>
        </w:rPr>
        <w:t xml:space="preserve"> [Accessed 13 Jun. 2026].</w:t>
      </w:r>
    </w:p>
    <w:p w14:paraId="3B821FA8" w14:textId="4B106FD6"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Wagner, D.A., Castillo, N.M. and Lewis, S. eds., </w:t>
      </w:r>
      <w:r w:rsidR="00A70DC9" w:rsidRPr="00F748E2">
        <w:rPr>
          <w:rFonts w:ascii="Arial" w:hAnsi="Arial" w:cs="Arial"/>
          <w:sz w:val="22"/>
          <w:shd w:val="clear" w:color="auto" w:fill="FFFFFF"/>
        </w:rPr>
        <w:t>(</w:t>
      </w:r>
      <w:r w:rsidRPr="00F748E2">
        <w:rPr>
          <w:rFonts w:ascii="Arial" w:hAnsi="Arial" w:cs="Arial"/>
          <w:sz w:val="22"/>
          <w:shd w:val="clear" w:color="auto" w:fill="FFFFFF"/>
        </w:rPr>
        <w:t>2022</w:t>
      </w:r>
      <w:r w:rsidR="00A70DC9" w:rsidRPr="00F748E2">
        <w:rPr>
          <w:rFonts w:ascii="Arial" w:hAnsi="Arial" w:cs="Arial"/>
          <w:sz w:val="22"/>
          <w:shd w:val="clear" w:color="auto" w:fill="FFFFFF"/>
        </w:rPr>
        <w:t>)</w:t>
      </w:r>
      <w:r w:rsidRPr="00F748E2">
        <w:rPr>
          <w:rFonts w:ascii="Arial" w:hAnsi="Arial" w:cs="Arial"/>
          <w:sz w:val="22"/>
          <w:shd w:val="clear" w:color="auto" w:fill="FFFFFF"/>
        </w:rPr>
        <w:t>. </w:t>
      </w:r>
      <w:r w:rsidRPr="00F748E2">
        <w:rPr>
          <w:rFonts w:ascii="Arial" w:hAnsi="Arial" w:cs="Arial"/>
          <w:i/>
          <w:iCs/>
          <w:sz w:val="22"/>
          <w:shd w:val="clear" w:color="auto" w:fill="FFFFFF"/>
        </w:rPr>
        <w:t>Learning, marginalisation, and improving the quality of education in low-income countries</w:t>
      </w:r>
      <w:r w:rsidRPr="00F748E2">
        <w:rPr>
          <w:rFonts w:ascii="Arial" w:hAnsi="Arial" w:cs="Arial"/>
          <w:sz w:val="22"/>
          <w:shd w:val="clear" w:color="auto" w:fill="FFFFFF"/>
        </w:rPr>
        <w:t>. Open Book Publishers.</w:t>
      </w:r>
    </w:p>
    <w:p w14:paraId="0A0532F2" w14:textId="0B5E2734"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World Health Organisation </w:t>
      </w:r>
      <w:r w:rsidR="00A70DC9" w:rsidRPr="00F748E2">
        <w:rPr>
          <w:rFonts w:ascii="Arial" w:hAnsi="Arial" w:cs="Arial"/>
          <w:sz w:val="22"/>
          <w:shd w:val="clear" w:color="auto" w:fill="FFFFFF"/>
        </w:rPr>
        <w:t>(</w:t>
      </w:r>
      <w:r w:rsidRPr="00F748E2">
        <w:rPr>
          <w:rFonts w:ascii="Arial" w:hAnsi="Arial" w:cs="Arial"/>
          <w:sz w:val="22"/>
          <w:shd w:val="clear" w:color="auto" w:fill="FFFFFF"/>
        </w:rPr>
        <w:t>2022</w:t>
      </w:r>
      <w:r w:rsidR="00A70DC9" w:rsidRPr="00F748E2">
        <w:rPr>
          <w:rFonts w:ascii="Arial" w:hAnsi="Arial" w:cs="Arial"/>
          <w:sz w:val="22"/>
          <w:shd w:val="clear" w:color="auto" w:fill="FFFFFF"/>
        </w:rPr>
        <w:t>)</w:t>
      </w:r>
      <w:r w:rsidRPr="00F748E2">
        <w:rPr>
          <w:rFonts w:ascii="Arial" w:hAnsi="Arial" w:cs="Arial"/>
          <w:sz w:val="22"/>
          <w:shd w:val="clear" w:color="auto" w:fill="FFFFFF"/>
        </w:rPr>
        <w:t>. </w:t>
      </w:r>
      <w:r w:rsidRPr="00F748E2">
        <w:rPr>
          <w:rFonts w:ascii="Arial" w:hAnsi="Arial" w:cs="Arial"/>
          <w:i/>
          <w:iCs/>
          <w:sz w:val="22"/>
          <w:shd w:val="clear" w:color="auto" w:fill="FFFFFF"/>
        </w:rPr>
        <w:t>WHO European framework for action on mental health 2021–2025</w:t>
      </w:r>
      <w:r w:rsidRPr="00F748E2">
        <w:rPr>
          <w:rFonts w:ascii="Arial" w:hAnsi="Arial" w:cs="Arial"/>
          <w:sz w:val="22"/>
          <w:shd w:val="clear" w:color="auto" w:fill="FFFFFF"/>
        </w:rPr>
        <w:t>. World Health Organisation. Regional Office for Europe.</w:t>
      </w:r>
    </w:p>
    <w:p w14:paraId="04802943" w14:textId="085985E6" w:rsidR="00936528" w:rsidRPr="00F748E2" w:rsidRDefault="00000000" w:rsidP="00F748E2">
      <w:pPr>
        <w:spacing w:line="360" w:lineRule="auto"/>
        <w:ind w:left="720" w:hanging="720"/>
        <w:rPr>
          <w:rFonts w:ascii="Arial" w:hAnsi="Arial" w:cs="Arial"/>
          <w:sz w:val="22"/>
          <w:shd w:val="clear" w:color="auto" w:fill="FFFFFF"/>
        </w:rPr>
      </w:pPr>
      <w:r w:rsidRPr="00F748E2">
        <w:rPr>
          <w:rFonts w:ascii="Arial" w:hAnsi="Arial" w:cs="Arial"/>
          <w:sz w:val="22"/>
          <w:shd w:val="clear" w:color="auto" w:fill="FFFFFF"/>
        </w:rPr>
        <w:t xml:space="preserve">Zapata-Barrero, R. and Mansouri, F., </w:t>
      </w:r>
      <w:r w:rsidR="00A70DC9" w:rsidRPr="00F748E2">
        <w:rPr>
          <w:rFonts w:ascii="Arial" w:hAnsi="Arial" w:cs="Arial"/>
          <w:sz w:val="22"/>
          <w:shd w:val="clear" w:color="auto" w:fill="FFFFFF"/>
        </w:rPr>
        <w:t>(</w:t>
      </w:r>
      <w:r w:rsidRPr="00F748E2">
        <w:rPr>
          <w:rFonts w:ascii="Arial" w:hAnsi="Arial" w:cs="Arial"/>
          <w:sz w:val="22"/>
          <w:shd w:val="clear" w:color="auto" w:fill="FFFFFF"/>
        </w:rPr>
        <w:t>2022</w:t>
      </w:r>
      <w:r w:rsidR="00A70DC9" w:rsidRPr="00F748E2">
        <w:rPr>
          <w:rFonts w:ascii="Arial" w:hAnsi="Arial" w:cs="Arial"/>
          <w:sz w:val="22"/>
          <w:shd w:val="clear" w:color="auto" w:fill="FFFFFF"/>
        </w:rPr>
        <w:t>)</w:t>
      </w:r>
      <w:r w:rsidRPr="00F748E2">
        <w:rPr>
          <w:rFonts w:ascii="Arial" w:hAnsi="Arial" w:cs="Arial"/>
          <w:sz w:val="22"/>
          <w:shd w:val="clear" w:color="auto" w:fill="FFFFFF"/>
        </w:rPr>
        <w:t>. A multi-scale approach to interculturalism: from globalised politics to localised policy and practice. </w:t>
      </w:r>
      <w:r w:rsidRPr="00F748E2">
        <w:rPr>
          <w:rFonts w:ascii="Arial" w:hAnsi="Arial" w:cs="Arial"/>
          <w:i/>
          <w:iCs/>
          <w:sz w:val="22"/>
          <w:shd w:val="clear" w:color="auto" w:fill="FFFFFF"/>
        </w:rPr>
        <w:t>Journal of International Migration and Integration</w:t>
      </w:r>
      <w:r w:rsidRPr="00F748E2">
        <w:rPr>
          <w:rFonts w:ascii="Arial" w:hAnsi="Arial" w:cs="Arial"/>
          <w:sz w:val="22"/>
          <w:shd w:val="clear" w:color="auto" w:fill="FFFFFF"/>
        </w:rPr>
        <w:t>, </w:t>
      </w:r>
      <w:r w:rsidRPr="00F748E2">
        <w:rPr>
          <w:rFonts w:ascii="Arial" w:hAnsi="Arial" w:cs="Arial"/>
          <w:i/>
          <w:iCs/>
          <w:sz w:val="22"/>
          <w:shd w:val="clear" w:color="auto" w:fill="FFFFFF"/>
        </w:rPr>
        <w:t>23</w:t>
      </w:r>
      <w:r w:rsidRPr="00F748E2">
        <w:rPr>
          <w:rFonts w:ascii="Arial" w:hAnsi="Arial" w:cs="Arial"/>
          <w:sz w:val="22"/>
          <w:shd w:val="clear" w:color="auto" w:fill="FFFFFF"/>
        </w:rPr>
        <w:t>(2), pp.775-795.</w:t>
      </w:r>
    </w:p>
    <w:sectPr w:rsidR="00936528" w:rsidRPr="00F748E2">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CB9028" w14:textId="77777777" w:rsidR="009E7872" w:rsidRDefault="009E7872">
      <w:pPr>
        <w:spacing w:after="0" w:line="240" w:lineRule="auto"/>
      </w:pPr>
      <w:r>
        <w:separator/>
      </w:r>
    </w:p>
  </w:endnote>
  <w:endnote w:type="continuationSeparator" w:id="0">
    <w:p w14:paraId="1AB77B3B" w14:textId="77777777" w:rsidR="009E7872" w:rsidRDefault="009E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634DC"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205B"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30A06"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088D9C" w14:textId="77777777" w:rsidR="009E7872" w:rsidRDefault="009E7872">
      <w:pPr>
        <w:spacing w:after="0" w:line="240" w:lineRule="auto"/>
      </w:pPr>
      <w:r>
        <w:separator/>
      </w:r>
    </w:p>
  </w:footnote>
  <w:footnote w:type="continuationSeparator" w:id="0">
    <w:p w14:paraId="5533069B" w14:textId="77777777" w:rsidR="009E7872" w:rsidRDefault="009E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8DDB8"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2FC86290" w:rsidR="00540FF6"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D13B0"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567E5"/>
    <w:multiLevelType w:val="multilevel"/>
    <w:tmpl w:val="18E8CA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C4DA0"/>
    <w:multiLevelType w:val="multilevel"/>
    <w:tmpl w:val="873C9B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A11F25"/>
    <w:multiLevelType w:val="hybridMultilevel"/>
    <w:tmpl w:val="25F0AD82"/>
    <w:lvl w:ilvl="0" w:tplc="89A4CE42">
      <w:start w:val="1"/>
      <w:numFmt w:val="bullet"/>
      <w:lvlText w:val=""/>
      <w:lvlJc w:val="left"/>
      <w:pPr>
        <w:ind w:left="720" w:hanging="360"/>
      </w:pPr>
      <w:rPr>
        <w:rFonts w:ascii="Symbol" w:hAnsi="Symbol" w:hint="default"/>
      </w:rPr>
    </w:lvl>
    <w:lvl w:ilvl="1" w:tplc="31BC84A0" w:tentative="1">
      <w:start w:val="1"/>
      <w:numFmt w:val="bullet"/>
      <w:lvlText w:val="o"/>
      <w:lvlJc w:val="left"/>
      <w:pPr>
        <w:ind w:left="1440" w:hanging="360"/>
      </w:pPr>
      <w:rPr>
        <w:rFonts w:ascii="Courier New" w:hAnsi="Courier New" w:cs="Courier New" w:hint="default"/>
      </w:rPr>
    </w:lvl>
    <w:lvl w:ilvl="2" w:tplc="58784AA8" w:tentative="1">
      <w:start w:val="1"/>
      <w:numFmt w:val="bullet"/>
      <w:lvlText w:val=""/>
      <w:lvlJc w:val="left"/>
      <w:pPr>
        <w:ind w:left="2160" w:hanging="360"/>
      </w:pPr>
      <w:rPr>
        <w:rFonts w:ascii="Wingdings" w:hAnsi="Wingdings" w:hint="default"/>
      </w:rPr>
    </w:lvl>
    <w:lvl w:ilvl="3" w:tplc="9CA28C50" w:tentative="1">
      <w:start w:val="1"/>
      <w:numFmt w:val="bullet"/>
      <w:lvlText w:val=""/>
      <w:lvlJc w:val="left"/>
      <w:pPr>
        <w:ind w:left="2880" w:hanging="360"/>
      </w:pPr>
      <w:rPr>
        <w:rFonts w:ascii="Symbol" w:hAnsi="Symbol" w:hint="default"/>
      </w:rPr>
    </w:lvl>
    <w:lvl w:ilvl="4" w:tplc="5A5AB842" w:tentative="1">
      <w:start w:val="1"/>
      <w:numFmt w:val="bullet"/>
      <w:lvlText w:val="o"/>
      <w:lvlJc w:val="left"/>
      <w:pPr>
        <w:ind w:left="3600" w:hanging="360"/>
      </w:pPr>
      <w:rPr>
        <w:rFonts w:ascii="Courier New" w:hAnsi="Courier New" w:cs="Courier New" w:hint="default"/>
      </w:rPr>
    </w:lvl>
    <w:lvl w:ilvl="5" w:tplc="5276E966" w:tentative="1">
      <w:start w:val="1"/>
      <w:numFmt w:val="bullet"/>
      <w:lvlText w:val=""/>
      <w:lvlJc w:val="left"/>
      <w:pPr>
        <w:ind w:left="4320" w:hanging="360"/>
      </w:pPr>
      <w:rPr>
        <w:rFonts w:ascii="Wingdings" w:hAnsi="Wingdings" w:hint="default"/>
      </w:rPr>
    </w:lvl>
    <w:lvl w:ilvl="6" w:tplc="6C964402" w:tentative="1">
      <w:start w:val="1"/>
      <w:numFmt w:val="bullet"/>
      <w:lvlText w:val=""/>
      <w:lvlJc w:val="left"/>
      <w:pPr>
        <w:ind w:left="5040" w:hanging="360"/>
      </w:pPr>
      <w:rPr>
        <w:rFonts w:ascii="Symbol" w:hAnsi="Symbol" w:hint="default"/>
      </w:rPr>
    </w:lvl>
    <w:lvl w:ilvl="7" w:tplc="7F4055C6" w:tentative="1">
      <w:start w:val="1"/>
      <w:numFmt w:val="bullet"/>
      <w:lvlText w:val="o"/>
      <w:lvlJc w:val="left"/>
      <w:pPr>
        <w:ind w:left="5760" w:hanging="360"/>
      </w:pPr>
      <w:rPr>
        <w:rFonts w:ascii="Courier New" w:hAnsi="Courier New" w:cs="Courier New" w:hint="default"/>
      </w:rPr>
    </w:lvl>
    <w:lvl w:ilvl="8" w:tplc="E7D43F66" w:tentative="1">
      <w:start w:val="1"/>
      <w:numFmt w:val="bullet"/>
      <w:lvlText w:val=""/>
      <w:lvlJc w:val="left"/>
      <w:pPr>
        <w:ind w:left="6480" w:hanging="360"/>
      </w:pPr>
      <w:rPr>
        <w:rFonts w:ascii="Wingdings" w:hAnsi="Wingdings" w:hint="default"/>
      </w:rPr>
    </w:lvl>
  </w:abstractNum>
  <w:abstractNum w:abstractNumId="3" w15:restartNumberingAfterBreak="0">
    <w:nsid w:val="0ABC0F32"/>
    <w:multiLevelType w:val="multilevel"/>
    <w:tmpl w:val="3F4C9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B8607B"/>
    <w:multiLevelType w:val="multilevel"/>
    <w:tmpl w:val="58E26E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586BF2"/>
    <w:multiLevelType w:val="hybridMultilevel"/>
    <w:tmpl w:val="E5C8BE4E"/>
    <w:lvl w:ilvl="0" w:tplc="10480734">
      <w:start w:val="1"/>
      <w:numFmt w:val="bullet"/>
      <w:lvlText w:val=""/>
      <w:lvlJc w:val="left"/>
      <w:pPr>
        <w:ind w:left="720" w:hanging="360"/>
      </w:pPr>
      <w:rPr>
        <w:rFonts w:ascii="Symbol" w:hAnsi="Symbol" w:hint="default"/>
      </w:rPr>
    </w:lvl>
    <w:lvl w:ilvl="1" w:tplc="D47C203C" w:tentative="1">
      <w:start w:val="1"/>
      <w:numFmt w:val="bullet"/>
      <w:lvlText w:val="o"/>
      <w:lvlJc w:val="left"/>
      <w:pPr>
        <w:ind w:left="1440" w:hanging="360"/>
      </w:pPr>
      <w:rPr>
        <w:rFonts w:ascii="Courier New" w:hAnsi="Courier New" w:cs="Courier New" w:hint="default"/>
      </w:rPr>
    </w:lvl>
    <w:lvl w:ilvl="2" w:tplc="1930B224" w:tentative="1">
      <w:start w:val="1"/>
      <w:numFmt w:val="bullet"/>
      <w:lvlText w:val=""/>
      <w:lvlJc w:val="left"/>
      <w:pPr>
        <w:ind w:left="2160" w:hanging="360"/>
      </w:pPr>
      <w:rPr>
        <w:rFonts w:ascii="Wingdings" w:hAnsi="Wingdings" w:hint="default"/>
      </w:rPr>
    </w:lvl>
    <w:lvl w:ilvl="3" w:tplc="8C7C16C2" w:tentative="1">
      <w:start w:val="1"/>
      <w:numFmt w:val="bullet"/>
      <w:lvlText w:val=""/>
      <w:lvlJc w:val="left"/>
      <w:pPr>
        <w:ind w:left="2880" w:hanging="360"/>
      </w:pPr>
      <w:rPr>
        <w:rFonts w:ascii="Symbol" w:hAnsi="Symbol" w:hint="default"/>
      </w:rPr>
    </w:lvl>
    <w:lvl w:ilvl="4" w:tplc="987EBF30" w:tentative="1">
      <w:start w:val="1"/>
      <w:numFmt w:val="bullet"/>
      <w:lvlText w:val="o"/>
      <w:lvlJc w:val="left"/>
      <w:pPr>
        <w:ind w:left="3600" w:hanging="360"/>
      </w:pPr>
      <w:rPr>
        <w:rFonts w:ascii="Courier New" w:hAnsi="Courier New" w:cs="Courier New" w:hint="default"/>
      </w:rPr>
    </w:lvl>
    <w:lvl w:ilvl="5" w:tplc="1156960A" w:tentative="1">
      <w:start w:val="1"/>
      <w:numFmt w:val="bullet"/>
      <w:lvlText w:val=""/>
      <w:lvlJc w:val="left"/>
      <w:pPr>
        <w:ind w:left="4320" w:hanging="360"/>
      </w:pPr>
      <w:rPr>
        <w:rFonts w:ascii="Wingdings" w:hAnsi="Wingdings" w:hint="default"/>
      </w:rPr>
    </w:lvl>
    <w:lvl w:ilvl="6" w:tplc="A4EC6FD2" w:tentative="1">
      <w:start w:val="1"/>
      <w:numFmt w:val="bullet"/>
      <w:lvlText w:val=""/>
      <w:lvlJc w:val="left"/>
      <w:pPr>
        <w:ind w:left="5040" w:hanging="360"/>
      </w:pPr>
      <w:rPr>
        <w:rFonts w:ascii="Symbol" w:hAnsi="Symbol" w:hint="default"/>
      </w:rPr>
    </w:lvl>
    <w:lvl w:ilvl="7" w:tplc="597C5E4E" w:tentative="1">
      <w:start w:val="1"/>
      <w:numFmt w:val="bullet"/>
      <w:lvlText w:val="o"/>
      <w:lvlJc w:val="left"/>
      <w:pPr>
        <w:ind w:left="5760" w:hanging="360"/>
      </w:pPr>
      <w:rPr>
        <w:rFonts w:ascii="Courier New" w:hAnsi="Courier New" w:cs="Courier New" w:hint="default"/>
      </w:rPr>
    </w:lvl>
    <w:lvl w:ilvl="8" w:tplc="5A68D182" w:tentative="1">
      <w:start w:val="1"/>
      <w:numFmt w:val="bullet"/>
      <w:lvlText w:val=""/>
      <w:lvlJc w:val="left"/>
      <w:pPr>
        <w:ind w:left="6480" w:hanging="360"/>
      </w:pPr>
      <w:rPr>
        <w:rFonts w:ascii="Wingdings" w:hAnsi="Wingdings" w:hint="default"/>
      </w:rPr>
    </w:lvl>
  </w:abstractNum>
  <w:abstractNum w:abstractNumId="6" w15:restartNumberingAfterBreak="0">
    <w:nsid w:val="2F354F75"/>
    <w:multiLevelType w:val="multilevel"/>
    <w:tmpl w:val="0ABC1A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347671"/>
    <w:multiLevelType w:val="multilevel"/>
    <w:tmpl w:val="56EE82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5738DC"/>
    <w:multiLevelType w:val="multilevel"/>
    <w:tmpl w:val="FD3A3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293718"/>
    <w:multiLevelType w:val="multilevel"/>
    <w:tmpl w:val="9B326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836ED2"/>
    <w:multiLevelType w:val="multilevel"/>
    <w:tmpl w:val="72EAF2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D63CA4"/>
    <w:multiLevelType w:val="multilevel"/>
    <w:tmpl w:val="651C47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671407"/>
    <w:multiLevelType w:val="hybridMultilevel"/>
    <w:tmpl w:val="274E4772"/>
    <w:lvl w:ilvl="0" w:tplc="0472D712">
      <w:start w:val="1"/>
      <w:numFmt w:val="decimal"/>
      <w:lvlText w:val="%1."/>
      <w:lvlJc w:val="left"/>
      <w:pPr>
        <w:ind w:left="720" w:hanging="360"/>
      </w:pPr>
    </w:lvl>
    <w:lvl w:ilvl="1" w:tplc="44C6D13C" w:tentative="1">
      <w:start w:val="1"/>
      <w:numFmt w:val="lowerLetter"/>
      <w:lvlText w:val="%2."/>
      <w:lvlJc w:val="left"/>
      <w:pPr>
        <w:ind w:left="1440" w:hanging="360"/>
      </w:pPr>
    </w:lvl>
    <w:lvl w:ilvl="2" w:tplc="63E26C20" w:tentative="1">
      <w:start w:val="1"/>
      <w:numFmt w:val="lowerRoman"/>
      <w:lvlText w:val="%3."/>
      <w:lvlJc w:val="right"/>
      <w:pPr>
        <w:ind w:left="2160" w:hanging="180"/>
      </w:pPr>
    </w:lvl>
    <w:lvl w:ilvl="3" w:tplc="93EC6C0E" w:tentative="1">
      <w:start w:val="1"/>
      <w:numFmt w:val="decimal"/>
      <w:lvlText w:val="%4."/>
      <w:lvlJc w:val="left"/>
      <w:pPr>
        <w:ind w:left="2880" w:hanging="360"/>
      </w:pPr>
    </w:lvl>
    <w:lvl w:ilvl="4" w:tplc="EDBAA36E" w:tentative="1">
      <w:start w:val="1"/>
      <w:numFmt w:val="lowerLetter"/>
      <w:lvlText w:val="%5."/>
      <w:lvlJc w:val="left"/>
      <w:pPr>
        <w:ind w:left="3600" w:hanging="360"/>
      </w:pPr>
    </w:lvl>
    <w:lvl w:ilvl="5" w:tplc="2CC04B80" w:tentative="1">
      <w:start w:val="1"/>
      <w:numFmt w:val="lowerRoman"/>
      <w:lvlText w:val="%6."/>
      <w:lvlJc w:val="right"/>
      <w:pPr>
        <w:ind w:left="4320" w:hanging="180"/>
      </w:pPr>
    </w:lvl>
    <w:lvl w:ilvl="6" w:tplc="0040EDB4" w:tentative="1">
      <w:start w:val="1"/>
      <w:numFmt w:val="decimal"/>
      <w:lvlText w:val="%7."/>
      <w:lvlJc w:val="left"/>
      <w:pPr>
        <w:ind w:left="5040" w:hanging="360"/>
      </w:pPr>
    </w:lvl>
    <w:lvl w:ilvl="7" w:tplc="BFE68048" w:tentative="1">
      <w:start w:val="1"/>
      <w:numFmt w:val="lowerLetter"/>
      <w:lvlText w:val="%8."/>
      <w:lvlJc w:val="left"/>
      <w:pPr>
        <w:ind w:left="5760" w:hanging="360"/>
      </w:pPr>
    </w:lvl>
    <w:lvl w:ilvl="8" w:tplc="D07CBDE0" w:tentative="1">
      <w:start w:val="1"/>
      <w:numFmt w:val="lowerRoman"/>
      <w:lvlText w:val="%9."/>
      <w:lvlJc w:val="right"/>
      <w:pPr>
        <w:ind w:left="6480" w:hanging="180"/>
      </w:pPr>
    </w:lvl>
  </w:abstractNum>
  <w:abstractNum w:abstractNumId="13" w15:restartNumberingAfterBreak="0">
    <w:nsid w:val="6F8923D2"/>
    <w:multiLevelType w:val="multilevel"/>
    <w:tmpl w:val="B7F857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FC7AB8"/>
    <w:multiLevelType w:val="multilevel"/>
    <w:tmpl w:val="54EA15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2157902">
    <w:abstractNumId w:val="2"/>
  </w:num>
  <w:num w:numId="2" w16cid:durableId="424572530">
    <w:abstractNumId w:val="5"/>
  </w:num>
  <w:num w:numId="3" w16cid:durableId="1984265913">
    <w:abstractNumId w:val="12"/>
  </w:num>
  <w:num w:numId="4" w16cid:durableId="304508878">
    <w:abstractNumId w:val="8"/>
  </w:num>
  <w:num w:numId="5" w16cid:durableId="1716343931">
    <w:abstractNumId w:val="9"/>
  </w:num>
  <w:num w:numId="6" w16cid:durableId="258679102">
    <w:abstractNumId w:val="6"/>
  </w:num>
  <w:num w:numId="7" w16cid:durableId="1485120373">
    <w:abstractNumId w:val="1"/>
  </w:num>
  <w:num w:numId="8" w16cid:durableId="2002583584">
    <w:abstractNumId w:val="13"/>
  </w:num>
  <w:num w:numId="9" w16cid:durableId="1170101780">
    <w:abstractNumId w:val="0"/>
  </w:num>
  <w:num w:numId="10" w16cid:durableId="1491288815">
    <w:abstractNumId w:val="3"/>
  </w:num>
  <w:num w:numId="11" w16cid:durableId="49312333">
    <w:abstractNumId w:val="14"/>
  </w:num>
  <w:num w:numId="12" w16cid:durableId="1481456325">
    <w:abstractNumId w:val="10"/>
  </w:num>
  <w:num w:numId="13" w16cid:durableId="585695557">
    <w:abstractNumId w:val="11"/>
  </w:num>
  <w:num w:numId="14" w16cid:durableId="1609462496">
    <w:abstractNumId w:val="4"/>
  </w:num>
  <w:num w:numId="15" w16cid:durableId="6395733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17183"/>
    <w:rsid w:val="00022609"/>
    <w:rsid w:val="00023B30"/>
    <w:rsid w:val="00024378"/>
    <w:rsid w:val="000315A0"/>
    <w:rsid w:val="0003205F"/>
    <w:rsid w:val="00033B78"/>
    <w:rsid w:val="00034E85"/>
    <w:rsid w:val="000403DC"/>
    <w:rsid w:val="00040DA7"/>
    <w:rsid w:val="00043794"/>
    <w:rsid w:val="000528D5"/>
    <w:rsid w:val="0006684D"/>
    <w:rsid w:val="00071CEB"/>
    <w:rsid w:val="000746CC"/>
    <w:rsid w:val="0008042C"/>
    <w:rsid w:val="0008149D"/>
    <w:rsid w:val="00093BD9"/>
    <w:rsid w:val="00093C6D"/>
    <w:rsid w:val="000948A3"/>
    <w:rsid w:val="000A2638"/>
    <w:rsid w:val="000A31C2"/>
    <w:rsid w:val="000B2B02"/>
    <w:rsid w:val="000B3D8B"/>
    <w:rsid w:val="000C4000"/>
    <w:rsid w:val="000C5986"/>
    <w:rsid w:val="000D04B3"/>
    <w:rsid w:val="000D56EF"/>
    <w:rsid w:val="000D5AB0"/>
    <w:rsid w:val="000E4057"/>
    <w:rsid w:val="000F0C31"/>
    <w:rsid w:val="000F702B"/>
    <w:rsid w:val="00102444"/>
    <w:rsid w:val="00104C71"/>
    <w:rsid w:val="00107498"/>
    <w:rsid w:val="001224C3"/>
    <w:rsid w:val="00124993"/>
    <w:rsid w:val="0012705F"/>
    <w:rsid w:val="00144F69"/>
    <w:rsid w:val="00145914"/>
    <w:rsid w:val="00145C7E"/>
    <w:rsid w:val="0015339F"/>
    <w:rsid w:val="001574FE"/>
    <w:rsid w:val="00160724"/>
    <w:rsid w:val="00160A1E"/>
    <w:rsid w:val="00161583"/>
    <w:rsid w:val="001732CE"/>
    <w:rsid w:val="001817CB"/>
    <w:rsid w:val="0018235D"/>
    <w:rsid w:val="0018411C"/>
    <w:rsid w:val="0018545A"/>
    <w:rsid w:val="001863CD"/>
    <w:rsid w:val="00191971"/>
    <w:rsid w:val="00192B0D"/>
    <w:rsid w:val="001A3032"/>
    <w:rsid w:val="001B0942"/>
    <w:rsid w:val="001B2CDC"/>
    <w:rsid w:val="001C159B"/>
    <w:rsid w:val="001D7C27"/>
    <w:rsid w:val="001F2ED5"/>
    <w:rsid w:val="001F47B9"/>
    <w:rsid w:val="00205FBC"/>
    <w:rsid w:val="00210D53"/>
    <w:rsid w:val="0021205E"/>
    <w:rsid w:val="00220217"/>
    <w:rsid w:val="0022050C"/>
    <w:rsid w:val="002305C8"/>
    <w:rsid w:val="00237AB8"/>
    <w:rsid w:val="002435B2"/>
    <w:rsid w:val="0025053C"/>
    <w:rsid w:val="00250BAF"/>
    <w:rsid w:val="00252656"/>
    <w:rsid w:val="00256E5C"/>
    <w:rsid w:val="00257C58"/>
    <w:rsid w:val="002624C8"/>
    <w:rsid w:val="00287DEB"/>
    <w:rsid w:val="00291483"/>
    <w:rsid w:val="00294F70"/>
    <w:rsid w:val="002A333D"/>
    <w:rsid w:val="002C0430"/>
    <w:rsid w:val="002D42E7"/>
    <w:rsid w:val="002D45C2"/>
    <w:rsid w:val="002D4E24"/>
    <w:rsid w:val="002F2159"/>
    <w:rsid w:val="002F31F6"/>
    <w:rsid w:val="002F3D64"/>
    <w:rsid w:val="00307E34"/>
    <w:rsid w:val="00311427"/>
    <w:rsid w:val="00324C80"/>
    <w:rsid w:val="00337A72"/>
    <w:rsid w:val="00350909"/>
    <w:rsid w:val="00354E9B"/>
    <w:rsid w:val="00361BD5"/>
    <w:rsid w:val="00373372"/>
    <w:rsid w:val="00381AFE"/>
    <w:rsid w:val="00392165"/>
    <w:rsid w:val="003966CB"/>
    <w:rsid w:val="00397A12"/>
    <w:rsid w:val="003A0BD5"/>
    <w:rsid w:val="003B2E32"/>
    <w:rsid w:val="003B6220"/>
    <w:rsid w:val="003B6D98"/>
    <w:rsid w:val="003B7FB6"/>
    <w:rsid w:val="003D3815"/>
    <w:rsid w:val="003F0F03"/>
    <w:rsid w:val="003F1E6B"/>
    <w:rsid w:val="003F2565"/>
    <w:rsid w:val="003F3465"/>
    <w:rsid w:val="003F3838"/>
    <w:rsid w:val="004012D2"/>
    <w:rsid w:val="00407E47"/>
    <w:rsid w:val="00416CFD"/>
    <w:rsid w:val="004242C6"/>
    <w:rsid w:val="00425727"/>
    <w:rsid w:val="004260F5"/>
    <w:rsid w:val="00427090"/>
    <w:rsid w:val="004366AF"/>
    <w:rsid w:val="00440D8C"/>
    <w:rsid w:val="004529A7"/>
    <w:rsid w:val="00453C82"/>
    <w:rsid w:val="00454DC2"/>
    <w:rsid w:val="00462BDA"/>
    <w:rsid w:val="00463A29"/>
    <w:rsid w:val="0046442B"/>
    <w:rsid w:val="00466B61"/>
    <w:rsid w:val="00466B91"/>
    <w:rsid w:val="004768E0"/>
    <w:rsid w:val="00483EDA"/>
    <w:rsid w:val="00486402"/>
    <w:rsid w:val="00491227"/>
    <w:rsid w:val="004914FA"/>
    <w:rsid w:val="004959F3"/>
    <w:rsid w:val="0049655F"/>
    <w:rsid w:val="00496A07"/>
    <w:rsid w:val="004A02E4"/>
    <w:rsid w:val="004A351B"/>
    <w:rsid w:val="004B0727"/>
    <w:rsid w:val="004B31A2"/>
    <w:rsid w:val="004C085F"/>
    <w:rsid w:val="004C0D17"/>
    <w:rsid w:val="004C30B1"/>
    <w:rsid w:val="004C43FA"/>
    <w:rsid w:val="004C5212"/>
    <w:rsid w:val="004C5B07"/>
    <w:rsid w:val="004D1F75"/>
    <w:rsid w:val="00513B25"/>
    <w:rsid w:val="00514C4C"/>
    <w:rsid w:val="005159FB"/>
    <w:rsid w:val="00521BE3"/>
    <w:rsid w:val="005236E9"/>
    <w:rsid w:val="00532E4D"/>
    <w:rsid w:val="00535682"/>
    <w:rsid w:val="0054023C"/>
    <w:rsid w:val="00540FF6"/>
    <w:rsid w:val="00541581"/>
    <w:rsid w:val="0054751C"/>
    <w:rsid w:val="005475A8"/>
    <w:rsid w:val="0055352C"/>
    <w:rsid w:val="0055766F"/>
    <w:rsid w:val="00567886"/>
    <w:rsid w:val="00583050"/>
    <w:rsid w:val="0059367A"/>
    <w:rsid w:val="005A0FCA"/>
    <w:rsid w:val="005A1B3F"/>
    <w:rsid w:val="005A6D79"/>
    <w:rsid w:val="005B2A8C"/>
    <w:rsid w:val="005B61EA"/>
    <w:rsid w:val="005C0391"/>
    <w:rsid w:val="005C1D9B"/>
    <w:rsid w:val="005E1D3B"/>
    <w:rsid w:val="005E71F3"/>
    <w:rsid w:val="005F09DC"/>
    <w:rsid w:val="005F1FBF"/>
    <w:rsid w:val="005F4A99"/>
    <w:rsid w:val="0060528A"/>
    <w:rsid w:val="006270AE"/>
    <w:rsid w:val="00630AED"/>
    <w:rsid w:val="00632320"/>
    <w:rsid w:val="00632FB5"/>
    <w:rsid w:val="00634B15"/>
    <w:rsid w:val="00635709"/>
    <w:rsid w:val="006468C0"/>
    <w:rsid w:val="006475B8"/>
    <w:rsid w:val="0065581E"/>
    <w:rsid w:val="00672FFE"/>
    <w:rsid w:val="0067561D"/>
    <w:rsid w:val="006903E3"/>
    <w:rsid w:val="00693C5D"/>
    <w:rsid w:val="006A3C3F"/>
    <w:rsid w:val="006A7E2F"/>
    <w:rsid w:val="006B26B7"/>
    <w:rsid w:val="006B6EFA"/>
    <w:rsid w:val="006C7F68"/>
    <w:rsid w:val="006D7BF8"/>
    <w:rsid w:val="006E4C6E"/>
    <w:rsid w:val="006E6917"/>
    <w:rsid w:val="006E7D34"/>
    <w:rsid w:val="006F5378"/>
    <w:rsid w:val="006F6CA5"/>
    <w:rsid w:val="006F789B"/>
    <w:rsid w:val="007029F9"/>
    <w:rsid w:val="0071225F"/>
    <w:rsid w:val="00713C96"/>
    <w:rsid w:val="00730027"/>
    <w:rsid w:val="00742BA4"/>
    <w:rsid w:val="00745758"/>
    <w:rsid w:val="007521CF"/>
    <w:rsid w:val="00764127"/>
    <w:rsid w:val="00764404"/>
    <w:rsid w:val="0077158F"/>
    <w:rsid w:val="007910AD"/>
    <w:rsid w:val="00791442"/>
    <w:rsid w:val="007978B8"/>
    <w:rsid w:val="007A3A32"/>
    <w:rsid w:val="007A41FF"/>
    <w:rsid w:val="007A7C8C"/>
    <w:rsid w:val="007B174E"/>
    <w:rsid w:val="007B21A0"/>
    <w:rsid w:val="007B3780"/>
    <w:rsid w:val="007C1D00"/>
    <w:rsid w:val="007C5313"/>
    <w:rsid w:val="007D2AD4"/>
    <w:rsid w:val="007E07BB"/>
    <w:rsid w:val="007E66D7"/>
    <w:rsid w:val="007E69F0"/>
    <w:rsid w:val="007E74A7"/>
    <w:rsid w:val="007F183E"/>
    <w:rsid w:val="007F54F4"/>
    <w:rsid w:val="008006A9"/>
    <w:rsid w:val="008047CC"/>
    <w:rsid w:val="00823052"/>
    <w:rsid w:val="008241DD"/>
    <w:rsid w:val="00826298"/>
    <w:rsid w:val="00836735"/>
    <w:rsid w:val="00840E87"/>
    <w:rsid w:val="00843E71"/>
    <w:rsid w:val="00846273"/>
    <w:rsid w:val="00851E72"/>
    <w:rsid w:val="00853131"/>
    <w:rsid w:val="00854362"/>
    <w:rsid w:val="008678FD"/>
    <w:rsid w:val="008718F9"/>
    <w:rsid w:val="00874414"/>
    <w:rsid w:val="0088274F"/>
    <w:rsid w:val="00893EC5"/>
    <w:rsid w:val="008B3E1A"/>
    <w:rsid w:val="008D252A"/>
    <w:rsid w:val="008D27B5"/>
    <w:rsid w:val="008D404B"/>
    <w:rsid w:val="008E15B3"/>
    <w:rsid w:val="008E78C9"/>
    <w:rsid w:val="009075F9"/>
    <w:rsid w:val="0091483F"/>
    <w:rsid w:val="0091704F"/>
    <w:rsid w:val="00921602"/>
    <w:rsid w:val="0092632C"/>
    <w:rsid w:val="00927825"/>
    <w:rsid w:val="00930600"/>
    <w:rsid w:val="00931C9C"/>
    <w:rsid w:val="00932FD9"/>
    <w:rsid w:val="00935075"/>
    <w:rsid w:val="00936528"/>
    <w:rsid w:val="00937C07"/>
    <w:rsid w:val="00937C4B"/>
    <w:rsid w:val="00941A1F"/>
    <w:rsid w:val="0094411A"/>
    <w:rsid w:val="009538EE"/>
    <w:rsid w:val="00955871"/>
    <w:rsid w:val="009721F0"/>
    <w:rsid w:val="00973709"/>
    <w:rsid w:val="00982AD7"/>
    <w:rsid w:val="00983947"/>
    <w:rsid w:val="00991F89"/>
    <w:rsid w:val="0099341C"/>
    <w:rsid w:val="00993DE1"/>
    <w:rsid w:val="009953C5"/>
    <w:rsid w:val="009975B3"/>
    <w:rsid w:val="009A4EAD"/>
    <w:rsid w:val="009A5B17"/>
    <w:rsid w:val="009A5F09"/>
    <w:rsid w:val="009B6724"/>
    <w:rsid w:val="009C27E2"/>
    <w:rsid w:val="009C60F1"/>
    <w:rsid w:val="009D285C"/>
    <w:rsid w:val="009E57B5"/>
    <w:rsid w:val="009E7872"/>
    <w:rsid w:val="009F6BDF"/>
    <w:rsid w:val="00A030FF"/>
    <w:rsid w:val="00A05A71"/>
    <w:rsid w:val="00A0768B"/>
    <w:rsid w:val="00A105DC"/>
    <w:rsid w:val="00A108F7"/>
    <w:rsid w:val="00A15891"/>
    <w:rsid w:val="00A2339B"/>
    <w:rsid w:val="00A4612A"/>
    <w:rsid w:val="00A478DB"/>
    <w:rsid w:val="00A53E0A"/>
    <w:rsid w:val="00A56384"/>
    <w:rsid w:val="00A610B5"/>
    <w:rsid w:val="00A63C8F"/>
    <w:rsid w:val="00A64975"/>
    <w:rsid w:val="00A67CE4"/>
    <w:rsid w:val="00A70DC9"/>
    <w:rsid w:val="00A723F4"/>
    <w:rsid w:val="00A731A5"/>
    <w:rsid w:val="00A74605"/>
    <w:rsid w:val="00A761A4"/>
    <w:rsid w:val="00A8018A"/>
    <w:rsid w:val="00A85BE5"/>
    <w:rsid w:val="00A87576"/>
    <w:rsid w:val="00A87622"/>
    <w:rsid w:val="00A94AE9"/>
    <w:rsid w:val="00A974D8"/>
    <w:rsid w:val="00AA22C0"/>
    <w:rsid w:val="00AA686D"/>
    <w:rsid w:val="00AC4D7C"/>
    <w:rsid w:val="00AD3547"/>
    <w:rsid w:val="00AD4684"/>
    <w:rsid w:val="00AD5B39"/>
    <w:rsid w:val="00AE2192"/>
    <w:rsid w:val="00AE5A87"/>
    <w:rsid w:val="00AF01F3"/>
    <w:rsid w:val="00AF1065"/>
    <w:rsid w:val="00B04C54"/>
    <w:rsid w:val="00B06ED1"/>
    <w:rsid w:val="00B12550"/>
    <w:rsid w:val="00B17929"/>
    <w:rsid w:val="00B20552"/>
    <w:rsid w:val="00B214DE"/>
    <w:rsid w:val="00B2203A"/>
    <w:rsid w:val="00B22451"/>
    <w:rsid w:val="00B44CA7"/>
    <w:rsid w:val="00B45FD2"/>
    <w:rsid w:val="00B46594"/>
    <w:rsid w:val="00B47BEB"/>
    <w:rsid w:val="00B55170"/>
    <w:rsid w:val="00B56712"/>
    <w:rsid w:val="00B71CD1"/>
    <w:rsid w:val="00B83D0E"/>
    <w:rsid w:val="00B877B4"/>
    <w:rsid w:val="00B95A3C"/>
    <w:rsid w:val="00BA4BE3"/>
    <w:rsid w:val="00BA5040"/>
    <w:rsid w:val="00BB436B"/>
    <w:rsid w:val="00BB7F9F"/>
    <w:rsid w:val="00BC3540"/>
    <w:rsid w:val="00BC6237"/>
    <w:rsid w:val="00BE1926"/>
    <w:rsid w:val="00BE2228"/>
    <w:rsid w:val="00C019D3"/>
    <w:rsid w:val="00C07098"/>
    <w:rsid w:val="00C21671"/>
    <w:rsid w:val="00C23CE5"/>
    <w:rsid w:val="00C32289"/>
    <w:rsid w:val="00C33318"/>
    <w:rsid w:val="00C404C2"/>
    <w:rsid w:val="00C40DF5"/>
    <w:rsid w:val="00C4185F"/>
    <w:rsid w:val="00C4543D"/>
    <w:rsid w:val="00C45AD7"/>
    <w:rsid w:val="00C579D7"/>
    <w:rsid w:val="00C60C92"/>
    <w:rsid w:val="00C67637"/>
    <w:rsid w:val="00C67B6F"/>
    <w:rsid w:val="00C71C6A"/>
    <w:rsid w:val="00C734F7"/>
    <w:rsid w:val="00C76260"/>
    <w:rsid w:val="00C809C2"/>
    <w:rsid w:val="00C87318"/>
    <w:rsid w:val="00C91D4B"/>
    <w:rsid w:val="00C9395F"/>
    <w:rsid w:val="00C93A96"/>
    <w:rsid w:val="00C96F68"/>
    <w:rsid w:val="00CA0925"/>
    <w:rsid w:val="00CA0E8A"/>
    <w:rsid w:val="00CA2B19"/>
    <w:rsid w:val="00CA4D05"/>
    <w:rsid w:val="00CB4856"/>
    <w:rsid w:val="00CC6206"/>
    <w:rsid w:val="00CE149A"/>
    <w:rsid w:val="00CE20FE"/>
    <w:rsid w:val="00CF40DB"/>
    <w:rsid w:val="00D05518"/>
    <w:rsid w:val="00D06971"/>
    <w:rsid w:val="00D10CCB"/>
    <w:rsid w:val="00D150D6"/>
    <w:rsid w:val="00D165ED"/>
    <w:rsid w:val="00D22A34"/>
    <w:rsid w:val="00D33EED"/>
    <w:rsid w:val="00D35459"/>
    <w:rsid w:val="00D410CC"/>
    <w:rsid w:val="00D45F1F"/>
    <w:rsid w:val="00D51288"/>
    <w:rsid w:val="00D76B72"/>
    <w:rsid w:val="00D82749"/>
    <w:rsid w:val="00D82995"/>
    <w:rsid w:val="00DA68D1"/>
    <w:rsid w:val="00DB6CEB"/>
    <w:rsid w:val="00DC4156"/>
    <w:rsid w:val="00DD263D"/>
    <w:rsid w:val="00DD4152"/>
    <w:rsid w:val="00DD5E48"/>
    <w:rsid w:val="00DD6690"/>
    <w:rsid w:val="00DE1E73"/>
    <w:rsid w:val="00DE6FE5"/>
    <w:rsid w:val="00E0409E"/>
    <w:rsid w:val="00E13095"/>
    <w:rsid w:val="00E13BAC"/>
    <w:rsid w:val="00E14EE1"/>
    <w:rsid w:val="00E17E2A"/>
    <w:rsid w:val="00E30880"/>
    <w:rsid w:val="00E47C7D"/>
    <w:rsid w:val="00E56176"/>
    <w:rsid w:val="00E56D9A"/>
    <w:rsid w:val="00E56F6B"/>
    <w:rsid w:val="00E61951"/>
    <w:rsid w:val="00E639B0"/>
    <w:rsid w:val="00E7014C"/>
    <w:rsid w:val="00E72158"/>
    <w:rsid w:val="00E87F4A"/>
    <w:rsid w:val="00E955E5"/>
    <w:rsid w:val="00E958DC"/>
    <w:rsid w:val="00E97D37"/>
    <w:rsid w:val="00EB191A"/>
    <w:rsid w:val="00EB5E21"/>
    <w:rsid w:val="00EB6749"/>
    <w:rsid w:val="00EC0732"/>
    <w:rsid w:val="00ED63A9"/>
    <w:rsid w:val="00EE41FC"/>
    <w:rsid w:val="00EF6D1E"/>
    <w:rsid w:val="00EF7B52"/>
    <w:rsid w:val="00F01B92"/>
    <w:rsid w:val="00F04923"/>
    <w:rsid w:val="00F1212A"/>
    <w:rsid w:val="00F150A3"/>
    <w:rsid w:val="00F24C3F"/>
    <w:rsid w:val="00F2705B"/>
    <w:rsid w:val="00F307B6"/>
    <w:rsid w:val="00F3521B"/>
    <w:rsid w:val="00F3599C"/>
    <w:rsid w:val="00F42366"/>
    <w:rsid w:val="00F42650"/>
    <w:rsid w:val="00F47358"/>
    <w:rsid w:val="00F47FFB"/>
    <w:rsid w:val="00F5485C"/>
    <w:rsid w:val="00F564C2"/>
    <w:rsid w:val="00F66F3F"/>
    <w:rsid w:val="00F720F0"/>
    <w:rsid w:val="00F748E2"/>
    <w:rsid w:val="00F76964"/>
    <w:rsid w:val="00F76BD9"/>
    <w:rsid w:val="00F859EC"/>
    <w:rsid w:val="00F9239F"/>
    <w:rsid w:val="00F9787E"/>
    <w:rsid w:val="00FB25E6"/>
    <w:rsid w:val="00FB7A67"/>
    <w:rsid w:val="00FC2BF4"/>
    <w:rsid w:val="00FC32D4"/>
    <w:rsid w:val="00FC46A5"/>
    <w:rsid w:val="00FC501E"/>
    <w:rsid w:val="00FE5044"/>
    <w:rsid w:val="00FF2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E0409E"/>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E0409E"/>
    <w:pPr>
      <w:spacing w:after="100"/>
    </w:pPr>
  </w:style>
  <w:style w:type="paragraph" w:styleId="TOC2">
    <w:name w:val="toc 2"/>
    <w:basedOn w:val="Normal"/>
    <w:next w:val="Normal"/>
    <w:autoRedefine/>
    <w:uiPriority w:val="39"/>
    <w:unhideWhenUsed/>
    <w:rsid w:val="00E0409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dgs.un.org/goals"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85595f7b7be4d9909cdf233a0440606c">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2053449ecf57e0ebf67f974a55eed980"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973D97-76B8-490A-9916-764301B9CC97}">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A351538D-14A3-4A78-89B5-0C7B93887958}">
  <ds:schemaRefs>
    <ds:schemaRef ds:uri="http://schemas.microsoft.com/sharepoint/v3/contenttype/forms"/>
  </ds:schemaRefs>
</ds:datastoreItem>
</file>

<file path=customXml/itemProps3.xml><?xml version="1.0" encoding="utf-8"?>
<ds:datastoreItem xmlns:ds="http://schemas.openxmlformats.org/officeDocument/2006/customXml" ds:itemID="{C7F0E05B-2560-4B6F-9D78-5AF5C6AB42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1041C06-6EE9-4D31-BD74-2797EC3E89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3270</Words>
  <Characters>18643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Nazia Sharif (1907313)</cp:lastModifiedBy>
  <cp:revision>29</cp:revision>
  <dcterms:created xsi:type="dcterms:W3CDTF">2026-06-14T19:35:00Z</dcterms:created>
  <dcterms:modified xsi:type="dcterms:W3CDTF">2026-07-19T11:14:00Z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