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kern w:val="3"/>
          <w:sz w:val="2"/>
          <w:lang w:val="en-GB"/>
        </w:rPr>
        <w:id w:val="-577284490"/>
        <w:docPartObj>
          <w:docPartGallery w:val="Cover Pages"/>
          <w:docPartUnique/>
        </w:docPartObj>
      </w:sdtPr>
      <w:sdtEndPr>
        <w:rPr>
          <w:sz w:val="22"/>
        </w:rPr>
      </w:sdtEndPr>
      <w:sdtContent>
        <w:p w14:paraId="6B88D3A9" w14:textId="536128F0" w:rsidR="004752A7" w:rsidRDefault="00775281">
          <w:pPr>
            <w:pStyle w:val="NoSpacing"/>
            <w:rPr>
              <w:sz w:val="2"/>
            </w:rPr>
          </w:pPr>
          <w:r w:rsidRPr="00775281">
            <w:rPr>
              <w:noProof/>
              <w:lang w:val="en-GB"/>
            </w:rPr>
            <w:drawing>
              <wp:inline distT="0" distB="0" distL="0" distR="0" wp14:anchorId="516C5E6C" wp14:editId="674E5AD9">
                <wp:extent cx="5920740" cy="1784270"/>
                <wp:effectExtent l="0" t="0" r="3810" b="6985"/>
                <wp:docPr id="11020790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5010" cy="1785557"/>
                        </a:xfrm>
                        <a:prstGeom prst="rect">
                          <a:avLst/>
                        </a:prstGeom>
                        <a:noFill/>
                        <a:ln>
                          <a:noFill/>
                        </a:ln>
                      </pic:spPr>
                    </pic:pic>
                  </a:graphicData>
                </a:graphic>
              </wp:inline>
            </w:drawing>
          </w:r>
        </w:p>
        <w:p w14:paraId="7502614B" w14:textId="4033C5BC" w:rsidR="00775281" w:rsidRPr="00775281" w:rsidRDefault="00775281" w:rsidP="00775281">
          <w:pPr>
            <w:pStyle w:val="NoSpacing"/>
            <w:rPr>
              <w:lang w:val="en-GB"/>
            </w:rPr>
          </w:pPr>
        </w:p>
        <w:p w14:paraId="73D2C8CD" w14:textId="7843E3DB" w:rsidR="004752A7" w:rsidRPr="004752A7" w:rsidRDefault="004752A7" w:rsidP="004752A7">
          <w:pPr>
            <w:pStyle w:val="NoSpacing"/>
          </w:pPr>
        </w:p>
        <w:p w14:paraId="60EA60C9" w14:textId="4B606FAB" w:rsidR="00A70B5D" w:rsidRDefault="00874DF7">
          <w:r>
            <w:rPr>
              <w:noProof/>
              <w14:ligatures w14:val="standardContextual"/>
            </w:rPr>
            <mc:AlternateContent>
              <mc:Choice Requires="wps">
                <w:drawing>
                  <wp:anchor distT="0" distB="0" distL="114300" distR="114300" simplePos="0" relativeHeight="251663360" behindDoc="0" locked="0" layoutInCell="1" allowOverlap="1" wp14:anchorId="15882FBC" wp14:editId="6DD95002">
                    <wp:simplePos x="0" y="0"/>
                    <wp:positionH relativeFrom="column">
                      <wp:posOffset>3170555</wp:posOffset>
                    </wp:positionH>
                    <wp:positionV relativeFrom="paragraph">
                      <wp:posOffset>5788660</wp:posOffset>
                    </wp:positionV>
                    <wp:extent cx="3315335" cy="1354455"/>
                    <wp:effectExtent l="0" t="0" r="0" b="0"/>
                    <wp:wrapNone/>
                    <wp:docPr id="950542775" name="Rectangle 5"/>
                    <wp:cNvGraphicFramePr/>
                    <a:graphic xmlns:a="http://schemas.openxmlformats.org/drawingml/2006/main">
                      <a:graphicData uri="http://schemas.microsoft.com/office/word/2010/wordprocessingShape">
                        <wps:wsp>
                          <wps:cNvSpPr/>
                          <wps:spPr>
                            <a:xfrm>
                              <a:off x="0" y="0"/>
                              <a:ext cx="3315335" cy="1354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7A78093" w14:textId="5526D203" w:rsidR="00D24805" w:rsidRPr="00775281" w:rsidRDefault="00D24805" w:rsidP="00D24805">
                                <w:pPr>
                                  <w:rPr>
                                    <w:rFonts w:ascii="Arial" w:hAnsi="Arial" w:cs="Arial"/>
                                    <w:b/>
                                    <w:bCs/>
                                    <w:sz w:val="20"/>
                                    <w:szCs w:val="20"/>
                                  </w:rPr>
                                </w:pPr>
                                <w:r w:rsidRPr="00775281">
                                  <w:rPr>
                                    <w:rFonts w:ascii="Arial" w:hAnsi="Arial" w:cs="Arial"/>
                                    <w:b/>
                                    <w:bCs/>
                                    <w:sz w:val="20"/>
                                    <w:szCs w:val="20"/>
                                  </w:rPr>
                                  <w:t>By Pauline</w:t>
                                </w:r>
                                <w:r w:rsidR="001A0881">
                                  <w:rPr>
                                    <w:rFonts w:ascii="Arial" w:hAnsi="Arial" w:cs="Arial"/>
                                    <w:b/>
                                    <w:bCs/>
                                    <w:sz w:val="20"/>
                                    <w:szCs w:val="20"/>
                                  </w:rPr>
                                  <w:t xml:space="preserve"> Abeley Kooko</w:t>
                                </w:r>
                                <w:r w:rsidRPr="00775281">
                                  <w:rPr>
                                    <w:rFonts w:ascii="Arial" w:hAnsi="Arial" w:cs="Arial"/>
                                    <w:b/>
                                    <w:bCs/>
                                    <w:sz w:val="20"/>
                                    <w:szCs w:val="20"/>
                                  </w:rPr>
                                  <w:t xml:space="preserve"> Ab</w:t>
                                </w:r>
                                <w:r w:rsidR="001A0881">
                                  <w:rPr>
                                    <w:rFonts w:ascii="Arial" w:hAnsi="Arial" w:cs="Arial"/>
                                    <w:b/>
                                    <w:bCs/>
                                    <w:sz w:val="20"/>
                                    <w:szCs w:val="20"/>
                                  </w:rPr>
                                  <w:t>bey</w:t>
                                </w:r>
                                <w:r w:rsidRPr="00775281">
                                  <w:rPr>
                                    <w:rFonts w:ascii="Arial" w:hAnsi="Arial" w:cs="Arial"/>
                                    <w:b/>
                                    <w:bCs/>
                                    <w:sz w:val="20"/>
                                    <w:szCs w:val="20"/>
                                  </w:rPr>
                                  <w:t>-Nyarko</w:t>
                                </w:r>
                              </w:p>
                              <w:p w14:paraId="2FFC491E" w14:textId="77777777" w:rsidR="00D24805" w:rsidRPr="00775281" w:rsidRDefault="00D24805" w:rsidP="00D24805">
                                <w:pPr>
                                  <w:rPr>
                                    <w:rFonts w:ascii="Arial" w:hAnsi="Arial" w:cs="Arial"/>
                                    <w:b/>
                                    <w:bCs/>
                                    <w:sz w:val="20"/>
                                    <w:szCs w:val="20"/>
                                  </w:rPr>
                                </w:pPr>
                                <w:r w:rsidRPr="00775281">
                                  <w:rPr>
                                    <w:rFonts w:ascii="Arial" w:hAnsi="Arial" w:cs="Arial"/>
                                    <w:b/>
                                    <w:bCs/>
                                    <w:sz w:val="20"/>
                                    <w:szCs w:val="20"/>
                                  </w:rPr>
                                  <w:t>ID:  2322363</w:t>
                                </w:r>
                              </w:p>
                              <w:p w14:paraId="7C8DC2D6" w14:textId="77777777" w:rsidR="00D24805" w:rsidRPr="00775281" w:rsidRDefault="00D24805" w:rsidP="00D24805">
                                <w:pPr>
                                  <w:rPr>
                                    <w:sz w:val="20"/>
                                    <w:szCs w:val="20"/>
                                  </w:rPr>
                                </w:pPr>
                                <w:r w:rsidRPr="00775281">
                                  <w:rPr>
                                    <w:rFonts w:ascii="Arial" w:hAnsi="Arial" w:cs="Arial"/>
                                    <w:b/>
                                    <w:bCs/>
                                    <w:sz w:val="20"/>
                                    <w:szCs w:val="20"/>
                                  </w:rPr>
                                  <w:t>Module:</w:t>
                                </w:r>
                                <w:r w:rsidRPr="00775281">
                                  <w:rPr>
                                    <w:rFonts w:ascii="Arial" w:hAnsi="Arial" w:cs="Arial"/>
                                    <w:b/>
                                    <w:bCs/>
                                    <w:color w:val="FFFFFF"/>
                                    <w:sz w:val="20"/>
                                    <w:szCs w:val="20"/>
                                  </w:rPr>
                                  <w:t xml:space="preserve"> </w:t>
                                </w:r>
                                <w:r w:rsidRPr="00775281">
                                  <w:rPr>
                                    <w:rFonts w:ascii="Arial" w:hAnsi="Arial" w:cs="Arial"/>
                                    <w:b/>
                                    <w:bCs/>
                                    <w:sz w:val="20"/>
                                    <w:szCs w:val="20"/>
                                  </w:rPr>
                                  <w:t>Research Methods for Business</w:t>
                                </w:r>
                              </w:p>
                              <w:p w14:paraId="65787BC2" w14:textId="77777777" w:rsidR="00D24805" w:rsidRPr="00775281" w:rsidRDefault="00D24805" w:rsidP="00D24805">
                                <w:pPr>
                                  <w:rPr>
                                    <w:sz w:val="20"/>
                                    <w:szCs w:val="20"/>
                                  </w:rPr>
                                </w:pPr>
                                <w:r w:rsidRPr="00775281">
                                  <w:rPr>
                                    <w:rFonts w:ascii="Arial" w:hAnsi="Arial" w:cs="Arial"/>
                                    <w:b/>
                                    <w:bCs/>
                                    <w:sz w:val="20"/>
                                    <w:szCs w:val="20"/>
                                  </w:rPr>
                                  <w:t>Module code:</w:t>
                                </w:r>
                                <w:r w:rsidRPr="00775281">
                                  <w:rPr>
                                    <w:rFonts w:ascii="Arial" w:hAnsi="Arial" w:cs="Arial"/>
                                    <w:b/>
                                    <w:bCs/>
                                    <w:color w:val="FFFFFF"/>
                                    <w:sz w:val="20"/>
                                    <w:szCs w:val="20"/>
                                  </w:rPr>
                                  <w:t xml:space="preserve"> </w:t>
                                </w:r>
                                <w:r w:rsidRPr="00775281">
                                  <w:rPr>
                                    <w:rFonts w:ascii="Arial" w:hAnsi="Arial" w:cs="Arial"/>
                                    <w:b/>
                                    <w:bCs/>
                                    <w:sz w:val="20"/>
                                    <w:szCs w:val="20"/>
                                  </w:rPr>
                                  <w:t>LCLM6004</w:t>
                                </w:r>
                              </w:p>
                              <w:p w14:paraId="5A30B098" w14:textId="77777777" w:rsidR="00D24805" w:rsidRPr="00775281" w:rsidRDefault="00D24805" w:rsidP="00D24805">
                                <w:pPr>
                                  <w:rPr>
                                    <w:rFonts w:ascii="Arial" w:hAnsi="Arial" w:cs="Arial"/>
                                    <w:b/>
                                    <w:bCs/>
                                    <w:sz w:val="20"/>
                                    <w:szCs w:val="20"/>
                                  </w:rPr>
                                </w:pPr>
                                <w:r w:rsidRPr="00775281">
                                  <w:rPr>
                                    <w:rFonts w:ascii="Arial" w:hAnsi="Arial" w:cs="Arial"/>
                                    <w:b/>
                                    <w:bCs/>
                                    <w:sz w:val="20"/>
                                    <w:szCs w:val="20"/>
                                  </w:rPr>
                                  <w:t>Lecturer name: Dr Rameses Manalang</w:t>
                                </w:r>
                              </w:p>
                              <w:p w14:paraId="19375E04" w14:textId="01EB746D" w:rsidR="00D24805" w:rsidRDefault="00D24805" w:rsidP="00D24805">
                                <w:pPr>
                                  <w:jc w:val="center"/>
                                </w:pPr>
                                <w:r>
                                  <w:t xml:space="preserve"> </w:t>
                                </w:r>
                              </w:p>
                              <w:p w14:paraId="3893A8ED" w14:textId="77777777" w:rsidR="00396574" w:rsidRDefault="003965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882FBC" id="Rectangle 5" o:spid="_x0000_s1026" style="position:absolute;margin-left:249.65pt;margin-top:455.8pt;width:261.05pt;height:10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" fillcolor="white [3201]" stroked="f" strokeweight="1pt">
                    <v:textbox>
                      <w:txbxContent>
                        <w:p w14:paraId="37A78093" w14:textId="5526D203" w:rsidR="00D24805" w:rsidRPr="00775281" w:rsidRDefault="00D24805" w:rsidP="00D24805">
                          <w:pPr>
                            <w:rPr>
                              <w:rFonts w:ascii="Arial" w:hAnsi="Arial" w:cs="Arial"/>
                              <w:b/>
                              <w:bCs/>
                              <w:sz w:val="20"/>
                              <w:szCs w:val="20"/>
                            </w:rPr>
                          </w:pPr>
                          <w:r w:rsidRPr="00775281">
                            <w:rPr>
                              <w:rFonts w:ascii="Arial" w:hAnsi="Arial" w:cs="Arial"/>
                              <w:b/>
                              <w:bCs/>
                              <w:sz w:val="20"/>
                              <w:szCs w:val="20"/>
                            </w:rPr>
                            <w:t>By Pauline</w:t>
                          </w:r>
                          <w:r w:rsidR="001A0881">
                            <w:rPr>
                              <w:rFonts w:ascii="Arial" w:hAnsi="Arial" w:cs="Arial"/>
                              <w:b/>
                              <w:bCs/>
                              <w:sz w:val="20"/>
                              <w:szCs w:val="20"/>
                            </w:rPr>
                            <w:t xml:space="preserve"> Abeley Kooko</w:t>
                          </w:r>
                          <w:r w:rsidRPr="00775281">
                            <w:rPr>
                              <w:rFonts w:ascii="Arial" w:hAnsi="Arial" w:cs="Arial"/>
                              <w:b/>
                              <w:bCs/>
                              <w:sz w:val="20"/>
                              <w:szCs w:val="20"/>
                            </w:rPr>
                            <w:t xml:space="preserve"> Ab</w:t>
                          </w:r>
                          <w:r w:rsidR="001A0881">
                            <w:rPr>
                              <w:rFonts w:ascii="Arial" w:hAnsi="Arial" w:cs="Arial"/>
                              <w:b/>
                              <w:bCs/>
                              <w:sz w:val="20"/>
                              <w:szCs w:val="20"/>
                            </w:rPr>
                            <w:t>bey</w:t>
                          </w:r>
                          <w:r w:rsidRPr="00775281">
                            <w:rPr>
                              <w:rFonts w:ascii="Arial" w:hAnsi="Arial" w:cs="Arial"/>
                              <w:b/>
                              <w:bCs/>
                              <w:sz w:val="20"/>
                              <w:szCs w:val="20"/>
                            </w:rPr>
                            <w:t>-Nyarko</w:t>
                          </w:r>
                        </w:p>
                        <w:p w14:paraId="2FFC491E" w14:textId="77777777" w:rsidR="00D24805" w:rsidRPr="00775281" w:rsidRDefault="00D24805" w:rsidP="00D24805">
                          <w:pPr>
                            <w:rPr>
                              <w:rFonts w:ascii="Arial" w:hAnsi="Arial" w:cs="Arial"/>
                              <w:b/>
                              <w:bCs/>
                              <w:sz w:val="20"/>
                              <w:szCs w:val="20"/>
                            </w:rPr>
                          </w:pPr>
                          <w:r w:rsidRPr="00775281">
                            <w:rPr>
                              <w:rFonts w:ascii="Arial" w:hAnsi="Arial" w:cs="Arial"/>
                              <w:b/>
                              <w:bCs/>
                              <w:sz w:val="20"/>
                              <w:szCs w:val="20"/>
                            </w:rPr>
                            <w:t>ID:  2322363</w:t>
                          </w:r>
                        </w:p>
                        <w:p w14:paraId="7C8DC2D6" w14:textId="77777777" w:rsidR="00D24805" w:rsidRPr="00775281" w:rsidRDefault="00D24805" w:rsidP="00D24805">
                          <w:pPr>
                            <w:rPr>
                              <w:sz w:val="20"/>
                              <w:szCs w:val="20"/>
                            </w:rPr>
                          </w:pPr>
                          <w:r w:rsidRPr="00775281">
                            <w:rPr>
                              <w:rFonts w:ascii="Arial" w:hAnsi="Arial" w:cs="Arial"/>
                              <w:b/>
                              <w:bCs/>
                              <w:sz w:val="20"/>
                              <w:szCs w:val="20"/>
                            </w:rPr>
                            <w:t>Module:</w:t>
                          </w:r>
                          <w:r w:rsidRPr="00775281">
                            <w:rPr>
                              <w:rFonts w:ascii="Arial" w:hAnsi="Arial" w:cs="Arial"/>
                              <w:b/>
                              <w:bCs/>
                              <w:color w:val="FFFFFF"/>
                              <w:sz w:val="20"/>
                              <w:szCs w:val="20"/>
                            </w:rPr>
                            <w:t xml:space="preserve"> </w:t>
                          </w:r>
                          <w:r w:rsidRPr="00775281">
                            <w:rPr>
                              <w:rFonts w:ascii="Arial" w:hAnsi="Arial" w:cs="Arial"/>
                              <w:b/>
                              <w:bCs/>
                              <w:sz w:val="20"/>
                              <w:szCs w:val="20"/>
                            </w:rPr>
                            <w:t>Research Methods for Business</w:t>
                          </w:r>
                        </w:p>
                        <w:p w14:paraId="65787BC2" w14:textId="77777777" w:rsidR="00D24805" w:rsidRPr="00775281" w:rsidRDefault="00D24805" w:rsidP="00D24805">
                          <w:pPr>
                            <w:rPr>
                              <w:sz w:val="20"/>
                              <w:szCs w:val="20"/>
                            </w:rPr>
                          </w:pPr>
                          <w:r w:rsidRPr="00775281">
                            <w:rPr>
                              <w:rFonts w:ascii="Arial" w:hAnsi="Arial" w:cs="Arial"/>
                              <w:b/>
                              <w:bCs/>
                              <w:sz w:val="20"/>
                              <w:szCs w:val="20"/>
                            </w:rPr>
                            <w:t>Module code:</w:t>
                          </w:r>
                          <w:r w:rsidRPr="00775281">
                            <w:rPr>
                              <w:rFonts w:ascii="Arial" w:hAnsi="Arial" w:cs="Arial"/>
                              <w:b/>
                              <w:bCs/>
                              <w:color w:val="FFFFFF"/>
                              <w:sz w:val="20"/>
                              <w:szCs w:val="20"/>
                            </w:rPr>
                            <w:t xml:space="preserve"> </w:t>
                          </w:r>
                          <w:r w:rsidRPr="00775281">
                            <w:rPr>
                              <w:rFonts w:ascii="Arial" w:hAnsi="Arial" w:cs="Arial"/>
                              <w:b/>
                              <w:bCs/>
                              <w:sz w:val="20"/>
                              <w:szCs w:val="20"/>
                            </w:rPr>
                            <w:t>LCLM6004</w:t>
                          </w:r>
                        </w:p>
                        <w:p w14:paraId="5A30B098" w14:textId="77777777" w:rsidR="00D24805" w:rsidRPr="00775281" w:rsidRDefault="00D24805" w:rsidP="00D24805">
                          <w:pPr>
                            <w:rPr>
                              <w:rFonts w:ascii="Arial" w:hAnsi="Arial" w:cs="Arial"/>
                              <w:b/>
                              <w:bCs/>
                              <w:sz w:val="20"/>
                              <w:szCs w:val="20"/>
                            </w:rPr>
                          </w:pPr>
                          <w:r w:rsidRPr="00775281">
                            <w:rPr>
                              <w:rFonts w:ascii="Arial" w:hAnsi="Arial" w:cs="Arial"/>
                              <w:b/>
                              <w:bCs/>
                              <w:sz w:val="20"/>
                              <w:szCs w:val="20"/>
                            </w:rPr>
                            <w:t>Lecturer name: Dr Rameses Manalang</w:t>
                          </w:r>
                        </w:p>
                        <w:p w14:paraId="19375E04" w14:textId="01EB746D" w:rsidR="00D24805" w:rsidRDefault="00D24805" w:rsidP="00D24805">
                          <w:pPr>
                            <w:jc w:val="center"/>
                          </w:pPr>
                          <w:r>
                            <w:t xml:space="preserve"> </w:t>
                          </w:r>
                        </w:p>
                        <w:p w14:paraId="3893A8ED" w14:textId="77777777" w:rsidR="00396574" w:rsidRDefault="00396574"/>
                      </w:txbxContent>
                    </v:textbox>
                  </v:rect>
                </w:pict>
              </mc:Fallback>
            </mc:AlternateContent>
          </w:r>
          <w:r w:rsidR="003C6240">
            <w:rPr>
              <w:noProof/>
            </w:rPr>
            <mc:AlternateContent>
              <mc:Choice Requires="wps">
                <w:drawing>
                  <wp:anchor distT="0" distB="0" distL="114300" distR="114300" simplePos="0" relativeHeight="251659264" behindDoc="0" locked="0" layoutInCell="1" allowOverlap="1" wp14:anchorId="06A2B2D2" wp14:editId="4DA8C9F6">
                    <wp:simplePos x="0" y="0"/>
                    <wp:positionH relativeFrom="margin">
                      <wp:align>left</wp:align>
                    </wp:positionH>
                    <wp:positionV relativeFrom="margin">
                      <wp:posOffset>5486400</wp:posOffset>
                    </wp:positionV>
                    <wp:extent cx="5743575" cy="2508250"/>
                    <wp:effectExtent l="0" t="0" r="9525" b="6350"/>
                    <wp:wrapNone/>
                    <wp:docPr id="69" name="Text Box 73"/>
                    <wp:cNvGraphicFramePr/>
                    <a:graphic xmlns:a="http://schemas.openxmlformats.org/drawingml/2006/main">
                      <a:graphicData uri="http://schemas.microsoft.com/office/word/2010/wordprocessingShape">
                        <wps:wsp>
                          <wps:cNvSpPr txBox="1"/>
                          <wps:spPr>
                            <a:xfrm>
                              <a:off x="0" y="0"/>
                              <a:ext cx="5743575" cy="250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8E1E0" w14:textId="3DEB55D1" w:rsidR="002E38E7" w:rsidRPr="002E38E7" w:rsidRDefault="002E38E7" w:rsidP="002E38E7">
                                <w:pPr>
                                  <w:pStyle w:val="NoSpacing"/>
                                  <w:jc w:val="right"/>
                                  <w:rPr>
                                    <w:noProof/>
                                    <w:lang w:val="en-GB"/>
                                    <w14:ligatures w14:val="standardContextual"/>
                                  </w:rPr>
                                </w:pPr>
                                <w:r w:rsidRPr="002E38E7">
                                  <w:rPr>
                                    <w:noProof/>
                                    <w:lang w:val="en-GB"/>
                                    <w14:ligatures w14:val="standardContextual"/>
                                  </w:rPr>
                                  <w:drawing>
                                    <wp:inline distT="0" distB="0" distL="0" distR="0" wp14:anchorId="3F39D1F8" wp14:editId="79B7B617">
                                      <wp:extent cx="6393180" cy="1805940"/>
                                      <wp:effectExtent l="0" t="0" r="7620" b="3810"/>
                                      <wp:docPr id="1859683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1805940"/>
                                              </a:xfrm>
                                              <a:prstGeom prst="rect">
                                                <a:avLst/>
                                              </a:prstGeom>
                                              <a:noFill/>
                                              <a:ln>
                                                <a:noFill/>
                                              </a:ln>
                                            </pic:spPr>
                                          </pic:pic>
                                        </a:graphicData>
                                      </a:graphic>
                                    </wp:inline>
                                  </w:drawing>
                                </w:r>
                              </w:p>
                              <w:p w14:paraId="11982004" w14:textId="162C5EB4" w:rsidR="004752A7" w:rsidRDefault="004752A7">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6A2B2D2" id="_x0000_t202" coordsize="21600,21600" o:spt="202" path="m,l,21600r21600,l21600,xe">
                    <v:stroke joinstyle="miter"/>
                    <v:path gradientshapeok="t" o:connecttype="rect"/>
                  </v:shapetype>
                  <v:shape id="Text Box 73" o:spid="_x0000_s1027" type="#_x0000_t202" style="position:absolute;margin-left:0;margin-top:6in;width:452.25pt;height:19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" filled="f" stroked="f" strokeweight=".5pt">
                    <v:textbox inset="0,0,0,0">
                      <w:txbxContent>
                        <w:p w14:paraId="2838E1E0" w14:textId="3DEB55D1" w:rsidR="002E38E7" w:rsidRPr="002E38E7" w:rsidRDefault="002E38E7" w:rsidP="002E38E7">
                          <w:pPr>
                            <w:pStyle w:val="NoSpacing"/>
                            <w:jc w:val="right"/>
                            <w:rPr>
                              <w:noProof/>
                              <w:lang w:val="en-GB"/>
                              <w14:ligatures w14:val="standardContextual"/>
                            </w:rPr>
                          </w:pPr>
                          <w:r w:rsidRPr="002E38E7">
                            <w:rPr>
                              <w:noProof/>
                              <w:lang w:val="en-GB"/>
                              <w14:ligatures w14:val="standardContextual"/>
                            </w:rPr>
                            <w:drawing>
                              <wp:inline distT="0" distB="0" distL="0" distR="0" wp14:anchorId="3F39D1F8" wp14:editId="79B7B617">
                                <wp:extent cx="6393180" cy="1805940"/>
                                <wp:effectExtent l="0" t="0" r="7620" b="3810"/>
                                <wp:docPr id="1859683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1805940"/>
                                        </a:xfrm>
                                        <a:prstGeom prst="rect">
                                          <a:avLst/>
                                        </a:prstGeom>
                                        <a:noFill/>
                                        <a:ln>
                                          <a:noFill/>
                                        </a:ln>
                                      </pic:spPr>
                                    </pic:pic>
                                  </a:graphicData>
                                </a:graphic>
                              </wp:inline>
                            </w:drawing>
                          </w:r>
                        </w:p>
                        <w:p w14:paraId="11982004" w14:textId="162C5EB4" w:rsidR="004752A7" w:rsidRDefault="004752A7">
                          <w:pPr>
                            <w:pStyle w:val="NoSpacing"/>
                            <w:jc w:val="right"/>
                            <w:rPr>
                              <w:color w:val="156082" w:themeColor="accent1"/>
                              <w:sz w:val="36"/>
                              <w:szCs w:val="36"/>
                            </w:rPr>
                          </w:pPr>
                        </w:p>
                      </w:txbxContent>
                    </v:textbox>
                    <w10:wrap anchorx="margin" anchory="margin"/>
                  </v:shape>
                </w:pict>
              </mc:Fallback>
            </mc:AlternateContent>
          </w:r>
          <w:r w:rsidR="00E97EB5">
            <w:rPr>
              <w:noProof/>
              <w14:ligatures w14:val="standardContextual"/>
            </w:rPr>
            <mc:AlternateContent>
              <mc:Choice Requires="wps">
                <w:drawing>
                  <wp:anchor distT="0" distB="0" distL="114300" distR="114300" simplePos="0" relativeHeight="251662336" behindDoc="0" locked="0" layoutInCell="1" allowOverlap="1" wp14:anchorId="6440BC9E" wp14:editId="70FBC882">
                    <wp:simplePos x="0" y="0"/>
                    <wp:positionH relativeFrom="column">
                      <wp:posOffset>-304800</wp:posOffset>
                    </wp:positionH>
                    <wp:positionV relativeFrom="paragraph">
                      <wp:posOffset>116205</wp:posOffset>
                    </wp:positionV>
                    <wp:extent cx="6492240" cy="2844800"/>
                    <wp:effectExtent l="0" t="0" r="3810" b="0"/>
                    <wp:wrapNone/>
                    <wp:docPr id="1087681723" name="Rectangle 3"/>
                    <wp:cNvGraphicFramePr/>
                    <a:graphic xmlns:a="http://schemas.openxmlformats.org/drawingml/2006/main">
                      <a:graphicData uri="http://schemas.microsoft.com/office/word/2010/wordprocessingShape">
                        <wps:wsp>
                          <wps:cNvSpPr/>
                          <wps:spPr>
                            <a:xfrm>
                              <a:off x="0" y="0"/>
                              <a:ext cx="6492240" cy="2844800"/>
                            </a:xfrm>
                            <a:prstGeom prst="rect">
                              <a:avLst/>
                            </a:prstGeom>
                            <a:ln>
                              <a:noFill/>
                            </a:ln>
                          </wps:spPr>
                          <wps:style>
                            <a:lnRef idx="2">
                              <a:schemeClr val="accent3"/>
                            </a:lnRef>
                            <a:fillRef idx="1">
                              <a:schemeClr val="lt1"/>
                            </a:fillRef>
                            <a:effectRef idx="0">
                              <a:schemeClr val="accent3"/>
                            </a:effectRef>
                            <a:fontRef idx="minor">
                              <a:schemeClr val="dk1"/>
                            </a:fontRef>
                          </wps:style>
                          <wps:txbx>
                            <w:txbxContent>
                              <w:sdt>
                                <w:sdtPr>
                                  <w:rPr>
                                    <w:rFonts w:ascii="Arial" w:eastAsia="Times New Roman" w:hAnsi="Arial" w:cs="Arial"/>
                                    <w:b/>
                                    <w:bCs/>
                                    <w:sz w:val="28"/>
                                    <w:szCs w:val="28"/>
                                  </w:rPr>
                                  <w:alias w:val="Title"/>
                                  <w:tag w:val=""/>
                                  <w:id w:val="1705361026"/>
                                  <w:dataBinding w:prefixMappings="xmlns:ns0='http://purl.org/dc/elements/1.1/' xmlns:ns1='http://schemas.openxmlformats.org/package/2006/metadata/core-properties' " w:xpath="/ns1:coreProperties[1]/ns0:title[1]" w:storeItemID="{6C3C8BC8-F283-45AE-878A-BAB7291924A1}"/>
                                  <w:text/>
                                </w:sdtPr>
                                <w:sdtEndPr/>
                                <w:sdtContent>
                                  <w:p w14:paraId="447F97B6" w14:textId="77777777" w:rsidR="00A70B5D" w:rsidRPr="00D24805" w:rsidRDefault="00A70B5D" w:rsidP="00A70B5D">
                                    <w:pPr>
                                      <w:pStyle w:val="NoSpacing"/>
                                      <w:jc w:val="center"/>
                                      <w:rPr>
                                        <w:rFonts w:ascii="Arial" w:eastAsiaTheme="majorEastAsia" w:hAnsi="Arial" w:cs="Arial"/>
                                        <w:b/>
                                        <w:bCs/>
                                        <w:caps/>
                                        <w:color w:val="2C7FCE" w:themeColor="text2" w:themeTint="99"/>
                                        <w:sz w:val="28"/>
                                        <w:szCs w:val="28"/>
                                      </w:rPr>
                                    </w:pPr>
                                    <w:r w:rsidRPr="00D24805">
                                      <w:rPr>
                                        <w:rFonts w:ascii="Arial" w:eastAsia="Times New Roman" w:hAnsi="Arial" w:cs="Arial"/>
                                        <w:b/>
                                        <w:bCs/>
                                        <w:sz w:val="28"/>
                                        <w:szCs w:val="28"/>
                                      </w:rPr>
                                      <w:t>COMPONENT 1 – BUSINESS RESEARCH PROPOSAL</w:t>
                                    </w:r>
                                  </w:p>
                                </w:sdtContent>
                              </w:sdt>
                              <w:p w14:paraId="6DEBF9AE" w14:textId="77777777" w:rsidR="00A70B5D" w:rsidRDefault="00A00141" w:rsidP="00A70B5D">
                                <w:pPr>
                                  <w:pStyle w:val="NoSpacing"/>
                                  <w:spacing w:before="120"/>
                                  <w:rPr>
                                    <w:rFonts w:ascii="Aptos" w:eastAsia="Times New Roman" w:hAnsi="Aptos" w:cs="Times New Roman"/>
                                  </w:rPr>
                                </w:pPr>
                                <w:sdt>
                                  <w:sdtPr>
                                    <w:rPr>
                                      <w:rFonts w:ascii="Aptos" w:eastAsia="Times New Roman" w:hAnsi="Aptos" w:cs="Times New Roman"/>
                                    </w:rPr>
                                    <w:alias w:val="Subtitle"/>
                                    <w:tag w:val=""/>
                                    <w:id w:val="-433974379"/>
                                    <w:showingPlcHdr/>
                                    <w:dataBinding w:prefixMappings="xmlns:ns0='http://purl.org/dc/elements/1.1/' xmlns:ns1='http://schemas.openxmlformats.org/package/2006/metadata/core-properties' " w:xpath="/ns1:coreProperties[1]/ns0:subject[1]" w:storeItemID="{6C3C8BC8-F283-45AE-878A-BAB7291924A1}"/>
                                    <w:text/>
                                  </w:sdtPr>
                                  <w:sdtEndPr/>
                                  <w:sdtContent>
                                    <w:r w:rsidR="00A70B5D">
                                      <w:rPr>
                                        <w:rFonts w:ascii="Aptos" w:eastAsia="Times New Roman" w:hAnsi="Aptos" w:cs="Times New Roman"/>
                                      </w:rPr>
                                      <w:t xml:space="preserve">     </w:t>
                                    </w:r>
                                  </w:sdtContent>
                                </w:sdt>
                              </w:p>
                              <w:p w14:paraId="10D67CE1"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Cybersecurity and customers:</w:t>
                                </w:r>
                              </w:p>
                              <w:p w14:paraId="0F81702D"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Investigating the digital resilience and customers’ trust in retail sector:</w:t>
                                </w:r>
                              </w:p>
                              <w:p w14:paraId="73B916CE"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Marks &amp; Spencer case study</w:t>
                                </w:r>
                              </w:p>
                              <w:p w14:paraId="35997E57" w14:textId="77777777" w:rsidR="00A70B5D" w:rsidRDefault="00A70B5D" w:rsidP="00A70B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0BC9E" id="Rectangle 3" o:spid="_x0000_s1028" style="position:absolute;margin-left:-24pt;margin-top:9.15pt;width:511.2pt;height:2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" fillcolor="white [3201]" stroked="f" strokeweight="1pt">
                    <v:textbox>
                      <w:txbxContent>
                        <w:sdt>
                          <w:sdtPr>
                            <w:rPr>
                              <w:rFonts w:ascii="Arial" w:eastAsia="Times New Roman" w:hAnsi="Arial" w:cs="Arial"/>
                              <w:b/>
                              <w:bCs/>
                              <w:sz w:val="28"/>
                              <w:szCs w:val="28"/>
                            </w:rPr>
                            <w:alias w:val="Title"/>
                            <w:tag w:val=""/>
                            <w:id w:val="1705361026"/>
                            <w:dataBinding w:prefixMappings="xmlns:ns0='http://purl.org/dc/elements/1.1/' xmlns:ns1='http://schemas.openxmlformats.org/package/2006/metadata/core-properties' " w:xpath="/ns1:coreProperties[1]/ns0:title[1]" w:storeItemID="{6C3C8BC8-F283-45AE-878A-BAB7291924A1}"/>
                            <w:text/>
                          </w:sdtPr>
                          <w:sdtEndPr/>
                          <w:sdtContent>
                            <w:p w14:paraId="447F97B6" w14:textId="77777777" w:rsidR="00A70B5D" w:rsidRPr="00D24805" w:rsidRDefault="00A70B5D" w:rsidP="00A70B5D">
                              <w:pPr>
                                <w:pStyle w:val="NoSpacing"/>
                                <w:jc w:val="center"/>
                                <w:rPr>
                                  <w:rFonts w:ascii="Arial" w:eastAsiaTheme="majorEastAsia" w:hAnsi="Arial" w:cs="Arial"/>
                                  <w:b/>
                                  <w:bCs/>
                                  <w:caps/>
                                  <w:color w:val="2C7FCE" w:themeColor="text2" w:themeTint="99"/>
                                  <w:sz w:val="28"/>
                                  <w:szCs w:val="28"/>
                                </w:rPr>
                              </w:pPr>
                              <w:r w:rsidRPr="00D24805">
                                <w:rPr>
                                  <w:rFonts w:ascii="Arial" w:eastAsia="Times New Roman" w:hAnsi="Arial" w:cs="Arial"/>
                                  <w:b/>
                                  <w:bCs/>
                                  <w:sz w:val="28"/>
                                  <w:szCs w:val="28"/>
                                </w:rPr>
                                <w:t>COMPONENT 1 – BUSINESS RESEARCH PROPOSAL</w:t>
                              </w:r>
                            </w:p>
                          </w:sdtContent>
                        </w:sdt>
                        <w:p w14:paraId="6DEBF9AE" w14:textId="77777777" w:rsidR="00A70B5D" w:rsidRDefault="009358C6" w:rsidP="00A70B5D">
                          <w:pPr>
                            <w:pStyle w:val="NoSpacing"/>
                            <w:spacing w:before="120"/>
                            <w:rPr>
                              <w:rFonts w:ascii="Aptos" w:eastAsia="Times New Roman" w:hAnsi="Aptos" w:cs="Times New Roman"/>
                            </w:rPr>
                          </w:pPr>
                          <w:sdt>
                            <w:sdtPr>
                              <w:rPr>
                                <w:rFonts w:ascii="Aptos" w:eastAsia="Times New Roman" w:hAnsi="Aptos" w:cs="Times New Roman"/>
                              </w:rPr>
                              <w:alias w:val="Subtitle"/>
                              <w:tag w:val=""/>
                              <w:id w:val="-433974379"/>
                              <w:showingPlcHdr/>
                              <w:dataBinding w:prefixMappings="xmlns:ns0='http://purl.org/dc/elements/1.1/' xmlns:ns1='http://schemas.openxmlformats.org/package/2006/metadata/core-properties' " w:xpath="/ns1:coreProperties[1]/ns0:subject[1]" w:storeItemID="{6C3C8BC8-F283-45AE-878A-BAB7291924A1}"/>
                              <w:text/>
                            </w:sdtPr>
                            <w:sdtEndPr/>
                            <w:sdtContent>
                              <w:r w:rsidR="00A70B5D">
                                <w:rPr>
                                  <w:rFonts w:ascii="Aptos" w:eastAsia="Times New Roman" w:hAnsi="Aptos" w:cs="Times New Roman"/>
                                </w:rPr>
                                <w:t xml:space="preserve">     </w:t>
                              </w:r>
                            </w:sdtContent>
                          </w:sdt>
                        </w:p>
                        <w:p w14:paraId="10D67CE1"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Cybersecurity and customers:</w:t>
                          </w:r>
                        </w:p>
                        <w:p w14:paraId="0F81702D"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Investigating the digital resilience and customers’ trust in retail sector:</w:t>
                          </w:r>
                        </w:p>
                        <w:p w14:paraId="73B916CE" w14:textId="77777777" w:rsidR="00A70B5D" w:rsidRPr="00D24805" w:rsidRDefault="00A70B5D" w:rsidP="00D24805">
                          <w:pPr>
                            <w:jc w:val="both"/>
                            <w:rPr>
                              <w:rFonts w:ascii="Arial" w:hAnsi="Arial" w:cs="Arial"/>
                              <w:b/>
                              <w:bCs/>
                              <w:color w:val="275317" w:themeColor="accent6" w:themeShade="80"/>
                              <w:sz w:val="56"/>
                              <w:szCs w:val="56"/>
                            </w:rPr>
                          </w:pPr>
                          <w:r w:rsidRPr="00D24805">
                            <w:rPr>
                              <w:rFonts w:ascii="Arial" w:hAnsi="Arial" w:cs="Arial"/>
                              <w:b/>
                              <w:bCs/>
                              <w:color w:val="275317" w:themeColor="accent6" w:themeShade="80"/>
                              <w:sz w:val="56"/>
                              <w:szCs w:val="56"/>
                            </w:rPr>
                            <w:t>Marks &amp; Spencer case study</w:t>
                          </w:r>
                        </w:p>
                        <w:p w14:paraId="35997E57" w14:textId="77777777" w:rsidR="00A70B5D" w:rsidRDefault="00A70B5D" w:rsidP="00A70B5D">
                          <w:pPr>
                            <w:jc w:val="center"/>
                          </w:pPr>
                        </w:p>
                      </w:txbxContent>
                    </v:textbox>
                  </v:rect>
                </w:pict>
              </mc:Fallback>
            </mc:AlternateContent>
          </w:r>
          <w:r w:rsidR="004752A7">
            <w:br w:type="page"/>
          </w:r>
        </w:p>
      </w:sdtContent>
    </w:sdt>
    <w:p w14:paraId="129412E0" w14:textId="7C1928D6" w:rsidR="008159EE" w:rsidRDefault="008159EE"/>
    <w:p w14:paraId="0560FABD" w14:textId="77777777" w:rsidR="006B374C" w:rsidRPr="006B374C" w:rsidRDefault="006B374C" w:rsidP="006B374C"/>
    <w:p w14:paraId="68069A35" w14:textId="77777777" w:rsidR="006B374C" w:rsidRPr="006B374C" w:rsidRDefault="006B374C" w:rsidP="006B374C"/>
    <w:sdt>
      <w:sdtPr>
        <w:rPr>
          <w:rFonts w:asciiTheme="minorHAnsi" w:eastAsiaTheme="minorEastAsia" w:hAnsiTheme="minorHAnsi" w:cstheme="minorBidi"/>
          <w:color w:val="auto"/>
          <w:kern w:val="2"/>
          <w:sz w:val="24"/>
          <w:szCs w:val="24"/>
          <w:lang w:eastAsia="en-US"/>
          <w14:ligatures w14:val="standardContextual"/>
        </w:rPr>
        <w:id w:val="-529573345"/>
        <w:docPartObj>
          <w:docPartGallery w:val="Table of Contents"/>
          <w:docPartUnique/>
        </w:docPartObj>
      </w:sdtPr>
      <w:sdtEndPr>
        <w:rPr>
          <w:rFonts w:ascii="Aptos" w:eastAsia="Aptos" w:hAnsi="Aptos" w:cs="Times New Roman"/>
          <w:b/>
          <w:bCs/>
          <w:noProof/>
          <w:kern w:val="3"/>
          <w:sz w:val="22"/>
          <w:szCs w:val="22"/>
          <w14:ligatures w14:val="none"/>
        </w:rPr>
      </w:sdtEndPr>
      <w:sdtContent>
        <w:p w14:paraId="16C70AE8" w14:textId="77777777" w:rsidR="004B0DF8" w:rsidRDefault="004B0DF8" w:rsidP="004B0DF8">
          <w:pPr>
            <w:pStyle w:val="TOCHeading"/>
          </w:pPr>
          <w:r>
            <w:t>Table of Contents</w:t>
          </w:r>
        </w:p>
        <w:p w14:paraId="6CFA1A81" w14:textId="77777777" w:rsidR="004B0DF8" w:rsidRDefault="004B0DF8" w:rsidP="004B0DF8">
          <w:pPr>
            <w:pStyle w:val="TOC1"/>
            <w:tabs>
              <w:tab w:val="right" w:leader="dot" w:pos="9016"/>
            </w:tabs>
            <w:rPr>
              <w:noProof/>
            </w:rPr>
          </w:pPr>
          <w:r>
            <w:fldChar w:fldCharType="begin"/>
          </w:r>
          <w:r>
            <w:instrText xml:space="preserve"> TOC \o "1-3" \h \z \u </w:instrText>
          </w:r>
          <w:r>
            <w:fldChar w:fldCharType="separate"/>
          </w:r>
          <w:hyperlink w:anchor="_Toc235867384" w:history="1">
            <w:r w:rsidRPr="002A7327">
              <w:rPr>
                <w:rStyle w:val="Hyperlink"/>
                <w:noProof/>
              </w:rPr>
              <w:t>List of Figures</w:t>
            </w:r>
            <w:r>
              <w:rPr>
                <w:noProof/>
                <w:webHidden/>
              </w:rPr>
              <w:tab/>
            </w:r>
            <w:r>
              <w:rPr>
                <w:noProof/>
                <w:webHidden/>
              </w:rPr>
              <w:fldChar w:fldCharType="begin"/>
            </w:r>
            <w:r>
              <w:rPr>
                <w:noProof/>
                <w:webHidden/>
              </w:rPr>
              <w:instrText xml:space="preserve"> PAGEREF _Toc235867384 \h </w:instrText>
            </w:r>
            <w:r>
              <w:rPr>
                <w:noProof/>
                <w:webHidden/>
              </w:rPr>
            </w:r>
            <w:r>
              <w:rPr>
                <w:noProof/>
                <w:webHidden/>
              </w:rPr>
              <w:fldChar w:fldCharType="separate"/>
            </w:r>
            <w:r>
              <w:rPr>
                <w:noProof/>
                <w:webHidden/>
              </w:rPr>
              <w:t>1</w:t>
            </w:r>
            <w:r>
              <w:rPr>
                <w:noProof/>
                <w:webHidden/>
              </w:rPr>
              <w:fldChar w:fldCharType="end"/>
            </w:r>
          </w:hyperlink>
        </w:p>
        <w:p w14:paraId="51D7B7DB" w14:textId="77777777" w:rsidR="004B0DF8" w:rsidRDefault="004B0DF8" w:rsidP="004B0DF8">
          <w:pPr>
            <w:pStyle w:val="TOC1"/>
            <w:tabs>
              <w:tab w:val="right" w:leader="dot" w:pos="9016"/>
            </w:tabs>
            <w:rPr>
              <w:noProof/>
            </w:rPr>
          </w:pPr>
          <w:hyperlink w:anchor="_Toc235867385" w:history="1">
            <w:r w:rsidRPr="002A7327">
              <w:rPr>
                <w:rStyle w:val="Hyperlink"/>
                <w:b/>
                <w:bCs/>
                <w:noProof/>
              </w:rPr>
              <w:t>Introduction</w:t>
            </w:r>
            <w:r>
              <w:rPr>
                <w:noProof/>
                <w:webHidden/>
              </w:rPr>
              <w:tab/>
            </w:r>
            <w:r>
              <w:rPr>
                <w:noProof/>
                <w:webHidden/>
              </w:rPr>
              <w:fldChar w:fldCharType="begin"/>
            </w:r>
            <w:r>
              <w:rPr>
                <w:noProof/>
                <w:webHidden/>
              </w:rPr>
              <w:instrText xml:space="preserve"> PAGEREF _Toc235867385 \h </w:instrText>
            </w:r>
            <w:r>
              <w:rPr>
                <w:noProof/>
                <w:webHidden/>
              </w:rPr>
            </w:r>
            <w:r>
              <w:rPr>
                <w:noProof/>
                <w:webHidden/>
              </w:rPr>
              <w:fldChar w:fldCharType="separate"/>
            </w:r>
            <w:r>
              <w:rPr>
                <w:noProof/>
                <w:webHidden/>
              </w:rPr>
              <w:t>2</w:t>
            </w:r>
            <w:r>
              <w:rPr>
                <w:noProof/>
                <w:webHidden/>
              </w:rPr>
              <w:fldChar w:fldCharType="end"/>
            </w:r>
          </w:hyperlink>
        </w:p>
        <w:p w14:paraId="5BB52319" w14:textId="77777777" w:rsidR="004B0DF8" w:rsidRDefault="004B0DF8" w:rsidP="004B0DF8">
          <w:pPr>
            <w:pStyle w:val="TOC1"/>
            <w:tabs>
              <w:tab w:val="right" w:leader="dot" w:pos="9016"/>
            </w:tabs>
            <w:rPr>
              <w:noProof/>
            </w:rPr>
          </w:pPr>
          <w:hyperlink w:anchor="_Toc235867386" w:history="1">
            <w:r w:rsidRPr="002A7327">
              <w:rPr>
                <w:rStyle w:val="Hyperlink"/>
                <w:b/>
                <w:bCs/>
                <w:noProof/>
              </w:rPr>
              <w:t>AIM, OBJECTIVES AND RESEARCH QUESTIONS</w:t>
            </w:r>
            <w:r>
              <w:rPr>
                <w:noProof/>
                <w:webHidden/>
              </w:rPr>
              <w:tab/>
            </w:r>
            <w:r>
              <w:rPr>
                <w:noProof/>
                <w:webHidden/>
              </w:rPr>
              <w:fldChar w:fldCharType="begin"/>
            </w:r>
            <w:r>
              <w:rPr>
                <w:noProof/>
                <w:webHidden/>
              </w:rPr>
              <w:instrText xml:space="preserve"> PAGEREF _Toc235867386 \h </w:instrText>
            </w:r>
            <w:r>
              <w:rPr>
                <w:noProof/>
                <w:webHidden/>
              </w:rPr>
            </w:r>
            <w:r>
              <w:rPr>
                <w:noProof/>
                <w:webHidden/>
              </w:rPr>
              <w:fldChar w:fldCharType="separate"/>
            </w:r>
            <w:r>
              <w:rPr>
                <w:noProof/>
                <w:webHidden/>
              </w:rPr>
              <w:t>2</w:t>
            </w:r>
            <w:r>
              <w:rPr>
                <w:noProof/>
                <w:webHidden/>
              </w:rPr>
              <w:fldChar w:fldCharType="end"/>
            </w:r>
          </w:hyperlink>
        </w:p>
        <w:p w14:paraId="4F106E6B" w14:textId="77777777" w:rsidR="004B0DF8" w:rsidRDefault="004B0DF8" w:rsidP="004B0DF8">
          <w:pPr>
            <w:pStyle w:val="TOC2"/>
            <w:tabs>
              <w:tab w:val="right" w:leader="dot" w:pos="9016"/>
            </w:tabs>
            <w:rPr>
              <w:noProof/>
            </w:rPr>
          </w:pPr>
          <w:hyperlink w:anchor="_Toc235867387" w:history="1">
            <w:r w:rsidRPr="002A7327">
              <w:rPr>
                <w:rStyle w:val="Hyperlink"/>
                <w:noProof/>
              </w:rPr>
              <w:t>Research Aim</w:t>
            </w:r>
            <w:r>
              <w:rPr>
                <w:noProof/>
                <w:webHidden/>
              </w:rPr>
              <w:tab/>
            </w:r>
            <w:r>
              <w:rPr>
                <w:noProof/>
                <w:webHidden/>
              </w:rPr>
              <w:fldChar w:fldCharType="begin"/>
            </w:r>
            <w:r>
              <w:rPr>
                <w:noProof/>
                <w:webHidden/>
              </w:rPr>
              <w:instrText xml:space="preserve"> PAGEREF _Toc235867387 \h </w:instrText>
            </w:r>
            <w:r>
              <w:rPr>
                <w:noProof/>
                <w:webHidden/>
              </w:rPr>
            </w:r>
            <w:r>
              <w:rPr>
                <w:noProof/>
                <w:webHidden/>
              </w:rPr>
              <w:fldChar w:fldCharType="separate"/>
            </w:r>
            <w:r>
              <w:rPr>
                <w:noProof/>
                <w:webHidden/>
              </w:rPr>
              <w:t>2</w:t>
            </w:r>
            <w:r>
              <w:rPr>
                <w:noProof/>
                <w:webHidden/>
              </w:rPr>
              <w:fldChar w:fldCharType="end"/>
            </w:r>
          </w:hyperlink>
        </w:p>
        <w:p w14:paraId="4468CDC5" w14:textId="77777777" w:rsidR="004B0DF8" w:rsidRDefault="004B0DF8" w:rsidP="004B0DF8">
          <w:pPr>
            <w:pStyle w:val="TOC2"/>
            <w:tabs>
              <w:tab w:val="right" w:leader="dot" w:pos="9016"/>
            </w:tabs>
            <w:rPr>
              <w:noProof/>
            </w:rPr>
          </w:pPr>
          <w:hyperlink w:anchor="_Toc235867388" w:history="1">
            <w:r w:rsidRPr="002A7327">
              <w:rPr>
                <w:rStyle w:val="Hyperlink"/>
                <w:noProof/>
              </w:rPr>
              <w:t>Research Objectives</w:t>
            </w:r>
            <w:r>
              <w:rPr>
                <w:noProof/>
                <w:webHidden/>
              </w:rPr>
              <w:tab/>
            </w:r>
            <w:r>
              <w:rPr>
                <w:noProof/>
                <w:webHidden/>
              </w:rPr>
              <w:fldChar w:fldCharType="begin"/>
            </w:r>
            <w:r>
              <w:rPr>
                <w:noProof/>
                <w:webHidden/>
              </w:rPr>
              <w:instrText xml:space="preserve"> PAGEREF _Toc235867388 \h </w:instrText>
            </w:r>
            <w:r>
              <w:rPr>
                <w:noProof/>
                <w:webHidden/>
              </w:rPr>
            </w:r>
            <w:r>
              <w:rPr>
                <w:noProof/>
                <w:webHidden/>
              </w:rPr>
              <w:fldChar w:fldCharType="separate"/>
            </w:r>
            <w:r>
              <w:rPr>
                <w:noProof/>
                <w:webHidden/>
              </w:rPr>
              <w:t>2</w:t>
            </w:r>
            <w:r>
              <w:rPr>
                <w:noProof/>
                <w:webHidden/>
              </w:rPr>
              <w:fldChar w:fldCharType="end"/>
            </w:r>
          </w:hyperlink>
        </w:p>
        <w:p w14:paraId="03AAE2AD" w14:textId="77777777" w:rsidR="004B0DF8" w:rsidRDefault="004B0DF8" w:rsidP="004B0DF8">
          <w:pPr>
            <w:pStyle w:val="TOC2"/>
            <w:tabs>
              <w:tab w:val="right" w:leader="dot" w:pos="9016"/>
            </w:tabs>
            <w:rPr>
              <w:noProof/>
            </w:rPr>
          </w:pPr>
          <w:hyperlink w:anchor="_Toc235867389" w:history="1">
            <w:r w:rsidRPr="002A7327">
              <w:rPr>
                <w:rStyle w:val="Hyperlink"/>
                <w:noProof/>
              </w:rPr>
              <w:t>Research Questions</w:t>
            </w:r>
            <w:r>
              <w:rPr>
                <w:noProof/>
                <w:webHidden/>
              </w:rPr>
              <w:tab/>
            </w:r>
            <w:r>
              <w:rPr>
                <w:noProof/>
                <w:webHidden/>
              </w:rPr>
              <w:fldChar w:fldCharType="begin"/>
            </w:r>
            <w:r>
              <w:rPr>
                <w:noProof/>
                <w:webHidden/>
              </w:rPr>
              <w:instrText xml:space="preserve"> PAGEREF _Toc235867389 \h </w:instrText>
            </w:r>
            <w:r>
              <w:rPr>
                <w:noProof/>
                <w:webHidden/>
              </w:rPr>
            </w:r>
            <w:r>
              <w:rPr>
                <w:noProof/>
                <w:webHidden/>
              </w:rPr>
              <w:fldChar w:fldCharType="separate"/>
            </w:r>
            <w:r>
              <w:rPr>
                <w:noProof/>
                <w:webHidden/>
              </w:rPr>
              <w:t>3</w:t>
            </w:r>
            <w:r>
              <w:rPr>
                <w:noProof/>
                <w:webHidden/>
              </w:rPr>
              <w:fldChar w:fldCharType="end"/>
            </w:r>
          </w:hyperlink>
        </w:p>
        <w:p w14:paraId="4DC6ADBC" w14:textId="77777777" w:rsidR="004B0DF8" w:rsidRDefault="004B0DF8" w:rsidP="004B0DF8">
          <w:pPr>
            <w:pStyle w:val="TOC1"/>
            <w:tabs>
              <w:tab w:val="right" w:leader="dot" w:pos="9016"/>
            </w:tabs>
            <w:rPr>
              <w:noProof/>
            </w:rPr>
          </w:pPr>
          <w:hyperlink w:anchor="_Toc235867390" w:history="1">
            <w:r w:rsidRPr="002A7327">
              <w:rPr>
                <w:rStyle w:val="Hyperlink"/>
                <w:b/>
                <w:bCs/>
                <w:noProof/>
              </w:rPr>
              <w:t>LITERATURE REVIEW AND GAP ANALYSIS</w:t>
            </w:r>
            <w:r>
              <w:rPr>
                <w:noProof/>
                <w:webHidden/>
              </w:rPr>
              <w:tab/>
            </w:r>
            <w:r>
              <w:rPr>
                <w:noProof/>
                <w:webHidden/>
              </w:rPr>
              <w:fldChar w:fldCharType="begin"/>
            </w:r>
            <w:r>
              <w:rPr>
                <w:noProof/>
                <w:webHidden/>
              </w:rPr>
              <w:instrText xml:space="preserve"> PAGEREF _Toc235867390 \h </w:instrText>
            </w:r>
            <w:r>
              <w:rPr>
                <w:noProof/>
                <w:webHidden/>
              </w:rPr>
            </w:r>
            <w:r>
              <w:rPr>
                <w:noProof/>
                <w:webHidden/>
              </w:rPr>
              <w:fldChar w:fldCharType="separate"/>
            </w:r>
            <w:r>
              <w:rPr>
                <w:noProof/>
                <w:webHidden/>
              </w:rPr>
              <w:t>3</w:t>
            </w:r>
            <w:r>
              <w:rPr>
                <w:noProof/>
                <w:webHidden/>
              </w:rPr>
              <w:fldChar w:fldCharType="end"/>
            </w:r>
          </w:hyperlink>
        </w:p>
        <w:p w14:paraId="5A03E98D" w14:textId="77777777" w:rsidR="004B0DF8" w:rsidRDefault="004B0DF8" w:rsidP="004B0DF8">
          <w:pPr>
            <w:pStyle w:val="TOC1"/>
            <w:tabs>
              <w:tab w:val="right" w:leader="dot" w:pos="9016"/>
            </w:tabs>
            <w:rPr>
              <w:noProof/>
            </w:rPr>
          </w:pPr>
          <w:hyperlink w:anchor="_Toc235867391" w:history="1">
            <w:r w:rsidRPr="002A7327">
              <w:rPr>
                <w:rStyle w:val="Hyperlink"/>
                <w:b/>
                <w:bCs/>
                <w:noProof/>
              </w:rPr>
              <w:t>METHODOLOGY</w:t>
            </w:r>
            <w:r>
              <w:rPr>
                <w:noProof/>
                <w:webHidden/>
              </w:rPr>
              <w:tab/>
            </w:r>
            <w:r>
              <w:rPr>
                <w:noProof/>
                <w:webHidden/>
              </w:rPr>
              <w:fldChar w:fldCharType="begin"/>
            </w:r>
            <w:r>
              <w:rPr>
                <w:noProof/>
                <w:webHidden/>
              </w:rPr>
              <w:instrText xml:space="preserve"> PAGEREF _Toc235867391 \h </w:instrText>
            </w:r>
            <w:r>
              <w:rPr>
                <w:noProof/>
                <w:webHidden/>
              </w:rPr>
            </w:r>
            <w:r>
              <w:rPr>
                <w:noProof/>
                <w:webHidden/>
              </w:rPr>
              <w:fldChar w:fldCharType="separate"/>
            </w:r>
            <w:r>
              <w:rPr>
                <w:noProof/>
                <w:webHidden/>
              </w:rPr>
              <w:t>4</w:t>
            </w:r>
            <w:r>
              <w:rPr>
                <w:noProof/>
                <w:webHidden/>
              </w:rPr>
              <w:fldChar w:fldCharType="end"/>
            </w:r>
          </w:hyperlink>
        </w:p>
        <w:p w14:paraId="6323A169" w14:textId="77777777" w:rsidR="004B0DF8" w:rsidRDefault="004B0DF8" w:rsidP="004B0DF8">
          <w:pPr>
            <w:pStyle w:val="TOC2"/>
            <w:tabs>
              <w:tab w:val="right" w:leader="dot" w:pos="9016"/>
            </w:tabs>
            <w:rPr>
              <w:noProof/>
            </w:rPr>
          </w:pPr>
          <w:hyperlink w:anchor="_Toc235867392" w:history="1">
            <w:r w:rsidRPr="002A7327">
              <w:rPr>
                <w:rStyle w:val="Hyperlink"/>
                <w:noProof/>
              </w:rPr>
              <w:t>Inclusion criteria</w:t>
            </w:r>
            <w:r>
              <w:rPr>
                <w:noProof/>
                <w:webHidden/>
              </w:rPr>
              <w:tab/>
            </w:r>
            <w:r>
              <w:rPr>
                <w:noProof/>
                <w:webHidden/>
              </w:rPr>
              <w:fldChar w:fldCharType="begin"/>
            </w:r>
            <w:r>
              <w:rPr>
                <w:noProof/>
                <w:webHidden/>
              </w:rPr>
              <w:instrText xml:space="preserve"> PAGEREF _Toc235867392 \h </w:instrText>
            </w:r>
            <w:r>
              <w:rPr>
                <w:noProof/>
                <w:webHidden/>
              </w:rPr>
            </w:r>
            <w:r>
              <w:rPr>
                <w:noProof/>
                <w:webHidden/>
              </w:rPr>
              <w:fldChar w:fldCharType="separate"/>
            </w:r>
            <w:r>
              <w:rPr>
                <w:noProof/>
                <w:webHidden/>
              </w:rPr>
              <w:t>5</w:t>
            </w:r>
            <w:r>
              <w:rPr>
                <w:noProof/>
                <w:webHidden/>
              </w:rPr>
              <w:fldChar w:fldCharType="end"/>
            </w:r>
          </w:hyperlink>
        </w:p>
        <w:p w14:paraId="68F41528" w14:textId="77777777" w:rsidR="004B0DF8" w:rsidRDefault="004B0DF8" w:rsidP="004B0DF8">
          <w:pPr>
            <w:pStyle w:val="TOC2"/>
            <w:tabs>
              <w:tab w:val="right" w:leader="dot" w:pos="9016"/>
            </w:tabs>
            <w:rPr>
              <w:noProof/>
            </w:rPr>
          </w:pPr>
          <w:hyperlink w:anchor="_Toc235867393" w:history="1">
            <w:r w:rsidRPr="002A7327">
              <w:rPr>
                <w:rStyle w:val="Hyperlink"/>
                <w:noProof/>
              </w:rPr>
              <w:t>Analysis Steps</w:t>
            </w:r>
            <w:r>
              <w:rPr>
                <w:noProof/>
                <w:webHidden/>
              </w:rPr>
              <w:tab/>
            </w:r>
            <w:r>
              <w:rPr>
                <w:noProof/>
                <w:webHidden/>
              </w:rPr>
              <w:fldChar w:fldCharType="begin"/>
            </w:r>
            <w:r>
              <w:rPr>
                <w:noProof/>
                <w:webHidden/>
              </w:rPr>
              <w:instrText xml:space="preserve"> PAGEREF _Toc235867393 \h </w:instrText>
            </w:r>
            <w:r>
              <w:rPr>
                <w:noProof/>
                <w:webHidden/>
              </w:rPr>
            </w:r>
            <w:r>
              <w:rPr>
                <w:noProof/>
                <w:webHidden/>
              </w:rPr>
              <w:fldChar w:fldCharType="separate"/>
            </w:r>
            <w:r>
              <w:rPr>
                <w:noProof/>
                <w:webHidden/>
              </w:rPr>
              <w:t>5</w:t>
            </w:r>
            <w:r>
              <w:rPr>
                <w:noProof/>
                <w:webHidden/>
              </w:rPr>
              <w:fldChar w:fldCharType="end"/>
            </w:r>
          </w:hyperlink>
        </w:p>
        <w:p w14:paraId="76DC7B77" w14:textId="77777777" w:rsidR="004B0DF8" w:rsidRDefault="004B0DF8" w:rsidP="004B0DF8">
          <w:pPr>
            <w:pStyle w:val="TOC2"/>
            <w:tabs>
              <w:tab w:val="right" w:leader="dot" w:pos="9016"/>
            </w:tabs>
            <w:rPr>
              <w:noProof/>
            </w:rPr>
          </w:pPr>
          <w:hyperlink w:anchor="_Toc235867394" w:history="1">
            <w:r w:rsidRPr="002A7327">
              <w:rPr>
                <w:rStyle w:val="Hyperlink"/>
                <w:noProof/>
              </w:rPr>
              <w:t>Objective-method map</w:t>
            </w:r>
            <w:r>
              <w:rPr>
                <w:noProof/>
                <w:webHidden/>
              </w:rPr>
              <w:tab/>
            </w:r>
            <w:r>
              <w:rPr>
                <w:noProof/>
                <w:webHidden/>
              </w:rPr>
              <w:fldChar w:fldCharType="begin"/>
            </w:r>
            <w:r>
              <w:rPr>
                <w:noProof/>
                <w:webHidden/>
              </w:rPr>
              <w:instrText xml:space="preserve"> PAGEREF _Toc235867394 \h </w:instrText>
            </w:r>
            <w:r>
              <w:rPr>
                <w:noProof/>
                <w:webHidden/>
              </w:rPr>
            </w:r>
            <w:r>
              <w:rPr>
                <w:noProof/>
                <w:webHidden/>
              </w:rPr>
              <w:fldChar w:fldCharType="separate"/>
            </w:r>
            <w:r>
              <w:rPr>
                <w:noProof/>
                <w:webHidden/>
              </w:rPr>
              <w:t>6</w:t>
            </w:r>
            <w:r>
              <w:rPr>
                <w:noProof/>
                <w:webHidden/>
              </w:rPr>
              <w:fldChar w:fldCharType="end"/>
            </w:r>
          </w:hyperlink>
        </w:p>
        <w:p w14:paraId="03797F91" w14:textId="77777777" w:rsidR="004B0DF8" w:rsidRDefault="004B0DF8" w:rsidP="004B0DF8">
          <w:pPr>
            <w:pStyle w:val="TOC2"/>
            <w:tabs>
              <w:tab w:val="right" w:leader="dot" w:pos="9016"/>
            </w:tabs>
            <w:rPr>
              <w:noProof/>
            </w:rPr>
          </w:pPr>
          <w:hyperlink w:anchor="_Toc235867395" w:history="1">
            <w:r w:rsidRPr="002A7327">
              <w:rPr>
                <w:rStyle w:val="Hyperlink"/>
                <w:noProof/>
              </w:rPr>
              <w:t>Project timeline</w:t>
            </w:r>
            <w:r>
              <w:rPr>
                <w:noProof/>
                <w:webHidden/>
              </w:rPr>
              <w:tab/>
            </w:r>
            <w:r>
              <w:rPr>
                <w:noProof/>
                <w:webHidden/>
              </w:rPr>
              <w:fldChar w:fldCharType="begin"/>
            </w:r>
            <w:r>
              <w:rPr>
                <w:noProof/>
                <w:webHidden/>
              </w:rPr>
              <w:instrText xml:space="preserve"> PAGEREF _Toc235867395 \h </w:instrText>
            </w:r>
            <w:r>
              <w:rPr>
                <w:noProof/>
                <w:webHidden/>
              </w:rPr>
            </w:r>
            <w:r>
              <w:rPr>
                <w:noProof/>
                <w:webHidden/>
              </w:rPr>
              <w:fldChar w:fldCharType="separate"/>
            </w:r>
            <w:r>
              <w:rPr>
                <w:noProof/>
                <w:webHidden/>
              </w:rPr>
              <w:t>7</w:t>
            </w:r>
            <w:r>
              <w:rPr>
                <w:noProof/>
                <w:webHidden/>
              </w:rPr>
              <w:fldChar w:fldCharType="end"/>
            </w:r>
          </w:hyperlink>
        </w:p>
        <w:p w14:paraId="671F908D" w14:textId="77777777" w:rsidR="004B0DF8" w:rsidRDefault="004B0DF8" w:rsidP="004B0DF8">
          <w:pPr>
            <w:pStyle w:val="TOC1"/>
            <w:tabs>
              <w:tab w:val="right" w:leader="dot" w:pos="9016"/>
            </w:tabs>
            <w:rPr>
              <w:noProof/>
            </w:rPr>
          </w:pPr>
          <w:hyperlink w:anchor="_Toc235867396" w:history="1">
            <w:r w:rsidRPr="002A7327">
              <w:rPr>
                <w:rStyle w:val="Hyperlink"/>
                <w:b/>
                <w:bCs/>
                <w:noProof/>
              </w:rPr>
              <w:t>BUSINESS RELEVANCE AND PRACTICAL IMPLICATIONS</w:t>
            </w:r>
            <w:r>
              <w:rPr>
                <w:noProof/>
                <w:webHidden/>
              </w:rPr>
              <w:tab/>
            </w:r>
            <w:r>
              <w:rPr>
                <w:noProof/>
                <w:webHidden/>
              </w:rPr>
              <w:fldChar w:fldCharType="begin"/>
            </w:r>
            <w:r>
              <w:rPr>
                <w:noProof/>
                <w:webHidden/>
              </w:rPr>
              <w:instrText xml:space="preserve"> PAGEREF _Toc235867396 \h </w:instrText>
            </w:r>
            <w:r>
              <w:rPr>
                <w:noProof/>
                <w:webHidden/>
              </w:rPr>
            </w:r>
            <w:r>
              <w:rPr>
                <w:noProof/>
                <w:webHidden/>
              </w:rPr>
              <w:fldChar w:fldCharType="separate"/>
            </w:r>
            <w:r>
              <w:rPr>
                <w:noProof/>
                <w:webHidden/>
              </w:rPr>
              <w:t>7</w:t>
            </w:r>
            <w:r>
              <w:rPr>
                <w:noProof/>
                <w:webHidden/>
              </w:rPr>
              <w:fldChar w:fldCharType="end"/>
            </w:r>
          </w:hyperlink>
        </w:p>
        <w:p w14:paraId="40F957E0" w14:textId="77777777" w:rsidR="004B0DF8" w:rsidRDefault="004B0DF8" w:rsidP="004B0DF8">
          <w:pPr>
            <w:pStyle w:val="TOC2"/>
            <w:tabs>
              <w:tab w:val="right" w:leader="dot" w:pos="9016"/>
            </w:tabs>
            <w:rPr>
              <w:noProof/>
            </w:rPr>
          </w:pPr>
          <w:hyperlink w:anchor="_Toc235867397" w:history="1">
            <w:r w:rsidRPr="002A7327">
              <w:rPr>
                <w:rStyle w:val="Hyperlink"/>
                <w:noProof/>
              </w:rPr>
              <w:t>Verified source list</w:t>
            </w:r>
            <w:r>
              <w:rPr>
                <w:noProof/>
                <w:webHidden/>
              </w:rPr>
              <w:tab/>
            </w:r>
            <w:r>
              <w:rPr>
                <w:noProof/>
                <w:webHidden/>
              </w:rPr>
              <w:fldChar w:fldCharType="begin"/>
            </w:r>
            <w:r>
              <w:rPr>
                <w:noProof/>
                <w:webHidden/>
              </w:rPr>
              <w:instrText xml:space="preserve"> PAGEREF _Toc235867397 \h </w:instrText>
            </w:r>
            <w:r>
              <w:rPr>
                <w:noProof/>
                <w:webHidden/>
              </w:rPr>
            </w:r>
            <w:r>
              <w:rPr>
                <w:noProof/>
                <w:webHidden/>
              </w:rPr>
              <w:fldChar w:fldCharType="separate"/>
            </w:r>
            <w:r>
              <w:rPr>
                <w:noProof/>
                <w:webHidden/>
              </w:rPr>
              <w:t>8</w:t>
            </w:r>
            <w:r>
              <w:rPr>
                <w:noProof/>
                <w:webHidden/>
              </w:rPr>
              <w:fldChar w:fldCharType="end"/>
            </w:r>
          </w:hyperlink>
        </w:p>
        <w:p w14:paraId="38AD005F" w14:textId="77777777" w:rsidR="004B0DF8" w:rsidRDefault="004B0DF8" w:rsidP="004B0DF8">
          <w:pPr>
            <w:pStyle w:val="TOC2"/>
            <w:tabs>
              <w:tab w:val="right" w:leader="dot" w:pos="9016"/>
            </w:tabs>
            <w:rPr>
              <w:noProof/>
            </w:rPr>
          </w:pPr>
          <w:hyperlink w:anchor="_Toc235867398" w:history="1">
            <w:r w:rsidRPr="002A7327">
              <w:rPr>
                <w:rStyle w:val="Hyperlink"/>
                <w:noProof/>
              </w:rPr>
              <w:t>Industry and reputable reporting</w:t>
            </w:r>
            <w:r>
              <w:rPr>
                <w:noProof/>
                <w:webHidden/>
              </w:rPr>
              <w:tab/>
            </w:r>
            <w:r>
              <w:rPr>
                <w:noProof/>
                <w:webHidden/>
              </w:rPr>
              <w:fldChar w:fldCharType="begin"/>
            </w:r>
            <w:r>
              <w:rPr>
                <w:noProof/>
                <w:webHidden/>
              </w:rPr>
              <w:instrText xml:space="preserve"> PAGEREF _Toc235867398 \h </w:instrText>
            </w:r>
            <w:r>
              <w:rPr>
                <w:noProof/>
                <w:webHidden/>
              </w:rPr>
            </w:r>
            <w:r>
              <w:rPr>
                <w:noProof/>
                <w:webHidden/>
              </w:rPr>
              <w:fldChar w:fldCharType="separate"/>
            </w:r>
            <w:r>
              <w:rPr>
                <w:noProof/>
                <w:webHidden/>
              </w:rPr>
              <w:t>8</w:t>
            </w:r>
            <w:r>
              <w:rPr>
                <w:noProof/>
                <w:webHidden/>
              </w:rPr>
              <w:fldChar w:fldCharType="end"/>
            </w:r>
          </w:hyperlink>
        </w:p>
        <w:p w14:paraId="5FF407BD" w14:textId="77777777" w:rsidR="004B0DF8" w:rsidRDefault="004B0DF8" w:rsidP="004B0DF8">
          <w:pPr>
            <w:pStyle w:val="TOC1"/>
            <w:tabs>
              <w:tab w:val="right" w:leader="dot" w:pos="9016"/>
            </w:tabs>
            <w:rPr>
              <w:noProof/>
            </w:rPr>
          </w:pPr>
          <w:hyperlink w:anchor="_Toc235867399" w:history="1">
            <w:r w:rsidRPr="002A7327">
              <w:rPr>
                <w:rStyle w:val="Hyperlink"/>
                <w:b/>
                <w:bCs/>
                <w:noProof/>
              </w:rPr>
              <w:t>References</w:t>
            </w:r>
            <w:r>
              <w:rPr>
                <w:noProof/>
                <w:webHidden/>
              </w:rPr>
              <w:tab/>
            </w:r>
            <w:r>
              <w:rPr>
                <w:noProof/>
                <w:webHidden/>
              </w:rPr>
              <w:fldChar w:fldCharType="begin"/>
            </w:r>
            <w:r>
              <w:rPr>
                <w:noProof/>
                <w:webHidden/>
              </w:rPr>
              <w:instrText xml:space="preserve"> PAGEREF _Toc235867399 \h </w:instrText>
            </w:r>
            <w:r>
              <w:rPr>
                <w:noProof/>
                <w:webHidden/>
              </w:rPr>
            </w:r>
            <w:r>
              <w:rPr>
                <w:noProof/>
                <w:webHidden/>
              </w:rPr>
              <w:fldChar w:fldCharType="separate"/>
            </w:r>
            <w:r>
              <w:rPr>
                <w:noProof/>
                <w:webHidden/>
              </w:rPr>
              <w:t>9</w:t>
            </w:r>
            <w:r>
              <w:rPr>
                <w:noProof/>
                <w:webHidden/>
              </w:rPr>
              <w:fldChar w:fldCharType="end"/>
            </w:r>
          </w:hyperlink>
        </w:p>
        <w:p w14:paraId="2FD9C596" w14:textId="77777777" w:rsidR="004B0DF8" w:rsidRDefault="004B0DF8" w:rsidP="004B0DF8">
          <w:r>
            <w:rPr>
              <w:b/>
              <w:bCs/>
              <w:noProof/>
            </w:rPr>
            <w:fldChar w:fldCharType="end"/>
          </w:r>
        </w:p>
      </w:sdtContent>
    </w:sdt>
    <w:p w14:paraId="507DE2DC" w14:textId="77777777" w:rsidR="004B0DF8" w:rsidRDefault="004B0DF8" w:rsidP="004B0DF8">
      <w:pPr>
        <w:pStyle w:val="Heading1"/>
      </w:pPr>
      <w:bookmarkStart w:id="0" w:name="_Toc235867384"/>
      <w:r>
        <w:t>List of Figures</w:t>
      </w:r>
      <w:bookmarkEnd w:id="0"/>
    </w:p>
    <w:p w14:paraId="0874E3D2" w14:textId="3C4D2081" w:rsidR="004B0DF8" w:rsidRPr="007054F0" w:rsidRDefault="004B0DF8" w:rsidP="004B0DF8">
      <w:pPr>
        <w:rPr>
          <w:rFonts w:ascii="Arial" w:hAnsi="Arial" w:cs="Arial"/>
        </w:rPr>
      </w:pPr>
      <w:r w:rsidRPr="007054F0">
        <w:rPr>
          <w:rFonts w:ascii="Arial" w:hAnsi="Arial" w:cs="Arial"/>
        </w:rPr>
        <w:t>Figure 1:  Analysis Steps</w:t>
      </w:r>
      <w:r>
        <w:rPr>
          <w:rFonts w:ascii="Arial" w:hAnsi="Arial" w:cs="Arial"/>
        </w:rPr>
        <w:t xml:space="preserve"> …………………………………………………………………………</w:t>
      </w:r>
      <w:r w:rsidR="00C30512">
        <w:rPr>
          <w:rFonts w:ascii="Arial" w:hAnsi="Arial" w:cs="Arial"/>
        </w:rPr>
        <w:t>.</w:t>
      </w:r>
      <w:r>
        <w:rPr>
          <w:rFonts w:ascii="Arial" w:hAnsi="Arial" w:cs="Arial"/>
        </w:rPr>
        <w:t>5</w:t>
      </w:r>
    </w:p>
    <w:p w14:paraId="0754B739" w14:textId="7782E96D" w:rsidR="004B0DF8" w:rsidRPr="00660643" w:rsidRDefault="004B0DF8" w:rsidP="004B0DF8">
      <w:r w:rsidRPr="00660643">
        <w:t xml:space="preserve">Figure 2: Objective-method </w:t>
      </w:r>
      <w:r w:rsidR="00C30512" w:rsidRPr="00660643">
        <w:t>map</w:t>
      </w:r>
      <w:r w:rsidR="00C30512">
        <w:t>...…</w:t>
      </w:r>
      <w:r>
        <w:t>………………………………………………………………</w:t>
      </w:r>
      <w:r w:rsidR="00AA0E0F">
        <w:t>………</w:t>
      </w:r>
      <w:r w:rsidR="00C30512">
        <w:t>….</w:t>
      </w:r>
      <w:r>
        <w:t>5 - 6</w:t>
      </w:r>
    </w:p>
    <w:p w14:paraId="5805C791" w14:textId="31377B94" w:rsidR="004B0DF8" w:rsidRPr="00437BD1" w:rsidRDefault="004B0DF8" w:rsidP="004B0DF8">
      <w:pPr>
        <w:rPr>
          <w:rFonts w:ascii="Arial" w:hAnsi="Arial" w:cs="Arial"/>
        </w:rPr>
      </w:pPr>
      <w:r w:rsidRPr="00437BD1">
        <w:rPr>
          <w:rFonts w:ascii="Arial" w:hAnsi="Arial" w:cs="Arial"/>
        </w:rPr>
        <w:t>Figure 3: Project timeline</w:t>
      </w:r>
      <w:r>
        <w:rPr>
          <w:rFonts w:ascii="Arial" w:hAnsi="Arial" w:cs="Arial"/>
        </w:rPr>
        <w:t xml:space="preserve"> …………………………………………………………………………</w:t>
      </w:r>
      <w:r w:rsidR="00C967FA">
        <w:rPr>
          <w:rFonts w:ascii="Arial" w:hAnsi="Arial" w:cs="Arial"/>
        </w:rPr>
        <w:t>.</w:t>
      </w:r>
      <w:r>
        <w:rPr>
          <w:rFonts w:ascii="Arial" w:hAnsi="Arial" w:cs="Arial"/>
        </w:rPr>
        <w:t>7</w:t>
      </w:r>
    </w:p>
    <w:p w14:paraId="70C5F8EA" w14:textId="77777777" w:rsidR="004B0DF8" w:rsidRDefault="004B0DF8" w:rsidP="004B0DF8"/>
    <w:p w14:paraId="75EB10C8" w14:textId="77777777" w:rsidR="004B0DF8" w:rsidRDefault="004B0DF8" w:rsidP="004B0DF8"/>
    <w:p w14:paraId="55EFB886" w14:textId="77777777" w:rsidR="004B0DF8" w:rsidRDefault="004B0DF8" w:rsidP="004B0DF8"/>
    <w:p w14:paraId="6886CDDC" w14:textId="77777777" w:rsidR="004B0DF8" w:rsidRDefault="004B0DF8" w:rsidP="004B0DF8"/>
    <w:p w14:paraId="16946151" w14:textId="77777777" w:rsidR="004B0DF8" w:rsidRDefault="004B0DF8" w:rsidP="004B0DF8"/>
    <w:p w14:paraId="55662595" w14:textId="77777777" w:rsidR="004B0DF8" w:rsidRPr="00A30D31" w:rsidRDefault="004B0DF8" w:rsidP="004B0DF8">
      <w:pPr>
        <w:pStyle w:val="Heading1"/>
        <w:rPr>
          <w:b/>
          <w:bCs/>
        </w:rPr>
      </w:pPr>
      <w:bookmarkStart w:id="1" w:name="_Toc235867385"/>
      <w:r w:rsidRPr="00A30D31">
        <w:rPr>
          <w:b/>
          <w:bCs/>
        </w:rPr>
        <w:lastRenderedPageBreak/>
        <w:t>Introduction</w:t>
      </w:r>
      <w:bookmarkEnd w:id="1"/>
    </w:p>
    <w:p w14:paraId="4ABCB812" w14:textId="77777777" w:rsidR="004B0DF8" w:rsidRDefault="004B0DF8" w:rsidP="004B0DF8">
      <w:pPr>
        <w:spacing w:line="360" w:lineRule="auto"/>
        <w:jc w:val="both"/>
        <w:rPr>
          <w:rFonts w:ascii="Arial" w:hAnsi="Arial" w:cs="Arial"/>
        </w:rPr>
      </w:pPr>
      <w:r>
        <w:rPr>
          <w:rFonts w:ascii="Arial" w:hAnsi="Arial" w:cs="Arial"/>
        </w:rPr>
        <w:t xml:space="preserve">Cybersecurity has become a business-continuity, governance and reputation issue rather than a purely technical one. NIST's Cybersecurity Framework describes cybersecurity risk management as an enterprise-wide task, and the 2025 UK Cyber Security Breaches Survey frames cyber resilience as a mainstream business issue affecting large shares of UK organisations. In that survey, </w:t>
      </w:r>
      <w:r w:rsidRPr="00811CAB">
        <w:rPr>
          <w:rFonts w:ascii="Arial" w:hAnsi="Arial" w:cs="Arial"/>
          <w:b/>
          <w:bCs/>
        </w:rPr>
        <w:t>43% of businesses</w:t>
      </w:r>
      <w:r>
        <w:rPr>
          <w:rFonts w:ascii="Arial" w:hAnsi="Arial" w:cs="Arial"/>
        </w:rPr>
        <w:t xml:space="preserve"> reported a breach or attack in the previous year, phishing remained the most common incident type, and only </w:t>
      </w:r>
      <w:r w:rsidRPr="00421E12">
        <w:rPr>
          <w:rFonts w:ascii="Arial" w:hAnsi="Arial" w:cs="Arial"/>
          <w:b/>
          <w:bCs/>
        </w:rPr>
        <w:t>14%</w:t>
      </w:r>
      <w:r>
        <w:rPr>
          <w:rFonts w:ascii="Arial" w:hAnsi="Arial" w:cs="Arial"/>
        </w:rPr>
        <w:t xml:space="preserve"> reviewed immediate supplier cyber risks while just 7% reviewed wider supply-chain risk. </w:t>
      </w:r>
      <w:sdt>
        <w:sdtPr>
          <w:rPr>
            <w:rFonts w:ascii="Arial" w:hAnsi="Arial" w:cs="Arial"/>
          </w:rPr>
          <w:id w:val="-390577941"/>
          <w:citation/>
        </w:sdtPr>
        <w:sdtEndPr/>
        <w:sdtContent>
          <w:r>
            <w:rPr>
              <w:rFonts w:ascii="Arial" w:hAnsi="Arial" w:cs="Arial"/>
            </w:rPr>
            <w:fldChar w:fldCharType="begin"/>
          </w:r>
          <w:r>
            <w:rPr>
              <w:rFonts w:ascii="Arial" w:hAnsi="Arial" w:cs="Arial"/>
            </w:rPr>
            <w:instrText xml:space="preserve">CITATION NIS26 \l 2057 </w:instrText>
          </w:r>
          <w:r>
            <w:rPr>
              <w:rFonts w:ascii="Arial" w:hAnsi="Arial" w:cs="Arial"/>
            </w:rPr>
            <w:fldChar w:fldCharType="separate"/>
          </w:r>
          <w:r w:rsidRPr="00973BBF">
            <w:rPr>
              <w:rFonts w:ascii="Arial" w:hAnsi="Arial" w:cs="Arial"/>
              <w:noProof/>
            </w:rPr>
            <w:t>(NIST, 2026)</w:t>
          </w:r>
          <w:r>
            <w:rPr>
              <w:rFonts w:ascii="Arial" w:hAnsi="Arial" w:cs="Arial"/>
            </w:rPr>
            <w:fldChar w:fldCharType="end"/>
          </w:r>
        </w:sdtContent>
      </w:sdt>
    </w:p>
    <w:p w14:paraId="44EE5671" w14:textId="77777777" w:rsidR="004B0DF8" w:rsidRDefault="004B0DF8" w:rsidP="004B0DF8">
      <w:pPr>
        <w:spacing w:line="360" w:lineRule="auto"/>
        <w:jc w:val="both"/>
        <w:rPr>
          <w:rFonts w:ascii="Arial" w:hAnsi="Arial" w:cs="Arial"/>
        </w:rPr>
      </w:pPr>
      <w:r>
        <w:rPr>
          <w:rFonts w:ascii="Arial" w:hAnsi="Arial" w:cs="Arial"/>
        </w:rPr>
        <w:t xml:space="preserve">The M&amp;S incident provides a strong contemporary case. Reuters reported that M&amp;S disclosed a cyber incident on 22 April 2025, then halted online clothing and home orders on 25 April as it managed disruption to contactless payments and click-and-collect. Subsequent reporting stated that some customer personal data had been accessed, although M&amp;S said payment-card details and account passwords were not taken. By June 2025, M&amp;S resumed online orders after a 46-day pause, and public reporting linked the event to a projected </w:t>
      </w:r>
      <w:r w:rsidRPr="004A5534">
        <w:rPr>
          <w:rFonts w:ascii="Arial" w:hAnsi="Arial" w:cs="Arial"/>
          <w:b/>
          <w:bCs/>
        </w:rPr>
        <w:t>£300 million</w:t>
      </w:r>
      <w:r>
        <w:rPr>
          <w:rFonts w:ascii="Arial" w:hAnsi="Arial" w:cs="Arial"/>
        </w:rPr>
        <w:t xml:space="preserve"> hit to operating profit before mitigation </w:t>
      </w:r>
      <w:sdt>
        <w:sdtPr>
          <w:rPr>
            <w:rFonts w:ascii="Arial" w:hAnsi="Arial" w:cs="Arial"/>
          </w:rPr>
          <w:id w:val="-2088144853"/>
          <w:citation/>
        </w:sdtPr>
        <w:sdtEndPr/>
        <w:sdtContent>
          <w:r>
            <w:rPr>
              <w:rFonts w:ascii="Arial" w:hAnsi="Arial" w:cs="Arial"/>
            </w:rPr>
            <w:fldChar w:fldCharType="begin"/>
          </w:r>
          <w:r>
            <w:rPr>
              <w:rFonts w:ascii="Arial" w:hAnsi="Arial" w:cs="Arial"/>
            </w:rPr>
            <w:instrText xml:space="preserve"> CITATION Reu252 \l 2057 </w:instrText>
          </w:r>
          <w:r>
            <w:rPr>
              <w:rFonts w:ascii="Arial" w:hAnsi="Arial" w:cs="Arial"/>
            </w:rPr>
            <w:fldChar w:fldCharType="separate"/>
          </w:r>
          <w:r w:rsidRPr="003470BD">
            <w:rPr>
              <w:rFonts w:ascii="Arial" w:hAnsi="Arial" w:cs="Arial"/>
              <w:noProof/>
            </w:rPr>
            <w:t>(Reuters, 2025)</w:t>
          </w:r>
          <w:r>
            <w:rPr>
              <w:rFonts w:ascii="Arial" w:hAnsi="Arial" w:cs="Arial"/>
            </w:rPr>
            <w:fldChar w:fldCharType="end"/>
          </w:r>
        </w:sdtContent>
      </w:sdt>
    </w:p>
    <w:p w14:paraId="067706F8" w14:textId="77777777" w:rsidR="004B0DF8" w:rsidRDefault="004B0DF8" w:rsidP="004B0DF8">
      <w:pPr>
        <w:spacing w:line="360" w:lineRule="auto"/>
        <w:jc w:val="both"/>
        <w:rPr>
          <w:rFonts w:ascii="Arial" w:hAnsi="Arial" w:cs="Arial"/>
        </w:rPr>
      </w:pPr>
      <w:r>
        <w:rPr>
          <w:rFonts w:ascii="Arial" w:hAnsi="Arial" w:cs="Arial"/>
        </w:rPr>
        <w:t xml:space="preserve">The case matters for research because it sits at the intersection of </w:t>
      </w:r>
      <w:r w:rsidRPr="005A72F2">
        <w:rPr>
          <w:rFonts w:ascii="Arial" w:hAnsi="Arial" w:cs="Arial"/>
          <w:b/>
          <w:bCs/>
        </w:rPr>
        <w:t>trust, crisis communication, third-party cyber governance</w:t>
      </w:r>
      <w:r>
        <w:rPr>
          <w:rFonts w:ascii="Arial" w:hAnsi="Arial" w:cs="Arial"/>
          <w:b/>
          <w:bCs/>
        </w:rPr>
        <w:t xml:space="preserve"> resilience.</w:t>
      </w:r>
      <w:r>
        <w:rPr>
          <w:rFonts w:ascii="Arial" w:hAnsi="Arial" w:cs="Arial"/>
        </w:rPr>
        <w:t xml:space="preserve"> NCSC guidance stresses that supply chains are complex, vulnerabilities can be introduced at any point, and better supply-chain control improves resilience and reduces disruption. ICO guidance adds that organisations must rapidly assess breach risk, report notifiable personal-data incidents where feasible within 72 hours, and notify affected people when risk is high. These governance expectations make the M&amp;S case analytically useful for a business methods project focused on how firms respond when operational continuity and customer trust are both at stake </w:t>
      </w:r>
      <w:sdt>
        <w:sdtPr>
          <w:rPr>
            <w:rFonts w:ascii="Arial" w:hAnsi="Arial" w:cs="Arial"/>
          </w:rPr>
          <w:id w:val="1093978015"/>
          <w:citation/>
        </w:sdtPr>
        <w:sdtEndPr/>
        <w:sdtContent>
          <w:r>
            <w:rPr>
              <w:rFonts w:ascii="Arial" w:hAnsi="Arial" w:cs="Arial"/>
            </w:rPr>
            <w:fldChar w:fldCharType="begin"/>
          </w:r>
          <w:r>
            <w:rPr>
              <w:rFonts w:ascii="Arial" w:hAnsi="Arial" w:cs="Arial"/>
            </w:rPr>
            <w:instrText xml:space="preserve">CITATION Sup18 \l 2057 </w:instrText>
          </w:r>
          <w:r>
            <w:rPr>
              <w:rFonts w:ascii="Arial" w:hAnsi="Arial" w:cs="Arial"/>
            </w:rPr>
            <w:fldChar w:fldCharType="separate"/>
          </w:r>
          <w:r w:rsidRPr="00FF2159">
            <w:rPr>
              <w:rFonts w:ascii="Arial" w:hAnsi="Arial" w:cs="Arial"/>
              <w:noProof/>
            </w:rPr>
            <w:t>(NCSC, 2018)</w:t>
          </w:r>
          <w:r>
            <w:rPr>
              <w:rFonts w:ascii="Arial" w:hAnsi="Arial" w:cs="Arial"/>
            </w:rPr>
            <w:fldChar w:fldCharType="end"/>
          </w:r>
        </w:sdtContent>
      </w:sdt>
      <w:r>
        <w:rPr>
          <w:rFonts w:ascii="Arial" w:hAnsi="Arial" w:cs="Arial"/>
        </w:rPr>
        <w:t>.</w:t>
      </w:r>
    </w:p>
    <w:p w14:paraId="1F530A5F" w14:textId="77777777" w:rsidR="004B0DF8" w:rsidRDefault="004B0DF8" w:rsidP="004B0DF8">
      <w:pPr>
        <w:spacing w:line="360" w:lineRule="auto"/>
        <w:jc w:val="both"/>
        <w:rPr>
          <w:rFonts w:ascii="Arial" w:hAnsi="Arial" w:cs="Arial"/>
        </w:rPr>
      </w:pPr>
      <w:bookmarkStart w:id="2" w:name="_Toc235867386"/>
      <w:r w:rsidRPr="00A30D31">
        <w:rPr>
          <w:rStyle w:val="Heading1Char"/>
          <w:b/>
          <w:bCs/>
          <w:sz w:val="32"/>
          <w:szCs w:val="32"/>
        </w:rPr>
        <w:t>AIM, OBJECTIVES AND RESEARCH QUESTIONS</w:t>
      </w:r>
      <w:bookmarkEnd w:id="2"/>
      <w:r>
        <w:rPr>
          <w:rFonts w:ascii="Arial" w:hAnsi="Arial" w:cs="Arial"/>
        </w:rPr>
        <w:t>:</w:t>
      </w:r>
    </w:p>
    <w:p w14:paraId="4FC1B3C8" w14:textId="77777777" w:rsidR="004B0DF8" w:rsidRDefault="004B0DF8" w:rsidP="004B0DF8">
      <w:pPr>
        <w:pStyle w:val="Heading2"/>
      </w:pPr>
      <w:bookmarkStart w:id="3" w:name="_Toc235867387"/>
      <w:r>
        <w:t>Research Aim</w:t>
      </w:r>
      <w:bookmarkEnd w:id="3"/>
    </w:p>
    <w:p w14:paraId="551ACE41" w14:textId="77777777" w:rsidR="004B0DF8" w:rsidRPr="00862BAD" w:rsidRDefault="004B0DF8" w:rsidP="004B0DF8">
      <w:pPr>
        <w:spacing w:line="360" w:lineRule="auto"/>
        <w:jc w:val="both"/>
        <w:rPr>
          <w:rFonts w:ascii="Arial" w:hAnsi="Arial" w:cs="Arial"/>
        </w:rPr>
      </w:pPr>
      <w:r>
        <w:rPr>
          <w:rFonts w:ascii="Arial" w:hAnsi="Arial" w:cs="Arial"/>
        </w:rPr>
        <w:t>This research aims to examine how the 2025 Marks &amp; Spencer cyberattack influenced customer trust and organisational resilience, and to identify implications for third-party cyber-risk governance in UK retail.</w:t>
      </w:r>
    </w:p>
    <w:p w14:paraId="00678236" w14:textId="77777777" w:rsidR="004B0DF8" w:rsidRDefault="004B0DF8" w:rsidP="004B0DF8">
      <w:pPr>
        <w:pStyle w:val="Heading2"/>
      </w:pPr>
      <w:bookmarkStart w:id="4" w:name="_Toc235867388"/>
      <w:r>
        <w:t>Research Objectives</w:t>
      </w:r>
      <w:bookmarkEnd w:id="4"/>
    </w:p>
    <w:p w14:paraId="1DFB08FE" w14:textId="77777777" w:rsidR="004B0DF8" w:rsidRPr="00C771CA" w:rsidRDefault="004B0DF8" w:rsidP="004B0DF8">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examine how the cyberattack was publicly framed and managed by M&amp;S and key external stakeholders.</w:t>
      </w:r>
    </w:p>
    <w:p w14:paraId="4294B4AB" w14:textId="77777777" w:rsidR="004B0DF8" w:rsidRPr="00C771CA" w:rsidRDefault="004B0DF8" w:rsidP="004B0DF8">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lastRenderedPageBreak/>
        <w:t>To assess the likely impact of the incident on customers trust using secondary trust indicators.</w:t>
      </w:r>
    </w:p>
    <w:p w14:paraId="5DE3D56B" w14:textId="77777777" w:rsidR="004B0DF8" w:rsidRPr="00C771CA" w:rsidRDefault="004B0DF8" w:rsidP="004B0DF8">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evaluate how the incident revealed strengths and weaknesses in organisational resilience and recovery.</w:t>
      </w:r>
    </w:p>
    <w:p w14:paraId="087F46C9" w14:textId="77777777" w:rsidR="004B0DF8" w:rsidRDefault="004B0DF8" w:rsidP="004B0DF8">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derive lessons for third-party cyber governance and crisis communication in retail.</w:t>
      </w:r>
    </w:p>
    <w:p w14:paraId="15CB497D" w14:textId="77777777" w:rsidR="004B0DF8" w:rsidRDefault="004B0DF8" w:rsidP="004B0DF8">
      <w:pPr>
        <w:pStyle w:val="Heading2"/>
      </w:pPr>
      <w:bookmarkStart w:id="5" w:name="_Toc235867389"/>
      <w:r>
        <w:t>Research Questions</w:t>
      </w:r>
      <w:bookmarkEnd w:id="5"/>
    </w:p>
    <w:p w14:paraId="32CF0A4A" w14:textId="77777777" w:rsidR="004B0DF8" w:rsidRPr="00B25E83" w:rsidRDefault="004B0DF8" w:rsidP="004B0DF8">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How did the M&amp;S cyberattack communicated and managed in the public domain?</w:t>
      </w:r>
    </w:p>
    <w:p w14:paraId="4BCA9678" w14:textId="77777777" w:rsidR="004B0DF8" w:rsidRPr="00B25E83" w:rsidRDefault="004B0DF8" w:rsidP="004B0DF8">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In what ways did the incident appear to affect customer trust?</w:t>
      </w:r>
    </w:p>
    <w:p w14:paraId="35FB4E6A" w14:textId="77777777" w:rsidR="004B0DF8" w:rsidRPr="00B25E83" w:rsidRDefault="004B0DF8" w:rsidP="004B0DF8">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What does the case reveal about organisational resilience before, during and after a cyber incident?</w:t>
      </w:r>
    </w:p>
    <w:p w14:paraId="04FC03AA" w14:textId="77777777" w:rsidR="004B0DF8" w:rsidRDefault="004B0DF8" w:rsidP="004B0DF8">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What governance lessons emerge regarding third-party cyber risk in retail?</w:t>
      </w:r>
    </w:p>
    <w:p w14:paraId="53254B5A" w14:textId="77777777" w:rsidR="004B0DF8" w:rsidRPr="00A30D31" w:rsidRDefault="004B0DF8" w:rsidP="004B0DF8">
      <w:pPr>
        <w:pStyle w:val="Heading1"/>
        <w:rPr>
          <w:b/>
          <w:bCs/>
          <w:sz w:val="32"/>
          <w:szCs w:val="32"/>
        </w:rPr>
      </w:pPr>
      <w:bookmarkStart w:id="6" w:name="_Toc235867390"/>
      <w:r w:rsidRPr="00A30D31">
        <w:rPr>
          <w:b/>
          <w:bCs/>
          <w:sz w:val="32"/>
          <w:szCs w:val="32"/>
        </w:rPr>
        <w:t>LITERATURE REVIEW AND GAP ANALYSIS</w:t>
      </w:r>
      <w:bookmarkEnd w:id="6"/>
    </w:p>
    <w:p w14:paraId="58C8972E" w14:textId="77777777" w:rsidR="004B0DF8" w:rsidRDefault="004B0DF8" w:rsidP="004B0DF8">
      <w:pPr>
        <w:spacing w:line="360" w:lineRule="auto"/>
        <w:jc w:val="both"/>
        <w:rPr>
          <w:rFonts w:ascii="Arial" w:hAnsi="Arial" w:cs="Arial"/>
        </w:rPr>
      </w:pPr>
      <w:r>
        <w:rPr>
          <w:rFonts w:ascii="Arial" w:hAnsi="Arial" w:cs="Arial"/>
        </w:rPr>
        <w:t>The literature on cyber incidents, customer trust, organisational resilience and third-party governance provides a useful foundation, but it also contains notable inconsistencies, assumptions and blind sports that require critical evaluation.</w:t>
      </w:r>
    </w:p>
    <w:p w14:paraId="225CB799" w14:textId="77777777" w:rsidR="004B0DF8" w:rsidRPr="00B25E83" w:rsidRDefault="004B0DF8" w:rsidP="004B0DF8">
      <w:pPr>
        <w:spacing w:line="360" w:lineRule="auto"/>
        <w:jc w:val="both"/>
        <w:rPr>
          <w:rFonts w:ascii="Arial" w:hAnsi="Arial" w:cs="Arial"/>
        </w:rPr>
      </w:pPr>
      <w:r>
        <w:rPr>
          <w:rFonts w:ascii="Arial" w:hAnsi="Arial" w:cs="Arial"/>
        </w:rPr>
        <w:t xml:space="preserve">Recent literature and guidance converge on four themes. First, </w:t>
      </w:r>
      <w:r w:rsidRPr="00A01BBA">
        <w:rPr>
          <w:rFonts w:ascii="Arial" w:hAnsi="Arial" w:cs="Arial"/>
          <w:b/>
          <w:bCs/>
        </w:rPr>
        <w:t>customer trust is fragile where personal data, service continuity and transparency are threatened.</w:t>
      </w:r>
      <w:r>
        <w:rPr>
          <w:rFonts w:ascii="Arial" w:hAnsi="Arial" w:cs="Arial"/>
        </w:rPr>
        <w:t xml:space="preserve"> A recent review of security communication finds that users need communication that is credible, comprehensible and actionable, while government and industry evidence shows rising concerns about breaches and digital trust. M&amp;S's disclosure that some personal data were accessed, even without payment details or passwords, is therefore likely to matter for trust because data exposure and prolonged service interruption combine symbolic and practical harm. </w:t>
      </w:r>
      <w:sdt>
        <w:sdtPr>
          <w:rPr>
            <w:rFonts w:ascii="Arial" w:hAnsi="Arial" w:cs="Arial"/>
          </w:rPr>
          <w:id w:val="-1468120770"/>
          <w:citation/>
        </w:sdtPr>
        <w:sdtEndPr/>
        <w:sdtContent>
          <w:r>
            <w:rPr>
              <w:rFonts w:ascii="Arial" w:hAnsi="Arial" w:cs="Arial"/>
            </w:rPr>
            <w:fldChar w:fldCharType="begin"/>
          </w:r>
          <w:r>
            <w:rPr>
              <w:rFonts w:ascii="Arial" w:hAnsi="Arial" w:cs="Arial"/>
            </w:rPr>
            <w:instrText xml:space="preserve"> CITATION Ale25 \l 2057 </w:instrText>
          </w:r>
          <w:r>
            <w:rPr>
              <w:rFonts w:ascii="Arial" w:hAnsi="Arial" w:cs="Arial"/>
            </w:rPr>
            <w:fldChar w:fldCharType="separate"/>
          </w:r>
          <w:r w:rsidRPr="00145D22">
            <w:rPr>
              <w:rFonts w:ascii="Arial" w:hAnsi="Arial" w:cs="Arial"/>
              <w:noProof/>
            </w:rPr>
            <w:t>(Alexandra Mendes, et al., 2025)</w:t>
          </w:r>
          <w:r>
            <w:rPr>
              <w:rFonts w:ascii="Arial" w:hAnsi="Arial" w:cs="Arial"/>
            </w:rPr>
            <w:fldChar w:fldCharType="end"/>
          </w:r>
        </w:sdtContent>
      </w:sdt>
    </w:p>
    <w:p w14:paraId="59FC3409" w14:textId="77777777" w:rsidR="004B0DF8" w:rsidRDefault="004B0DF8" w:rsidP="004B0DF8">
      <w:pPr>
        <w:spacing w:line="360" w:lineRule="auto"/>
        <w:jc w:val="both"/>
        <w:rPr>
          <w:rFonts w:ascii="Arial" w:hAnsi="Arial" w:cs="Arial"/>
        </w:rPr>
      </w:pPr>
      <w:r>
        <w:rPr>
          <w:rFonts w:ascii="Arial" w:hAnsi="Arial" w:cs="Arial"/>
        </w:rPr>
        <w:t xml:space="preserve">Second, </w:t>
      </w:r>
      <w:r w:rsidRPr="00C84824">
        <w:rPr>
          <w:rFonts w:ascii="Arial" w:hAnsi="Arial" w:cs="Arial"/>
          <w:b/>
          <w:bCs/>
        </w:rPr>
        <w:t>trust erosion does not always map neatly onto immediate sales effects</w:t>
      </w:r>
      <w:r>
        <w:rPr>
          <w:rFonts w:ascii="Arial" w:hAnsi="Arial" w:cs="Arial"/>
        </w:rPr>
        <w:t xml:space="preserve">, so trust should not be studied through revenue alone. Scholarly work on breach disclosure questions whether customers always punish firms through short-term spending reductions, while other work on breach awareness suggests many consumers do not fully register or act on breach information. For this topic, that means "customer trust" should be interpreted through a broader documentary lens: message tone, customer guidance, media emphasis on data exposure, recovery speed, and visible remediation. </w:t>
      </w:r>
      <w:sdt>
        <w:sdtPr>
          <w:rPr>
            <w:rFonts w:ascii="Arial" w:hAnsi="Arial" w:cs="Arial"/>
          </w:rPr>
          <w:id w:val="-1253741215"/>
          <w:citation/>
        </w:sdtPr>
        <w:sdtEndPr/>
        <w:sdtContent>
          <w:r>
            <w:rPr>
              <w:rFonts w:ascii="Arial" w:hAnsi="Arial" w:cs="Arial"/>
            </w:rPr>
            <w:fldChar w:fldCharType="begin"/>
          </w:r>
          <w:r>
            <w:rPr>
              <w:rFonts w:ascii="Arial" w:hAnsi="Arial" w:cs="Arial"/>
            </w:rPr>
            <w:instrText xml:space="preserve"> CITATION Muh25 \l 2057 </w:instrText>
          </w:r>
          <w:r>
            <w:rPr>
              <w:rFonts w:ascii="Arial" w:hAnsi="Arial" w:cs="Arial"/>
            </w:rPr>
            <w:fldChar w:fldCharType="separate"/>
          </w:r>
          <w:r w:rsidRPr="007054E1">
            <w:rPr>
              <w:rFonts w:ascii="Arial" w:hAnsi="Arial" w:cs="Arial"/>
              <w:noProof/>
            </w:rPr>
            <w:t>(Muhammad Zia Hydari, et al., 2025)</w:t>
          </w:r>
          <w:r>
            <w:rPr>
              <w:rFonts w:ascii="Arial" w:hAnsi="Arial" w:cs="Arial"/>
            </w:rPr>
            <w:fldChar w:fldCharType="end"/>
          </w:r>
        </w:sdtContent>
      </w:sdt>
    </w:p>
    <w:p w14:paraId="3B6513BD" w14:textId="77777777" w:rsidR="004B0DF8" w:rsidRDefault="004B0DF8" w:rsidP="004B0DF8">
      <w:pPr>
        <w:spacing w:line="360" w:lineRule="auto"/>
        <w:jc w:val="both"/>
        <w:rPr>
          <w:rFonts w:ascii="Arial" w:hAnsi="Arial" w:cs="Arial"/>
        </w:rPr>
      </w:pPr>
      <w:r>
        <w:rPr>
          <w:rFonts w:ascii="Arial" w:hAnsi="Arial" w:cs="Arial"/>
        </w:rPr>
        <w:t xml:space="preserve">Third, the literature increasingly treats </w:t>
      </w:r>
      <w:r w:rsidRPr="00E82983">
        <w:rPr>
          <w:rFonts w:ascii="Arial" w:hAnsi="Arial" w:cs="Arial"/>
          <w:b/>
          <w:bCs/>
        </w:rPr>
        <w:t>organisational resilience</w:t>
      </w:r>
      <w:r>
        <w:rPr>
          <w:rFonts w:ascii="Arial" w:hAnsi="Arial" w:cs="Arial"/>
        </w:rPr>
        <w:t xml:space="preserve"> as more than prevention. NIST's CSF 2.0 foregrounds enterprise risk management, while recent cyber-resilience scholarship defines resilience in terms of preparation, response and recovery from threats that </w:t>
      </w:r>
      <w:r>
        <w:rPr>
          <w:rFonts w:ascii="Arial" w:hAnsi="Arial" w:cs="Arial"/>
        </w:rPr>
        <w:lastRenderedPageBreak/>
        <w:t xml:space="preserve">cannot always be prevented. The UK breaches survey reinforces this point by showing persistent incident prevalence, lower take-up of advanced controls among many organisations, and variable incident-response maturity. M&amp;S's prolonged recovery window, profit impact and subsequent acceleration of technology investment make it a strong case through which to study resilience as adaptive recovery rather than absolute protection. </w:t>
      </w:r>
      <w:sdt>
        <w:sdtPr>
          <w:rPr>
            <w:rFonts w:ascii="Arial" w:hAnsi="Arial" w:cs="Arial"/>
          </w:rPr>
          <w:id w:val="-1001505303"/>
          <w:citation/>
        </w:sdtPr>
        <w:sdtEndPr/>
        <w:sdtContent>
          <w:r>
            <w:rPr>
              <w:rFonts w:ascii="Arial" w:hAnsi="Arial" w:cs="Arial"/>
            </w:rPr>
            <w:fldChar w:fldCharType="begin"/>
          </w:r>
          <w:r>
            <w:rPr>
              <w:rFonts w:ascii="Arial" w:hAnsi="Arial" w:cs="Arial"/>
            </w:rPr>
            <w:instrText xml:space="preserve"> CITATION NIS25 \l 2057 </w:instrText>
          </w:r>
          <w:r>
            <w:rPr>
              <w:rFonts w:ascii="Arial" w:hAnsi="Arial" w:cs="Arial"/>
            </w:rPr>
            <w:fldChar w:fldCharType="separate"/>
          </w:r>
          <w:r w:rsidRPr="00D84442">
            <w:rPr>
              <w:rFonts w:ascii="Arial" w:hAnsi="Arial" w:cs="Arial"/>
              <w:noProof/>
            </w:rPr>
            <w:t>(NIST, 2025)</w:t>
          </w:r>
          <w:r>
            <w:rPr>
              <w:rFonts w:ascii="Arial" w:hAnsi="Arial" w:cs="Arial"/>
            </w:rPr>
            <w:fldChar w:fldCharType="end"/>
          </w:r>
        </w:sdtContent>
      </w:sdt>
    </w:p>
    <w:p w14:paraId="2FB304AA" w14:textId="77777777" w:rsidR="004B0DF8" w:rsidRDefault="004B0DF8" w:rsidP="004B0DF8">
      <w:pPr>
        <w:spacing w:line="360" w:lineRule="auto"/>
        <w:jc w:val="both"/>
        <w:rPr>
          <w:rFonts w:ascii="Arial" w:hAnsi="Arial" w:cs="Arial"/>
        </w:rPr>
      </w:pPr>
      <w:r>
        <w:rPr>
          <w:rFonts w:ascii="Arial" w:hAnsi="Arial" w:cs="Arial"/>
        </w:rPr>
        <w:t xml:space="preserve">Fourth, </w:t>
      </w:r>
      <w:r w:rsidRPr="00A160E4">
        <w:rPr>
          <w:rFonts w:ascii="Arial" w:hAnsi="Arial" w:cs="Arial"/>
          <w:b/>
          <w:bCs/>
        </w:rPr>
        <w:t>third-party risk is central</w:t>
      </w:r>
      <w:r>
        <w:rPr>
          <w:rFonts w:ascii="Arial" w:hAnsi="Arial" w:cs="Arial"/>
        </w:rPr>
        <w:t xml:space="preserve">. NCSC states that vulnerabilities can be introduced anywhere in the supply chain and that improved supplier oversight reduces disruption. NIST likewise highlights software supply-chain practices, vendor assurance and procurement-related scrutiny. Scholarly evidence also suggests supply-chain attributes can meaningfully predict cyber risk. Public reporting on M&amp;S repeatedly pointed to social engineering involving a contractor or third-party route, making vendor governance a core analytical dimension of the case rather than a peripheral detail. </w:t>
      </w:r>
      <w:sdt>
        <w:sdtPr>
          <w:rPr>
            <w:rFonts w:ascii="Arial" w:hAnsi="Arial" w:cs="Arial"/>
          </w:rPr>
          <w:id w:val="1188020565"/>
          <w:citation/>
        </w:sdtPr>
        <w:sdtEndPr/>
        <w:sdtContent>
          <w:r>
            <w:rPr>
              <w:rFonts w:ascii="Arial" w:hAnsi="Arial" w:cs="Arial"/>
            </w:rPr>
            <w:fldChar w:fldCharType="begin"/>
          </w:r>
          <w:r>
            <w:rPr>
              <w:rFonts w:ascii="Arial" w:hAnsi="Arial" w:cs="Arial"/>
            </w:rPr>
            <w:instrText xml:space="preserve"> CITATION NCS25 \l 2057 </w:instrText>
          </w:r>
          <w:r>
            <w:rPr>
              <w:rFonts w:ascii="Arial" w:hAnsi="Arial" w:cs="Arial"/>
            </w:rPr>
            <w:fldChar w:fldCharType="separate"/>
          </w:r>
          <w:r w:rsidRPr="00F36B1C">
            <w:rPr>
              <w:rFonts w:ascii="Arial" w:hAnsi="Arial" w:cs="Arial"/>
              <w:noProof/>
            </w:rPr>
            <w:t>(NCSC, 2025)</w:t>
          </w:r>
          <w:r>
            <w:rPr>
              <w:rFonts w:ascii="Arial" w:hAnsi="Arial" w:cs="Arial"/>
            </w:rPr>
            <w:fldChar w:fldCharType="end"/>
          </w:r>
        </w:sdtContent>
      </w:sdt>
    </w:p>
    <w:p w14:paraId="01C6C0C8" w14:textId="77777777" w:rsidR="004B0DF8" w:rsidRPr="00695A9B" w:rsidRDefault="004B0DF8" w:rsidP="004B0DF8">
      <w:pPr>
        <w:spacing w:line="360" w:lineRule="auto"/>
        <w:jc w:val="both"/>
        <w:rPr>
          <w:rFonts w:ascii="Arial" w:hAnsi="Arial" w:cs="Arial"/>
        </w:rPr>
      </w:pPr>
      <w:r>
        <w:rPr>
          <w:rFonts w:ascii="Arial" w:hAnsi="Arial" w:cs="Arial"/>
        </w:rPr>
        <w:t xml:space="preserve">The main </w:t>
      </w:r>
      <w:r w:rsidRPr="0007791E">
        <w:rPr>
          <w:rFonts w:ascii="Arial" w:hAnsi="Arial" w:cs="Arial"/>
          <w:b/>
          <w:bCs/>
        </w:rPr>
        <w:t>gap</w:t>
      </w:r>
      <w:r>
        <w:rPr>
          <w:rFonts w:ascii="Arial" w:hAnsi="Arial" w:cs="Arial"/>
        </w:rPr>
        <w:t xml:space="preserve"> is therefore not whether cyberattacks damage organisations in general; that is already well established. The gap is that there is </w:t>
      </w:r>
      <w:r w:rsidRPr="00717A7F">
        <w:rPr>
          <w:rFonts w:ascii="Arial" w:hAnsi="Arial" w:cs="Arial"/>
          <w:b/>
          <w:bCs/>
        </w:rPr>
        <w:t>very limited public</w:t>
      </w:r>
      <w:r>
        <w:rPr>
          <w:rFonts w:ascii="Arial" w:hAnsi="Arial" w:cs="Arial"/>
        </w:rPr>
        <w:t xml:space="preserve"> </w:t>
      </w:r>
      <w:r w:rsidRPr="00695A9B">
        <w:rPr>
          <w:rFonts w:ascii="Arial" w:hAnsi="Arial" w:cs="Arial"/>
          <w:b/>
          <w:bCs/>
        </w:rPr>
        <w:t>academic analysis of a major, post-2025 UK retail case that integrates trust, resilience and third-party governance in one bounded event.</w:t>
      </w:r>
      <w:r>
        <w:rPr>
          <w:rFonts w:ascii="Arial" w:hAnsi="Arial" w:cs="Arial"/>
          <w:b/>
          <w:bCs/>
        </w:rPr>
        <w:t xml:space="preserve"> </w:t>
      </w:r>
      <w:r w:rsidRPr="00695A9B">
        <w:rPr>
          <w:rFonts w:ascii="Arial" w:hAnsi="Arial" w:cs="Arial"/>
        </w:rPr>
        <w:t>Much</w:t>
      </w:r>
      <w:r>
        <w:rPr>
          <w:rFonts w:ascii="Arial" w:hAnsi="Arial" w:cs="Arial"/>
        </w:rPr>
        <w:t xml:space="preserve"> available evidence is either technical, generic or consumer-focused, whereas this proposal studies how one high-profile retailer's response illuminates the business relationship between cyber disruption, public trust and recovery capability. </w:t>
      </w:r>
      <w:sdt>
        <w:sdtPr>
          <w:rPr>
            <w:rFonts w:ascii="Arial" w:hAnsi="Arial" w:cs="Arial"/>
          </w:rPr>
          <w:id w:val="384681091"/>
          <w:citation/>
        </w:sdtPr>
        <w:sdtEndPr/>
        <w:sdtContent>
          <w:r>
            <w:rPr>
              <w:rFonts w:ascii="Arial" w:hAnsi="Arial" w:cs="Arial"/>
            </w:rPr>
            <w:fldChar w:fldCharType="begin"/>
          </w:r>
          <w:r>
            <w:rPr>
              <w:rFonts w:ascii="Arial" w:hAnsi="Arial" w:cs="Arial"/>
            </w:rPr>
            <w:instrText xml:space="preserve">CITATION Car252 \l 2057 </w:instrText>
          </w:r>
          <w:r>
            <w:rPr>
              <w:rFonts w:ascii="Arial" w:hAnsi="Arial" w:cs="Arial"/>
            </w:rPr>
            <w:fldChar w:fldCharType="separate"/>
          </w:r>
          <w:r w:rsidRPr="00B63059">
            <w:rPr>
              <w:rFonts w:ascii="Arial" w:hAnsi="Arial" w:cs="Arial"/>
              <w:noProof/>
            </w:rPr>
            <w:t>(Carolina Carreira, et al., 2025)</w:t>
          </w:r>
          <w:r>
            <w:rPr>
              <w:rFonts w:ascii="Arial" w:hAnsi="Arial" w:cs="Arial"/>
            </w:rPr>
            <w:fldChar w:fldCharType="end"/>
          </w:r>
        </w:sdtContent>
      </w:sdt>
    </w:p>
    <w:p w14:paraId="40DE7606" w14:textId="77777777" w:rsidR="004B0DF8" w:rsidRPr="00A30D31" w:rsidRDefault="004B0DF8" w:rsidP="004B0DF8">
      <w:pPr>
        <w:pStyle w:val="Heading1"/>
        <w:rPr>
          <w:b/>
          <w:bCs/>
        </w:rPr>
      </w:pPr>
      <w:bookmarkStart w:id="7" w:name="_Toc235867391"/>
      <w:r w:rsidRPr="00A30D31">
        <w:rPr>
          <w:b/>
          <w:bCs/>
        </w:rPr>
        <w:t>METHODOLOGY</w:t>
      </w:r>
      <w:bookmarkEnd w:id="7"/>
    </w:p>
    <w:p w14:paraId="316294F5" w14:textId="77777777" w:rsidR="004B0DF8" w:rsidRPr="001B3251" w:rsidRDefault="004B0DF8" w:rsidP="004B0DF8">
      <w:pPr>
        <w:spacing w:line="360" w:lineRule="auto"/>
        <w:jc w:val="both"/>
        <w:rPr>
          <w:rFonts w:ascii="Arial" w:hAnsi="Arial" w:cs="Arial"/>
        </w:rPr>
      </w:pPr>
      <w:r>
        <w:rPr>
          <w:rFonts w:ascii="Arial" w:hAnsi="Arial" w:cs="Arial"/>
        </w:rPr>
        <w:t xml:space="preserve">A </w:t>
      </w:r>
      <w:r w:rsidRPr="001B3251">
        <w:rPr>
          <w:rFonts w:ascii="Arial" w:hAnsi="Arial" w:cs="Arial"/>
          <w:b/>
          <w:bCs/>
        </w:rPr>
        <w:t>secondary qualitative case-study design</w:t>
      </w:r>
      <w:r>
        <w:rPr>
          <w:rFonts w:ascii="Arial" w:hAnsi="Arial" w:cs="Arial"/>
        </w:rPr>
        <w:t xml:space="preserve"> is the most feasible choice. The project concerns one contemporary event, has ample public documentation, and does not re</w:t>
      </w:r>
      <w:r w:rsidRPr="001B3251">
        <w:rPr>
          <w:rFonts w:ascii="Arial" w:hAnsi="Arial" w:cs="Arial"/>
        </w:rPr>
        <w:t>quire a</w:t>
      </w:r>
      <w:r>
        <w:rPr>
          <w:rFonts w:ascii="Arial" w:hAnsi="Arial" w:cs="Arial"/>
        </w:rPr>
        <w:t xml:space="preserve">ccess to confidential internal data. A quantitative design would be weaker at undergraduate level because a single case offers limited direct, comparable trust metrics, and public numerical data cannot cleanly identify causality. The study will therefore use </w:t>
      </w:r>
      <w:r w:rsidRPr="001B3251">
        <w:rPr>
          <w:rFonts w:ascii="Arial" w:hAnsi="Arial" w:cs="Arial"/>
          <w:b/>
          <w:bCs/>
        </w:rPr>
        <w:t>documentary thematic analysis.</w:t>
      </w:r>
      <w:r>
        <w:rPr>
          <w:rFonts w:ascii="Arial" w:hAnsi="Arial" w:cs="Arial"/>
        </w:rPr>
        <w:t xml:space="preserve"> </w:t>
      </w:r>
      <w:sdt>
        <w:sdtPr>
          <w:rPr>
            <w:rFonts w:ascii="Arial" w:hAnsi="Arial" w:cs="Arial"/>
          </w:rPr>
          <w:id w:val="-1580514200"/>
          <w:citation/>
        </w:sdtPr>
        <w:sdtEndPr/>
        <w:sdtContent>
          <w:r>
            <w:rPr>
              <w:rFonts w:ascii="Arial" w:hAnsi="Arial" w:cs="Arial"/>
            </w:rPr>
            <w:fldChar w:fldCharType="begin"/>
          </w:r>
          <w:r>
            <w:rPr>
              <w:rFonts w:ascii="Arial" w:hAnsi="Arial" w:cs="Arial"/>
            </w:rPr>
            <w:instrText xml:space="preserve"> CITATION Reu253 \l 2057 </w:instrText>
          </w:r>
          <w:r>
            <w:rPr>
              <w:rFonts w:ascii="Arial" w:hAnsi="Arial" w:cs="Arial"/>
            </w:rPr>
            <w:fldChar w:fldCharType="separate"/>
          </w:r>
          <w:r w:rsidRPr="00B45148">
            <w:rPr>
              <w:rFonts w:ascii="Arial" w:hAnsi="Arial" w:cs="Arial"/>
              <w:noProof/>
            </w:rPr>
            <w:t>(Reuters, 2025)</w:t>
          </w:r>
          <w:r>
            <w:rPr>
              <w:rFonts w:ascii="Arial" w:hAnsi="Arial" w:cs="Arial"/>
            </w:rPr>
            <w:fldChar w:fldCharType="end"/>
          </w:r>
        </w:sdtContent>
      </w:sdt>
    </w:p>
    <w:p w14:paraId="2DF93E24" w14:textId="77777777" w:rsidR="004B0DF8" w:rsidRDefault="004B0DF8" w:rsidP="004B0DF8">
      <w:pPr>
        <w:spacing w:line="360" w:lineRule="auto"/>
        <w:jc w:val="both"/>
        <w:rPr>
          <w:rFonts w:ascii="Arial" w:hAnsi="Arial" w:cs="Arial"/>
          <w:b/>
          <w:bCs/>
        </w:rPr>
      </w:pPr>
      <w:r w:rsidRPr="001212FA">
        <w:rPr>
          <w:rFonts w:ascii="Arial" w:hAnsi="Arial" w:cs="Arial"/>
          <w:b/>
          <w:bCs/>
        </w:rPr>
        <w:t>Data sources</w:t>
      </w:r>
    </w:p>
    <w:p w14:paraId="4DD1BB53" w14:textId="77777777" w:rsidR="004B0DF8" w:rsidRDefault="004B0DF8" w:rsidP="004B0DF8">
      <w:pPr>
        <w:spacing w:line="360" w:lineRule="auto"/>
        <w:jc w:val="both"/>
        <w:rPr>
          <w:rFonts w:ascii="Arial" w:hAnsi="Arial" w:cs="Arial"/>
          <w:b/>
          <w:bCs/>
        </w:rPr>
      </w:pPr>
      <w:r w:rsidRPr="001212FA">
        <w:rPr>
          <w:rFonts w:ascii="Arial" w:hAnsi="Arial" w:cs="Arial"/>
          <w:b/>
          <w:bCs/>
        </w:rPr>
        <w:t>The dataset will combine</w:t>
      </w:r>
      <w:r>
        <w:rPr>
          <w:rFonts w:ascii="Arial" w:hAnsi="Arial" w:cs="Arial"/>
        </w:rPr>
        <w:t>:</w:t>
      </w:r>
    </w:p>
    <w:p w14:paraId="020C4D9A" w14:textId="77777777" w:rsidR="004B0DF8" w:rsidRDefault="004B0DF8" w:rsidP="004B0DF8">
      <w:pPr>
        <w:spacing w:line="360" w:lineRule="auto"/>
        <w:jc w:val="both"/>
        <w:rPr>
          <w:rFonts w:ascii="Arial" w:hAnsi="Arial" w:cs="Arial"/>
        </w:rPr>
      </w:pPr>
      <w:r w:rsidRPr="002313C6">
        <w:rPr>
          <w:rFonts w:ascii="Arial" w:hAnsi="Arial" w:cs="Arial"/>
        </w:rPr>
        <w:t>Data will be drawn from public M&amp;S disclosures, reputable reporting (Reuters, FT, AP), regulatory guidance (ICO, NCSC), government survey evidence and scholarly literature</w:t>
      </w:r>
      <w:r>
        <w:rPr>
          <w:rFonts w:ascii="Arial" w:hAnsi="Arial" w:cs="Arial"/>
          <w:b/>
          <w:bCs/>
        </w:rPr>
        <w:t xml:space="preserve">. </w:t>
      </w:r>
      <w:r w:rsidRPr="00F57DBA">
        <w:rPr>
          <w:rFonts w:ascii="Arial" w:hAnsi="Arial" w:cs="Arial"/>
        </w:rPr>
        <w:t>W</w:t>
      </w:r>
      <w:r>
        <w:rPr>
          <w:rFonts w:ascii="Arial" w:hAnsi="Arial" w:cs="Arial"/>
        </w:rPr>
        <w:t xml:space="preserve">hile these sources are credible, they vary in purpose, audience and reliability. Company disclosures may emphasise reassurance, media reporting may prioritise newsworthiness, and </w:t>
      </w:r>
      <w:r>
        <w:rPr>
          <w:rFonts w:ascii="Arial" w:hAnsi="Arial" w:cs="Arial"/>
        </w:rPr>
        <w:lastRenderedPageBreak/>
        <w:t>regulatory guidance may reflect idealised expectations rather than actual organisational capability The methodology must therefore critically compare sources rather than treat them as equally objective.</w:t>
      </w:r>
    </w:p>
    <w:p w14:paraId="2D09B662" w14:textId="4F1A7FF0" w:rsidR="004B0DF8" w:rsidRDefault="004B0DF8" w:rsidP="004B0DF8">
      <w:pPr>
        <w:spacing w:line="360" w:lineRule="auto"/>
        <w:jc w:val="both"/>
        <w:rPr>
          <w:rFonts w:ascii="Arial" w:hAnsi="Arial" w:cs="Arial"/>
        </w:rPr>
      </w:pPr>
      <w:r>
        <w:rPr>
          <w:rFonts w:ascii="Arial" w:hAnsi="Arial" w:cs="Arial"/>
        </w:rPr>
        <w:t>Thematic analysis will be used to code evidence into four categories: trust signals, service disruption response and recovery, and third-party governance. A critical step will involve strengthens validity by reducing reliance on any single narrative. Ethical considerations include accurate representation of public evidence, clear distinctions between confirmed facts and reported claims, and avoidance of unnecessary reproduction of sensitive breach details. The methodology is feasible and appropriate for undergraduate research, but findings must remain interpretive rather than definitive due to the constraints of secondary data.</w:t>
      </w:r>
      <w:sdt>
        <w:sdtPr>
          <w:rPr>
            <w:rFonts w:ascii="Arial" w:hAnsi="Arial" w:cs="Arial"/>
          </w:rPr>
          <w:id w:val="1901402932"/>
          <w:citation/>
        </w:sdtPr>
        <w:sdtEndPr/>
        <w:sdtContent>
          <w:r>
            <w:rPr>
              <w:rFonts w:ascii="Arial" w:hAnsi="Arial" w:cs="Arial"/>
            </w:rPr>
            <w:fldChar w:fldCharType="begin"/>
          </w:r>
          <w:r>
            <w:rPr>
              <w:rFonts w:ascii="Arial" w:hAnsi="Arial" w:cs="Arial"/>
            </w:rPr>
            <w:instrText xml:space="preserve"> CITATION Reu254 \l 2057 </w:instrText>
          </w:r>
          <w:r>
            <w:rPr>
              <w:rFonts w:ascii="Arial" w:hAnsi="Arial" w:cs="Arial"/>
            </w:rPr>
            <w:fldChar w:fldCharType="separate"/>
          </w:r>
          <w:r w:rsidRPr="00792C29">
            <w:rPr>
              <w:rFonts w:ascii="Arial" w:hAnsi="Arial" w:cs="Arial"/>
              <w:noProof/>
            </w:rPr>
            <w:t>(Reuters, 2025)</w:t>
          </w:r>
          <w:r>
            <w:rPr>
              <w:rFonts w:ascii="Arial" w:hAnsi="Arial" w:cs="Arial"/>
            </w:rPr>
            <w:fldChar w:fldCharType="end"/>
          </w:r>
        </w:sdtContent>
      </w:sdt>
      <w:r w:rsidR="00204CF4">
        <w:rPr>
          <w:rFonts w:ascii="Arial" w:hAnsi="Arial" w:cs="Arial"/>
        </w:rPr>
        <w:t>.</w:t>
      </w:r>
      <w:r w:rsidR="002565D8">
        <w:rPr>
          <w:rFonts w:ascii="Arial" w:hAnsi="Arial" w:cs="Arial"/>
        </w:rPr>
        <w:t>s</w:t>
      </w:r>
    </w:p>
    <w:p w14:paraId="68A6923C" w14:textId="77777777" w:rsidR="004B0DF8" w:rsidRDefault="004B0DF8" w:rsidP="004B0DF8">
      <w:pPr>
        <w:pStyle w:val="Heading2"/>
      </w:pPr>
      <w:bookmarkStart w:id="8" w:name="_Toc235867392"/>
      <w:r>
        <w:t>Inclusion criteria</w:t>
      </w:r>
      <w:bookmarkEnd w:id="8"/>
    </w:p>
    <w:p w14:paraId="59450753" w14:textId="77777777" w:rsidR="004B0DF8" w:rsidRDefault="004B0DF8" w:rsidP="004B0DF8">
      <w:pPr>
        <w:spacing w:line="360" w:lineRule="auto"/>
        <w:jc w:val="both"/>
        <w:rPr>
          <w:rFonts w:ascii="Arial" w:hAnsi="Arial" w:cs="Arial"/>
        </w:rPr>
      </w:pPr>
      <w:r w:rsidRPr="00F76B24">
        <w:rPr>
          <w:rFonts w:ascii="Arial" w:hAnsi="Arial" w:cs="Arial"/>
          <w:b/>
          <w:bCs/>
        </w:rPr>
        <w:t>English-language sources</w:t>
      </w:r>
      <w:r>
        <w:rPr>
          <w:rFonts w:ascii="Arial" w:hAnsi="Arial" w:cs="Arial"/>
        </w:rPr>
        <w:t xml:space="preserve">; published 2020-2026 where possible, directly relevant to M&amp;S, cyber resilience, customer trust, third-party risk or breach communication; official documents, reputable news, or scholarly sources. </w:t>
      </w:r>
      <w:r w:rsidRPr="0074376D">
        <w:rPr>
          <w:rFonts w:ascii="Arial" w:hAnsi="Arial" w:cs="Arial"/>
          <w:b/>
          <w:bCs/>
        </w:rPr>
        <w:t>Exclusion criteria</w:t>
      </w:r>
      <w:r>
        <w:rPr>
          <w:rFonts w:ascii="Arial" w:hAnsi="Arial" w:cs="Arial"/>
        </w:rPr>
        <w:t>: anonymous blogs, speculative forums, duplicate reports, and sources focused only on technical malware detail without business relevance.</w:t>
      </w:r>
    </w:p>
    <w:p w14:paraId="4836DAD6" w14:textId="77777777" w:rsidR="004B0DF8" w:rsidRPr="0074376D" w:rsidRDefault="004B0DF8" w:rsidP="004B0DF8">
      <w:pPr>
        <w:spacing w:line="360" w:lineRule="auto"/>
        <w:jc w:val="both"/>
        <w:rPr>
          <w:rFonts w:ascii="Arial" w:hAnsi="Arial" w:cs="Arial"/>
          <w:b/>
          <w:bCs/>
        </w:rPr>
      </w:pPr>
      <w:r w:rsidRPr="0074376D">
        <w:rPr>
          <w:rFonts w:ascii="Arial" w:hAnsi="Arial" w:cs="Arial"/>
          <w:b/>
          <w:bCs/>
        </w:rPr>
        <w:t>Sampling of documents</w:t>
      </w:r>
    </w:p>
    <w:p w14:paraId="7B761BDB" w14:textId="77777777" w:rsidR="004B0DF8" w:rsidRDefault="004B0DF8" w:rsidP="004B0DF8">
      <w:pPr>
        <w:spacing w:line="360" w:lineRule="auto"/>
        <w:jc w:val="both"/>
        <w:rPr>
          <w:rFonts w:ascii="Arial" w:hAnsi="Arial" w:cs="Arial"/>
        </w:rPr>
      </w:pPr>
      <w:r>
        <w:rPr>
          <w:rFonts w:ascii="Arial" w:hAnsi="Arial" w:cs="Arial"/>
        </w:rPr>
        <w:t xml:space="preserve">A practical undergraduate sample is </w:t>
      </w:r>
      <w:r w:rsidRPr="00DC1C95">
        <w:rPr>
          <w:rFonts w:ascii="Arial" w:hAnsi="Arial" w:cs="Arial"/>
          <w:b/>
          <w:bCs/>
        </w:rPr>
        <w:t>25-25 documents</w:t>
      </w:r>
      <w:r>
        <w:rPr>
          <w:rFonts w:ascii="Arial" w:hAnsi="Arial" w:cs="Arial"/>
        </w:rPr>
        <w:t>, likely split across 6-8 primary case documents, 6-10 regulatory/governance documents, and 10-15 contextual scholarly or industry sources.</w:t>
      </w:r>
    </w:p>
    <w:p w14:paraId="7D1791C6" w14:textId="77777777" w:rsidR="004B0DF8" w:rsidRDefault="004B0DF8" w:rsidP="004B0DF8">
      <w:pPr>
        <w:spacing w:line="360" w:lineRule="auto"/>
        <w:jc w:val="both"/>
        <w:rPr>
          <w:rFonts w:ascii="Arial" w:hAnsi="Arial" w:cs="Arial"/>
        </w:rPr>
      </w:pPr>
      <w:r w:rsidRPr="005677E7">
        <w:rPr>
          <w:rFonts w:ascii="Arial" w:hAnsi="Arial" w:cs="Arial"/>
        </w:rPr>
        <w:t>Th</w:t>
      </w:r>
      <w:r>
        <w:rPr>
          <w:rFonts w:ascii="Arial" w:hAnsi="Arial" w:cs="Arial"/>
        </w:rPr>
        <w:t>is is manageable and sufficient for pattern identification without over-extending the project.</w:t>
      </w:r>
    </w:p>
    <w:p w14:paraId="0C404475" w14:textId="77777777" w:rsidR="004B0DF8" w:rsidRPr="005677E7" w:rsidRDefault="004B0DF8" w:rsidP="004B0DF8">
      <w:pPr>
        <w:pStyle w:val="Heading2"/>
      </w:pPr>
      <w:bookmarkStart w:id="9" w:name="_Toc235867393"/>
      <w:r>
        <w:t>Analysis Steps</w:t>
      </w:r>
      <w:bookmarkEnd w:id="9"/>
    </w:p>
    <w:p w14:paraId="188EE2CC" w14:textId="77777777" w:rsidR="004B0DF8" w:rsidRDefault="004B0DF8" w:rsidP="004B0DF8">
      <w:pPr>
        <w:spacing w:line="360" w:lineRule="auto"/>
        <w:jc w:val="both"/>
        <w:rPr>
          <w:rFonts w:ascii="Arial" w:hAnsi="Arial" w:cs="Arial"/>
        </w:rPr>
      </w:pPr>
      <w:r>
        <w:rPr>
          <w:rFonts w:ascii="Arial" w:hAnsi="Arial" w:cs="Arial"/>
          <w:noProof/>
        </w:rPr>
        <w:drawing>
          <wp:inline distT="0" distB="0" distL="0" distR="0" wp14:anchorId="2FB48A0F" wp14:editId="1382CA72">
            <wp:extent cx="5486400" cy="876300"/>
            <wp:effectExtent l="19050" t="0" r="19050" b="0"/>
            <wp:docPr id="46582278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C9F589E" w14:textId="77777777" w:rsidR="004B0DF8" w:rsidRDefault="004B0DF8" w:rsidP="004B0DF8">
      <w:pPr>
        <w:pStyle w:val="Caption"/>
      </w:pPr>
      <w:r>
        <w:tab/>
      </w:r>
      <w:r>
        <w:tab/>
      </w:r>
      <w:r>
        <w:tab/>
        <w:t xml:space="preserve">Table </w:t>
      </w:r>
      <w:fldSimple w:instr=" SEQ Table \* ARABIC ">
        <w:r>
          <w:rPr>
            <w:noProof/>
          </w:rPr>
          <w:t>1</w:t>
        </w:r>
      </w:fldSimple>
      <w:r>
        <w:t xml:space="preserve"> Analysis Steps</w:t>
      </w:r>
    </w:p>
    <w:p w14:paraId="48177B31" w14:textId="77777777" w:rsidR="004B0DF8" w:rsidRPr="00174226" w:rsidRDefault="004B0DF8" w:rsidP="004B0DF8">
      <w:pPr>
        <w:spacing w:line="360" w:lineRule="auto"/>
        <w:jc w:val="both"/>
        <w:rPr>
          <w:rFonts w:ascii="Arial" w:hAnsi="Arial" w:cs="Arial"/>
        </w:rPr>
      </w:pPr>
      <w:r w:rsidRPr="00174226">
        <w:rPr>
          <w:rFonts w:ascii="Arial" w:hAnsi="Arial" w:cs="Arial"/>
        </w:rPr>
        <w:t>Initial coding will focus on four categories: trust signals, service disruption, response/recovery, and third-party governance. Themes will then be refined by comparing how the same issue is framed across company, regulatory, media and scholarly sources.</w:t>
      </w:r>
    </w:p>
    <w:p w14:paraId="47DDDFD1" w14:textId="77777777" w:rsidR="004B0DF8" w:rsidRDefault="004B0DF8" w:rsidP="004B0DF8">
      <w:pPr>
        <w:pStyle w:val="Heading2"/>
      </w:pPr>
      <w:bookmarkStart w:id="10" w:name="_Toc235867394"/>
      <w:r>
        <w:lastRenderedPageBreak/>
        <w:t>Objective-method map</w:t>
      </w:r>
      <w:bookmarkEnd w:id="10"/>
    </w:p>
    <w:tbl>
      <w:tblPr>
        <w:tblStyle w:val="GridTable4"/>
        <w:tblW w:w="0" w:type="auto"/>
        <w:tblLook w:val="0020" w:firstRow="1" w:lastRow="0" w:firstColumn="0" w:lastColumn="0" w:noHBand="0" w:noVBand="0"/>
      </w:tblPr>
      <w:tblGrid>
        <w:gridCol w:w="2384"/>
        <w:gridCol w:w="4346"/>
        <w:gridCol w:w="2286"/>
      </w:tblGrid>
      <w:tr w:rsidR="004B0DF8" w:rsidRPr="00841C8D" w14:paraId="0F716F88" w14:textId="77777777" w:rsidTr="00457E3C">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25E026AD" w14:textId="77777777" w:rsidR="004B0DF8" w:rsidRPr="00841C8D" w:rsidRDefault="004B0DF8" w:rsidP="00986275">
            <w:pPr>
              <w:pStyle w:val="Compact"/>
              <w:spacing w:line="360" w:lineRule="auto"/>
              <w:jc w:val="both"/>
              <w:rPr>
                <w:rFonts w:cs="Arial"/>
                <w:sz w:val="32"/>
                <w:szCs w:val="32"/>
              </w:rPr>
            </w:pPr>
            <w:r w:rsidRPr="00841C8D">
              <w:rPr>
                <w:rFonts w:cs="Arial"/>
                <w:sz w:val="32"/>
                <w:szCs w:val="32"/>
              </w:rPr>
              <w:t>Objective</w:t>
            </w:r>
          </w:p>
        </w:tc>
        <w:tc>
          <w:tcPr>
            <w:tcW w:w="0" w:type="auto"/>
          </w:tcPr>
          <w:p w14:paraId="233874D8" w14:textId="77777777" w:rsidR="004B0DF8" w:rsidRPr="00841C8D" w:rsidRDefault="004B0DF8" w:rsidP="00986275">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32"/>
                <w:szCs w:val="32"/>
              </w:rPr>
            </w:pPr>
            <w:r w:rsidRPr="00841C8D">
              <w:rPr>
                <w:rFonts w:cs="Arial"/>
                <w:sz w:val="32"/>
                <w:szCs w:val="32"/>
              </w:rPr>
              <w:t>Main data sources</w:t>
            </w:r>
          </w:p>
        </w:tc>
        <w:tc>
          <w:tcPr>
            <w:cnfStyle w:val="000010000000" w:firstRow="0" w:lastRow="0" w:firstColumn="0" w:lastColumn="0" w:oddVBand="1" w:evenVBand="0" w:oddHBand="0" w:evenHBand="0" w:firstRowFirstColumn="0" w:firstRowLastColumn="0" w:lastRowFirstColumn="0" w:lastRowLastColumn="0"/>
            <w:tcW w:w="0" w:type="auto"/>
          </w:tcPr>
          <w:p w14:paraId="47E74C93" w14:textId="77777777" w:rsidR="004B0DF8" w:rsidRPr="00841C8D" w:rsidRDefault="004B0DF8" w:rsidP="00986275">
            <w:pPr>
              <w:pStyle w:val="Compact"/>
              <w:spacing w:line="360" w:lineRule="auto"/>
              <w:jc w:val="both"/>
              <w:rPr>
                <w:rFonts w:cs="Arial"/>
                <w:sz w:val="32"/>
                <w:szCs w:val="32"/>
              </w:rPr>
            </w:pPr>
            <w:r w:rsidRPr="00841C8D">
              <w:rPr>
                <w:rFonts w:cs="Arial"/>
                <w:sz w:val="32"/>
                <w:szCs w:val="32"/>
              </w:rPr>
              <w:t>Analysis method</w:t>
            </w:r>
          </w:p>
        </w:tc>
      </w:tr>
      <w:tr w:rsidR="004B0DF8" w:rsidRPr="00841C8D" w14:paraId="3F258BCA" w14:textId="77777777" w:rsidTr="00457E3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DD07CDE" w14:textId="77777777" w:rsidR="004B0DF8" w:rsidRPr="00174226" w:rsidRDefault="004B0DF8" w:rsidP="00986275">
            <w:pPr>
              <w:pStyle w:val="Compact"/>
              <w:spacing w:line="360" w:lineRule="auto"/>
              <w:rPr>
                <w:rFonts w:ascii="Arial" w:hAnsi="Arial" w:cs="Arial"/>
                <w:sz w:val="22"/>
                <w:szCs w:val="22"/>
              </w:rPr>
            </w:pPr>
            <w:r w:rsidRPr="00174226">
              <w:rPr>
                <w:rFonts w:ascii="Arial" w:hAnsi="Arial" w:cs="Arial"/>
                <w:sz w:val="22"/>
                <w:szCs w:val="22"/>
              </w:rPr>
              <w:t>Examine public management of the incident</w:t>
            </w:r>
          </w:p>
        </w:tc>
        <w:tc>
          <w:tcPr>
            <w:tcW w:w="0" w:type="auto"/>
          </w:tcPr>
          <w:p w14:paraId="1252F691" w14:textId="77777777" w:rsidR="004B0DF8" w:rsidRPr="00174226" w:rsidRDefault="004B0DF8" w:rsidP="00986275">
            <w:pPr>
              <w:pStyle w:val="Compac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disclosures/results coverage, Reuters, FT, AP</w:t>
            </w:r>
          </w:p>
        </w:tc>
        <w:tc>
          <w:tcPr>
            <w:cnfStyle w:val="000010000000" w:firstRow="0" w:lastRow="0" w:firstColumn="0" w:lastColumn="0" w:oddVBand="1" w:evenVBand="0" w:oddHBand="0" w:evenHBand="0" w:firstRowFirstColumn="0" w:firstRowLastColumn="0" w:lastRowFirstColumn="0" w:lastRowLastColumn="0"/>
            <w:tcW w:w="0" w:type="auto"/>
          </w:tcPr>
          <w:p w14:paraId="13C9C8B5" w14:textId="77777777" w:rsidR="004B0DF8" w:rsidRPr="00174226" w:rsidRDefault="004B0DF8" w:rsidP="00986275">
            <w:pPr>
              <w:pStyle w:val="Compact"/>
              <w:spacing w:line="360" w:lineRule="auto"/>
              <w:jc w:val="both"/>
              <w:rPr>
                <w:rFonts w:ascii="Arial" w:hAnsi="Arial" w:cs="Arial"/>
                <w:sz w:val="22"/>
                <w:szCs w:val="22"/>
              </w:rPr>
            </w:pPr>
            <w:r w:rsidRPr="00174226">
              <w:rPr>
                <w:rFonts w:ascii="Arial" w:hAnsi="Arial" w:cs="Arial"/>
                <w:sz w:val="22"/>
                <w:szCs w:val="22"/>
              </w:rPr>
              <w:t>Event chronology and thematic coding</w:t>
            </w:r>
          </w:p>
        </w:tc>
      </w:tr>
      <w:tr w:rsidR="004B0DF8" w:rsidRPr="00841C8D" w14:paraId="083C936B" w14:textId="77777777" w:rsidTr="00457E3C">
        <w:tc>
          <w:tcPr>
            <w:cnfStyle w:val="000010000000" w:firstRow="0" w:lastRow="0" w:firstColumn="0" w:lastColumn="0" w:oddVBand="1" w:evenVBand="0" w:oddHBand="0" w:evenHBand="0" w:firstRowFirstColumn="0" w:firstRowLastColumn="0" w:lastRowFirstColumn="0" w:lastRowLastColumn="0"/>
            <w:tcW w:w="0" w:type="auto"/>
          </w:tcPr>
          <w:p w14:paraId="1E709B87" w14:textId="77777777" w:rsidR="004B0DF8" w:rsidRPr="00174226" w:rsidRDefault="004B0DF8" w:rsidP="00986275">
            <w:pPr>
              <w:pStyle w:val="Compact"/>
              <w:spacing w:line="360" w:lineRule="auto"/>
              <w:jc w:val="both"/>
              <w:rPr>
                <w:rFonts w:ascii="Arial" w:hAnsi="Arial" w:cs="Arial"/>
                <w:sz w:val="22"/>
                <w:szCs w:val="22"/>
              </w:rPr>
            </w:pPr>
            <w:r w:rsidRPr="00174226">
              <w:rPr>
                <w:rFonts w:ascii="Arial" w:hAnsi="Arial" w:cs="Arial"/>
                <w:sz w:val="22"/>
                <w:szCs w:val="22"/>
              </w:rPr>
              <w:t>Assess trust impact</w:t>
            </w:r>
          </w:p>
        </w:tc>
        <w:tc>
          <w:tcPr>
            <w:tcW w:w="0" w:type="auto"/>
          </w:tcPr>
          <w:p w14:paraId="610B4708" w14:textId="77777777" w:rsidR="004B0DF8" w:rsidRPr="00174226" w:rsidRDefault="004B0DF8" w:rsidP="00986275">
            <w:pPr>
              <w:pStyle w:val="Compac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customer data statements, customer-facing updates, media framing, security-communication literature</w:t>
            </w:r>
          </w:p>
        </w:tc>
        <w:tc>
          <w:tcPr>
            <w:cnfStyle w:val="000010000000" w:firstRow="0" w:lastRow="0" w:firstColumn="0" w:lastColumn="0" w:oddVBand="1" w:evenVBand="0" w:oddHBand="0" w:evenHBand="0" w:firstRowFirstColumn="0" w:firstRowLastColumn="0" w:lastRowFirstColumn="0" w:lastRowLastColumn="0"/>
            <w:tcW w:w="0" w:type="auto"/>
          </w:tcPr>
          <w:p w14:paraId="08B0F891" w14:textId="77777777" w:rsidR="004B0DF8" w:rsidRPr="00174226" w:rsidRDefault="004B0DF8" w:rsidP="00986275">
            <w:pPr>
              <w:pStyle w:val="Compact"/>
              <w:spacing w:line="360" w:lineRule="auto"/>
              <w:jc w:val="both"/>
              <w:rPr>
                <w:rFonts w:ascii="Arial" w:hAnsi="Arial" w:cs="Arial"/>
                <w:sz w:val="22"/>
                <w:szCs w:val="22"/>
              </w:rPr>
            </w:pPr>
            <w:r w:rsidRPr="00174226">
              <w:rPr>
                <w:rFonts w:ascii="Arial" w:hAnsi="Arial" w:cs="Arial"/>
                <w:sz w:val="22"/>
                <w:szCs w:val="22"/>
              </w:rPr>
              <w:t>Thematic coding of trust indicators</w:t>
            </w:r>
          </w:p>
        </w:tc>
      </w:tr>
      <w:tr w:rsidR="004B0DF8" w:rsidRPr="00841C8D" w14:paraId="494C6DDA" w14:textId="77777777" w:rsidTr="00457E3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6F020F4" w14:textId="77777777" w:rsidR="004B0DF8" w:rsidRPr="00174226" w:rsidRDefault="004B0DF8" w:rsidP="00986275">
            <w:pPr>
              <w:pStyle w:val="Compact"/>
              <w:spacing w:line="360" w:lineRule="auto"/>
              <w:rPr>
                <w:rFonts w:ascii="Arial" w:hAnsi="Arial" w:cs="Arial"/>
                <w:sz w:val="22"/>
                <w:szCs w:val="22"/>
              </w:rPr>
            </w:pPr>
            <w:r w:rsidRPr="00174226">
              <w:rPr>
                <w:rFonts w:ascii="Arial" w:hAnsi="Arial" w:cs="Arial"/>
                <w:sz w:val="22"/>
                <w:szCs w:val="22"/>
              </w:rPr>
              <w:t>Evaluate resilience and recovery</w:t>
            </w:r>
          </w:p>
        </w:tc>
        <w:tc>
          <w:tcPr>
            <w:tcW w:w="0" w:type="auto"/>
          </w:tcPr>
          <w:p w14:paraId="152CE325" w14:textId="77777777" w:rsidR="004B0DF8" w:rsidRPr="00174226" w:rsidRDefault="004B0DF8" w:rsidP="0098627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recovery milestones, UK survey, NIST CSF, NCSC guidance</w:t>
            </w:r>
          </w:p>
        </w:tc>
        <w:tc>
          <w:tcPr>
            <w:cnfStyle w:val="000010000000" w:firstRow="0" w:lastRow="0" w:firstColumn="0" w:lastColumn="0" w:oddVBand="1" w:evenVBand="0" w:oddHBand="0" w:evenHBand="0" w:firstRowFirstColumn="0" w:firstRowLastColumn="0" w:lastRowFirstColumn="0" w:lastRowLastColumn="0"/>
            <w:tcW w:w="0" w:type="auto"/>
          </w:tcPr>
          <w:p w14:paraId="7612C640" w14:textId="77777777" w:rsidR="004B0DF8" w:rsidRPr="00174226" w:rsidRDefault="004B0DF8" w:rsidP="00986275">
            <w:pPr>
              <w:pStyle w:val="Compact"/>
              <w:spacing w:line="360" w:lineRule="auto"/>
              <w:rPr>
                <w:rFonts w:ascii="Arial" w:hAnsi="Arial" w:cs="Arial"/>
                <w:sz w:val="22"/>
                <w:szCs w:val="22"/>
              </w:rPr>
            </w:pPr>
            <w:r w:rsidRPr="00174226">
              <w:rPr>
                <w:rFonts w:ascii="Arial" w:hAnsi="Arial" w:cs="Arial"/>
                <w:sz w:val="22"/>
                <w:szCs w:val="22"/>
              </w:rPr>
              <w:t>Pattern matching against resilience concepts</w:t>
            </w:r>
          </w:p>
        </w:tc>
      </w:tr>
      <w:tr w:rsidR="004B0DF8" w:rsidRPr="00841C8D" w14:paraId="6215ED2A" w14:textId="77777777" w:rsidTr="00457E3C">
        <w:tc>
          <w:tcPr>
            <w:cnfStyle w:val="000010000000" w:firstRow="0" w:lastRow="0" w:firstColumn="0" w:lastColumn="0" w:oddVBand="1" w:evenVBand="0" w:oddHBand="0" w:evenHBand="0" w:firstRowFirstColumn="0" w:firstRowLastColumn="0" w:lastRowFirstColumn="0" w:lastRowLastColumn="0"/>
            <w:tcW w:w="0" w:type="auto"/>
          </w:tcPr>
          <w:p w14:paraId="141F0D8E" w14:textId="77777777" w:rsidR="004B0DF8" w:rsidRPr="00174226" w:rsidRDefault="004B0DF8" w:rsidP="00986275">
            <w:pPr>
              <w:pStyle w:val="Compact"/>
              <w:spacing w:line="360" w:lineRule="auto"/>
              <w:rPr>
                <w:rFonts w:ascii="Arial" w:hAnsi="Arial" w:cs="Arial"/>
                <w:sz w:val="22"/>
                <w:szCs w:val="22"/>
              </w:rPr>
            </w:pPr>
            <w:r w:rsidRPr="00174226">
              <w:rPr>
                <w:rFonts w:ascii="Arial" w:hAnsi="Arial" w:cs="Arial"/>
                <w:sz w:val="22"/>
                <w:szCs w:val="22"/>
              </w:rPr>
              <w:t>Derive governance lessons</w:t>
            </w:r>
          </w:p>
        </w:tc>
        <w:tc>
          <w:tcPr>
            <w:tcW w:w="0" w:type="auto"/>
          </w:tcPr>
          <w:p w14:paraId="0657AD66" w14:textId="77777777" w:rsidR="004B0DF8" w:rsidRPr="00174226" w:rsidRDefault="004B0DF8" w:rsidP="00986275">
            <w:pPr>
              <w:pStyle w:val="Compac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74226">
              <w:rPr>
                <w:rFonts w:ascii="Arial" w:hAnsi="Arial" w:cs="Arial"/>
                <w:sz w:val="22"/>
                <w:szCs w:val="22"/>
              </w:rPr>
              <w:t>NCSC, NIST, ICO, third-party risk literature</w:t>
            </w:r>
          </w:p>
        </w:tc>
        <w:tc>
          <w:tcPr>
            <w:cnfStyle w:val="000010000000" w:firstRow="0" w:lastRow="0" w:firstColumn="0" w:lastColumn="0" w:oddVBand="1" w:evenVBand="0" w:oddHBand="0" w:evenHBand="0" w:firstRowFirstColumn="0" w:firstRowLastColumn="0" w:lastRowFirstColumn="0" w:lastRowLastColumn="0"/>
            <w:tcW w:w="0" w:type="auto"/>
          </w:tcPr>
          <w:p w14:paraId="6CA3C6FE" w14:textId="77777777" w:rsidR="004B0DF8" w:rsidRPr="00174226" w:rsidRDefault="004B0DF8" w:rsidP="00986275">
            <w:pPr>
              <w:pStyle w:val="Compact"/>
              <w:spacing w:line="360" w:lineRule="auto"/>
              <w:jc w:val="both"/>
              <w:rPr>
                <w:rFonts w:ascii="Arial" w:hAnsi="Arial" w:cs="Arial"/>
                <w:sz w:val="22"/>
                <w:szCs w:val="22"/>
              </w:rPr>
            </w:pPr>
            <w:r w:rsidRPr="00174226">
              <w:rPr>
                <w:rFonts w:ascii="Arial" w:hAnsi="Arial" w:cs="Arial"/>
                <w:sz w:val="22"/>
                <w:szCs w:val="22"/>
              </w:rPr>
              <w:t>Cross-source synthesis</w:t>
            </w:r>
          </w:p>
        </w:tc>
      </w:tr>
    </w:tbl>
    <w:p w14:paraId="7E385DDD" w14:textId="77777777" w:rsidR="004B0DF8" w:rsidRDefault="004B0DF8" w:rsidP="004B0DF8">
      <w:pPr>
        <w:pStyle w:val="Caption"/>
        <w:rPr>
          <w:rFonts w:ascii="Arial" w:hAnsi="Arial" w:cs="Arial"/>
        </w:rPr>
      </w:pPr>
      <w:r>
        <w:tab/>
      </w:r>
      <w:r>
        <w:tab/>
      </w:r>
      <w:r>
        <w:tab/>
      </w:r>
      <w:r>
        <w:tab/>
        <w:t xml:space="preserve">Table </w:t>
      </w:r>
      <w:fldSimple w:instr=" SEQ Table \* ARABIC ">
        <w:r>
          <w:rPr>
            <w:noProof/>
          </w:rPr>
          <w:t>2</w:t>
        </w:r>
      </w:fldSimple>
      <w:r>
        <w:t xml:space="preserve"> </w:t>
      </w:r>
      <w:r w:rsidRPr="00D2397F">
        <w:t>Objective-method map</w:t>
      </w:r>
    </w:p>
    <w:p w14:paraId="5375DFEB" w14:textId="77777777" w:rsidR="004B0DF8" w:rsidRPr="00174226" w:rsidRDefault="004B0DF8" w:rsidP="004B0DF8">
      <w:pPr>
        <w:rPr>
          <w:rFonts w:ascii="Arial" w:hAnsi="Arial" w:cs="Arial"/>
          <w:b/>
          <w:bCs/>
        </w:rPr>
      </w:pPr>
      <w:r w:rsidRPr="00174226">
        <w:rPr>
          <w:rFonts w:ascii="Arial" w:hAnsi="Arial" w:cs="Arial"/>
          <w:b/>
          <w:bCs/>
        </w:rPr>
        <w:t xml:space="preserve">Ethics </w:t>
      </w:r>
    </w:p>
    <w:p w14:paraId="6C1C254B" w14:textId="77777777" w:rsidR="004B0DF8" w:rsidRDefault="004B0DF8" w:rsidP="004B0DF8">
      <w:pPr>
        <w:spacing w:line="360" w:lineRule="auto"/>
        <w:jc w:val="both"/>
        <w:rPr>
          <w:rFonts w:ascii="Arial" w:hAnsi="Arial" w:cs="Arial"/>
        </w:rPr>
      </w:pPr>
      <w:r>
        <w:rPr>
          <w:rFonts w:ascii="Arial" w:hAnsi="Arial" w:cs="Arial"/>
        </w:rPr>
        <w:t xml:space="preserve">No human participants will be involved. The project uses lawfully available public documents only. Ethical care is still needed in three areas: accurate representation of public evidence, clear distinction between confirmed facts and reported claims, and avoidance of unnecessary reproduction of sensitive breach details. ICO guidance on breach reporting and risk assessment supports the importance of careful, responsible handling of incident information. </w:t>
      </w:r>
      <w:sdt>
        <w:sdtPr>
          <w:rPr>
            <w:rFonts w:ascii="Arial" w:hAnsi="Arial" w:cs="Arial"/>
          </w:rPr>
          <w:id w:val="-920721854"/>
          <w:citation/>
        </w:sdtPr>
        <w:sdtEndPr/>
        <w:sdtContent>
          <w:r>
            <w:rPr>
              <w:rFonts w:ascii="Arial" w:hAnsi="Arial" w:cs="Arial"/>
            </w:rPr>
            <w:fldChar w:fldCharType="begin"/>
          </w:r>
          <w:r>
            <w:rPr>
              <w:rFonts w:ascii="Arial" w:hAnsi="Arial" w:cs="Arial"/>
            </w:rPr>
            <w:instrText xml:space="preserve">CITATION iCO25 \l 2057 </w:instrText>
          </w:r>
          <w:r>
            <w:rPr>
              <w:rFonts w:ascii="Arial" w:hAnsi="Arial" w:cs="Arial"/>
            </w:rPr>
            <w:fldChar w:fldCharType="separate"/>
          </w:r>
          <w:r w:rsidRPr="00EA1780">
            <w:rPr>
              <w:rFonts w:ascii="Arial" w:hAnsi="Arial" w:cs="Arial"/>
              <w:noProof/>
            </w:rPr>
            <w:t>(iCO Information Commissioner's office, 2025)</w:t>
          </w:r>
          <w:r>
            <w:rPr>
              <w:rFonts w:ascii="Arial" w:hAnsi="Arial" w:cs="Arial"/>
            </w:rPr>
            <w:fldChar w:fldCharType="end"/>
          </w:r>
        </w:sdtContent>
      </w:sdt>
    </w:p>
    <w:p w14:paraId="0ECF8FCE" w14:textId="77777777" w:rsidR="004B0DF8" w:rsidRPr="00372338" w:rsidRDefault="004B0DF8" w:rsidP="004B0DF8">
      <w:pPr>
        <w:spacing w:line="360" w:lineRule="auto"/>
        <w:jc w:val="both"/>
        <w:rPr>
          <w:rFonts w:ascii="Arial" w:hAnsi="Arial" w:cs="Arial"/>
          <w:b/>
          <w:bCs/>
        </w:rPr>
      </w:pPr>
      <w:r w:rsidRPr="00372338">
        <w:rPr>
          <w:rFonts w:ascii="Arial" w:hAnsi="Arial" w:cs="Arial"/>
          <w:b/>
          <w:bCs/>
        </w:rPr>
        <w:t>Limitations</w:t>
      </w:r>
    </w:p>
    <w:p w14:paraId="4BCC987E" w14:textId="77777777" w:rsidR="004B0DF8" w:rsidRDefault="004B0DF8" w:rsidP="004B0DF8">
      <w:pPr>
        <w:spacing w:line="360" w:lineRule="auto"/>
        <w:jc w:val="both"/>
        <w:rPr>
          <w:rFonts w:ascii="Arial" w:hAnsi="Arial" w:cs="Arial"/>
        </w:rPr>
      </w:pPr>
      <w:r>
        <w:rPr>
          <w:rFonts w:ascii="Arial" w:hAnsi="Arial" w:cs="Arial"/>
        </w:rPr>
        <w:t xml:space="preserve">The study cannot directly measure customer sentiment; it infers trust from public indicators. A single case also limits generalisation beyond UK retail. Finally, some incident details remain based on public reporting rather than a full official forensic account, so attribution and sequence must be treated cautiously </w:t>
      </w:r>
      <w:sdt>
        <w:sdtPr>
          <w:rPr>
            <w:rFonts w:ascii="Arial" w:hAnsi="Arial" w:cs="Arial"/>
          </w:rPr>
          <w:id w:val="-500274202"/>
          <w:citation/>
        </w:sdtPr>
        <w:sdtEndPr/>
        <w:sdtContent>
          <w:r>
            <w:rPr>
              <w:rFonts w:ascii="Arial" w:hAnsi="Arial" w:cs="Arial"/>
            </w:rPr>
            <w:fldChar w:fldCharType="begin"/>
          </w:r>
          <w:r>
            <w:rPr>
              <w:rFonts w:ascii="Arial" w:hAnsi="Arial" w:cs="Arial"/>
            </w:rPr>
            <w:instrText xml:space="preserve">CITATION Tat \l 2057 </w:instrText>
          </w:r>
          <w:r>
            <w:rPr>
              <w:rFonts w:ascii="Arial" w:hAnsi="Arial" w:cs="Arial"/>
            </w:rPr>
            <w:fldChar w:fldCharType="separate"/>
          </w:r>
          <w:r w:rsidRPr="00084453">
            <w:rPr>
              <w:rFonts w:ascii="Arial" w:hAnsi="Arial" w:cs="Arial"/>
              <w:noProof/>
            </w:rPr>
            <w:t>(TATA Consultancy Services, 2025)</w:t>
          </w:r>
          <w:r>
            <w:rPr>
              <w:rFonts w:ascii="Arial" w:hAnsi="Arial" w:cs="Arial"/>
            </w:rPr>
            <w:fldChar w:fldCharType="end"/>
          </w:r>
        </w:sdtContent>
      </w:sdt>
      <w:r>
        <w:rPr>
          <w:rFonts w:ascii="Arial" w:hAnsi="Arial" w:cs="Arial"/>
        </w:rPr>
        <w:t>.</w:t>
      </w:r>
    </w:p>
    <w:p w14:paraId="0302FEA2" w14:textId="77777777" w:rsidR="004B0DF8" w:rsidRDefault="004B0DF8" w:rsidP="004B0DF8">
      <w:pPr>
        <w:pStyle w:val="Heading2"/>
      </w:pPr>
      <w:bookmarkStart w:id="11" w:name="_Toc235867395"/>
      <w:r>
        <w:lastRenderedPageBreak/>
        <w:t>Project timeline</w:t>
      </w:r>
      <w:bookmarkEnd w:id="11"/>
    </w:p>
    <w:p w14:paraId="24EF2CB3" w14:textId="77777777" w:rsidR="004B0DF8" w:rsidRDefault="004B0DF8" w:rsidP="004B0DF8">
      <w:r w:rsidRPr="004D4620">
        <w:rPr>
          <w:noProof/>
        </w:rPr>
        <w:drawing>
          <wp:inline distT="0" distB="0" distL="0" distR="0" wp14:anchorId="5DF2C556" wp14:editId="45894EAE">
            <wp:extent cx="5731510" cy="3754120"/>
            <wp:effectExtent l="0" t="0" r="2540" b="0"/>
            <wp:docPr id="1365898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98581" name=""/>
                    <pic:cNvPicPr/>
                  </pic:nvPicPr>
                  <pic:blipFill>
                    <a:blip r:embed="rId13"/>
                    <a:stretch>
                      <a:fillRect/>
                    </a:stretch>
                  </pic:blipFill>
                  <pic:spPr>
                    <a:xfrm>
                      <a:off x="0" y="0"/>
                      <a:ext cx="5731510" cy="3754120"/>
                    </a:xfrm>
                    <a:prstGeom prst="rect">
                      <a:avLst/>
                    </a:prstGeom>
                  </pic:spPr>
                </pic:pic>
              </a:graphicData>
            </a:graphic>
          </wp:inline>
        </w:drawing>
      </w:r>
    </w:p>
    <w:p w14:paraId="06928A14" w14:textId="77777777" w:rsidR="004B0DF8" w:rsidRPr="00CA42F5" w:rsidRDefault="004B0DF8" w:rsidP="004B0DF8">
      <w:pPr>
        <w:pStyle w:val="Caption"/>
      </w:pPr>
      <w:r>
        <w:tab/>
      </w:r>
      <w:r>
        <w:tab/>
      </w:r>
      <w:r>
        <w:tab/>
        <w:t xml:space="preserve">Table </w:t>
      </w:r>
      <w:fldSimple w:instr=" SEQ Table \* ARABIC ">
        <w:r>
          <w:rPr>
            <w:noProof/>
          </w:rPr>
          <w:t>3</w:t>
        </w:r>
      </w:fldSimple>
      <w:r>
        <w:t xml:space="preserve"> Undergraduate Project Timeline (Updated)</w:t>
      </w:r>
    </w:p>
    <w:p w14:paraId="3EC7CA7A" w14:textId="77777777" w:rsidR="004B0DF8" w:rsidRPr="00A30D31" w:rsidRDefault="004B0DF8" w:rsidP="004B0DF8">
      <w:pPr>
        <w:pStyle w:val="Heading1"/>
        <w:rPr>
          <w:b/>
          <w:bCs/>
          <w:sz w:val="32"/>
          <w:szCs w:val="32"/>
        </w:rPr>
      </w:pPr>
      <w:bookmarkStart w:id="12" w:name="_Toc235867396"/>
      <w:r>
        <w:rPr>
          <w:b/>
          <w:bCs/>
          <w:sz w:val="32"/>
          <w:szCs w:val="32"/>
        </w:rPr>
        <w:t>BUSINESS RELEVANCE AND PRACTICAL IMPLICATIONS</w:t>
      </w:r>
      <w:bookmarkEnd w:id="12"/>
    </w:p>
    <w:p w14:paraId="11AF806B" w14:textId="77777777" w:rsidR="004B0DF8" w:rsidRDefault="004B0DF8" w:rsidP="004B0DF8">
      <w:pPr>
        <w:spacing w:line="360" w:lineRule="auto"/>
        <w:jc w:val="both"/>
        <w:rPr>
          <w:rFonts w:ascii="Arial" w:hAnsi="Arial" w:cs="Arial"/>
        </w:rPr>
      </w:pPr>
      <w:r>
        <w:rPr>
          <w:rFonts w:ascii="Arial" w:hAnsi="Arial" w:cs="Arial"/>
        </w:rPr>
        <w:t xml:space="preserve">The study is expected to show that the M&amp;S incident affected trust through a </w:t>
      </w:r>
      <w:r w:rsidRPr="00F7135A">
        <w:rPr>
          <w:rFonts w:ascii="Arial" w:hAnsi="Arial" w:cs="Arial"/>
          <w:b/>
          <w:bCs/>
        </w:rPr>
        <w:t>combination</w:t>
      </w:r>
      <w:r>
        <w:rPr>
          <w:rFonts w:ascii="Arial" w:hAnsi="Arial" w:cs="Arial"/>
        </w:rPr>
        <w:t xml:space="preserve"> of data-security concern and prolonged service disruption, not merely through abstract privacy risk. It is also likely to show that resilience in retail depends on response speed, communication clarity, recovery sequencing and supplier oversight as much as on pre-incident controls. That expectation is consistent with </w:t>
      </w:r>
      <w:r w:rsidRPr="00F7135A">
        <w:rPr>
          <w:rFonts w:ascii="Arial" w:hAnsi="Arial" w:cs="Arial"/>
          <w:b/>
          <w:bCs/>
        </w:rPr>
        <w:t>M&amp;S's</w:t>
      </w:r>
      <w:r>
        <w:rPr>
          <w:rFonts w:ascii="Arial" w:hAnsi="Arial" w:cs="Arial"/>
        </w:rPr>
        <w:t xml:space="preserve"> lengthy service interruption, explicit customer-data messaging, and subsequent emphasis on accelerated technology recovery, as well as wider UK evidence that supplier-risk review remains under-developed</w:t>
      </w:r>
      <w:r w:rsidRPr="0004367C">
        <w:rPr>
          <w:rFonts w:ascii="Arial" w:hAnsi="Arial" w:cs="Arial"/>
        </w:rPr>
        <w:t xml:space="preserve"> </w:t>
      </w:r>
      <w:r>
        <w:rPr>
          <w:rFonts w:ascii="Arial" w:hAnsi="Arial" w:cs="Arial"/>
        </w:rPr>
        <w:t xml:space="preserve">Theoretical contribution will be modest but clear: the project links customer trust and organisational resilience within one public cyber case, showing how trust can be treated as both a reputational and operational outcome. Practically, the dissertation should produce concise lessons for retail managers on supplier governance, breach communication. And recovery planning. It should also give the supervisor confidence that the topic is feasible, data-rich, current and methodologically appropriate for a final-year undergraduate proposal. </w:t>
      </w:r>
      <w:sdt>
        <w:sdtPr>
          <w:rPr>
            <w:rFonts w:ascii="Arial" w:hAnsi="Arial" w:cs="Arial"/>
          </w:rPr>
          <w:id w:val="-385103987"/>
          <w:citation/>
        </w:sdtPr>
        <w:sdtEndPr/>
        <w:sdtContent>
          <w:r>
            <w:rPr>
              <w:rFonts w:ascii="Arial" w:hAnsi="Arial" w:cs="Arial"/>
            </w:rPr>
            <w:fldChar w:fldCharType="begin"/>
          </w:r>
          <w:r>
            <w:rPr>
              <w:rFonts w:ascii="Arial" w:hAnsi="Arial" w:cs="Arial"/>
            </w:rPr>
            <w:instrText xml:space="preserve"> CITATION Jul25 \l 2057 </w:instrText>
          </w:r>
          <w:r>
            <w:rPr>
              <w:rFonts w:ascii="Arial" w:hAnsi="Arial" w:cs="Arial"/>
            </w:rPr>
            <w:fldChar w:fldCharType="separate"/>
          </w:r>
          <w:r w:rsidRPr="00B02B61">
            <w:rPr>
              <w:rFonts w:ascii="Arial" w:hAnsi="Arial" w:cs="Arial"/>
              <w:noProof/>
            </w:rPr>
            <w:t>(Julia Kollewe and Sarah Butler, 2025)</w:t>
          </w:r>
          <w:r>
            <w:rPr>
              <w:rFonts w:ascii="Arial" w:hAnsi="Arial" w:cs="Arial"/>
            </w:rPr>
            <w:fldChar w:fldCharType="end"/>
          </w:r>
        </w:sdtContent>
      </w:sdt>
      <w:r>
        <w:rPr>
          <w:rFonts w:ascii="Arial" w:hAnsi="Arial" w:cs="Arial"/>
        </w:rPr>
        <w:t>.</w:t>
      </w:r>
    </w:p>
    <w:p w14:paraId="14DE3109" w14:textId="77777777" w:rsidR="004B0DF8" w:rsidRDefault="004B0DF8" w:rsidP="004B0DF8">
      <w:pPr>
        <w:pStyle w:val="Heading2"/>
      </w:pPr>
      <w:bookmarkStart w:id="13" w:name="_Toc235867397"/>
      <w:r>
        <w:t>Verified source list</w:t>
      </w:r>
      <w:bookmarkEnd w:id="13"/>
    </w:p>
    <w:p w14:paraId="2B0BE789" w14:textId="77777777" w:rsidR="004B0DF8" w:rsidRPr="003D0568" w:rsidRDefault="004B0DF8" w:rsidP="004B0DF8">
      <w:pPr>
        <w:spacing w:line="360" w:lineRule="auto"/>
        <w:jc w:val="both"/>
        <w:rPr>
          <w:rFonts w:ascii="Arial" w:hAnsi="Arial" w:cs="Arial"/>
          <w:b/>
          <w:bCs/>
        </w:rPr>
      </w:pPr>
      <w:r w:rsidRPr="003D0568">
        <w:rPr>
          <w:rFonts w:ascii="Arial" w:hAnsi="Arial" w:cs="Arial"/>
          <w:b/>
          <w:bCs/>
        </w:rPr>
        <w:t>Key primary and official sources</w:t>
      </w:r>
    </w:p>
    <w:p w14:paraId="02BE2E44"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lastRenderedPageBreak/>
        <w:t>M&amp;S incident disclosure and early operational disruption via Reuters.</w:t>
      </w:r>
    </w:p>
    <w:p w14:paraId="5501A2B8"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customer-data exposure update reported in May 2025</w:t>
      </w:r>
    </w:p>
    <w:p w14:paraId="3ACC59A5"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recovery and resumption of online orders after 46 days</w:t>
      </w:r>
    </w:p>
    <w:p w14:paraId="4C97CF87"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profit-impact estimate and recovery investment signals.</w:t>
      </w:r>
    </w:p>
    <w:p w14:paraId="77015DE8"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ICO guidance on breach reporting, notification thresholds and 72-hour reporting.</w:t>
      </w:r>
    </w:p>
    <w:p w14:paraId="0A7C94C1"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NCSC supply-chain security guidance and 12 principles.</w:t>
      </w:r>
    </w:p>
    <w:p w14:paraId="6863732C"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UK Cyber Security Breaches Survey 2025</w:t>
      </w:r>
    </w:p>
    <w:p w14:paraId="4A464EA1" w14:textId="77777777" w:rsidR="004B0DF8" w:rsidRPr="003D056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NIST Cybersecurity Framework 2.0</w:t>
      </w:r>
    </w:p>
    <w:p w14:paraId="064342B2" w14:textId="77777777" w:rsidR="004B0DF8" w:rsidRDefault="004B0DF8" w:rsidP="004B0DF8">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NIST software supply-chain security guidance</w:t>
      </w:r>
      <w:r>
        <w:rPr>
          <w:rFonts w:ascii="Arial" w:hAnsi="Arial" w:cs="Arial"/>
        </w:rPr>
        <w:t>.</w:t>
      </w:r>
    </w:p>
    <w:p w14:paraId="5D624FB9" w14:textId="77777777" w:rsidR="004B0DF8" w:rsidRPr="0064708B" w:rsidRDefault="004B0DF8" w:rsidP="004B0DF8">
      <w:pPr>
        <w:pStyle w:val="Heading2"/>
      </w:pPr>
      <w:bookmarkStart w:id="14" w:name="_Toc235867398"/>
      <w:r w:rsidRPr="0064708B">
        <w:t>Industry and reputable reporting</w:t>
      </w:r>
      <w:bookmarkEnd w:id="14"/>
    </w:p>
    <w:p w14:paraId="1F995ABB" w14:textId="77777777" w:rsidR="004B0DF8" w:rsidRPr="00E223D1" w:rsidRDefault="004B0DF8" w:rsidP="004B0DF8">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FT reporting on possible third-party entry route and contractor investigation</w:t>
      </w:r>
    </w:p>
    <w:p w14:paraId="593A6856" w14:textId="77777777" w:rsidR="004B0DF8" w:rsidRPr="00E223D1" w:rsidRDefault="004B0DF8" w:rsidP="004B0DF8">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AP reporting on later law-enforcement action linked to the retailer attacks.</w:t>
      </w:r>
    </w:p>
    <w:p w14:paraId="30C1921F" w14:textId="77777777" w:rsidR="004B0DF8" w:rsidRPr="00E223D1" w:rsidRDefault="004B0DF8" w:rsidP="004B0DF8">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Reuters first-half results coverage showing continuing impact.</w:t>
      </w:r>
    </w:p>
    <w:p w14:paraId="0D0F71CD" w14:textId="77777777" w:rsidR="004B0DF8" w:rsidRPr="00E223D1" w:rsidRDefault="004B0DF8" w:rsidP="004B0DF8">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Guardian reporting on disruption duration and customer-trust rebuilding.</w:t>
      </w:r>
    </w:p>
    <w:p w14:paraId="248D8457" w14:textId="77777777" w:rsidR="004B0DF8" w:rsidRPr="00E223D1" w:rsidRDefault="004B0DF8" w:rsidP="004B0DF8">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Deloitte/WSJ connected consumer evidence on security concern and trust erosion.</w:t>
      </w:r>
    </w:p>
    <w:p w14:paraId="641AC04A" w14:textId="77777777" w:rsidR="004B0DF8" w:rsidRPr="00E223D1" w:rsidRDefault="004B0DF8" w:rsidP="004B0DF8">
      <w:pPr>
        <w:spacing w:line="360" w:lineRule="auto"/>
        <w:jc w:val="both"/>
        <w:rPr>
          <w:rFonts w:ascii="Arial" w:hAnsi="Arial" w:cs="Arial"/>
          <w:b/>
          <w:bCs/>
        </w:rPr>
      </w:pPr>
      <w:r w:rsidRPr="00E223D1">
        <w:rPr>
          <w:rFonts w:ascii="Arial" w:hAnsi="Arial" w:cs="Arial"/>
          <w:b/>
          <w:bCs/>
        </w:rPr>
        <w:t>Scholarly and research-context sources</w:t>
      </w:r>
    </w:p>
    <w:p w14:paraId="714FCA0B"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Hu, Levi Yahalom and Zerhouni on supply-chain characteristics as predictors of cyber risk.</w:t>
      </w:r>
    </w:p>
    <w:p w14:paraId="1D070F2B"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Carreira et al. systematic review of security communication strategies.</w:t>
      </w:r>
    </w:p>
    <w:p w14:paraId="32DDB22C"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 xml:space="preserve">Zhu on foundations of cyber resilience </w:t>
      </w:r>
    </w:p>
    <w:p w14:paraId="7E091BBF"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Wojak et al, on data protection and corporate reputation management</w:t>
      </w:r>
    </w:p>
    <w:p w14:paraId="3E7A5F74"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Bhagavatula, Bauer and Kapadia on real-world awareness of security incidents.</w:t>
      </w:r>
    </w:p>
    <w:p w14:paraId="77ACC2B9"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Hydari, Liang and Telang on the limits of revenue as a post-breach behavioural signal.</w:t>
      </w:r>
    </w:p>
    <w:p w14:paraId="39B72E64"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Ali and Hicks on UK mandatory cyber-incident reporting effectiveness.</w:t>
      </w:r>
    </w:p>
    <w:p w14:paraId="437B7D7B" w14:textId="77777777" w:rsidR="004B0DF8" w:rsidRPr="00E44CAD" w:rsidRDefault="004B0DF8" w:rsidP="004B0DF8">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Weinz et al. on phishing, social engineering and organisational resilience.</w:t>
      </w:r>
    </w:p>
    <w:p w14:paraId="7389B8A3" w14:textId="799E598C" w:rsidR="004B0DF8" w:rsidRDefault="004B0DF8" w:rsidP="004B0DF8">
      <w:pPr>
        <w:spacing w:line="360" w:lineRule="auto"/>
        <w:jc w:val="both"/>
        <w:rPr>
          <w:rFonts w:ascii="Arial" w:hAnsi="Arial" w:cs="Arial"/>
        </w:rPr>
      </w:pPr>
      <w:r>
        <w:rPr>
          <w:rFonts w:ascii="Arial" w:hAnsi="Arial" w:cs="Arial"/>
        </w:rPr>
        <w:t xml:space="preserve">This gives a verified starting corpus of </w:t>
      </w:r>
      <w:r w:rsidRPr="00524272">
        <w:rPr>
          <w:rFonts w:ascii="Arial" w:hAnsi="Arial" w:cs="Arial"/>
          <w:b/>
          <w:bCs/>
        </w:rPr>
        <w:t>20 sources</w:t>
      </w:r>
      <w:r>
        <w:rPr>
          <w:rFonts w:ascii="Arial" w:hAnsi="Arial" w:cs="Arial"/>
        </w:rPr>
        <w:t>, with strong coverage of official, industry and scholarly material suitable for an undergraduate proposal.</w:t>
      </w:r>
    </w:p>
    <w:p w14:paraId="4DB8074D" w14:textId="77777777" w:rsidR="004B0DF8" w:rsidRDefault="004B0DF8" w:rsidP="004B0DF8">
      <w:pPr>
        <w:spacing w:line="360" w:lineRule="auto"/>
        <w:jc w:val="both"/>
        <w:rPr>
          <w:rFonts w:ascii="Arial" w:hAnsi="Arial" w:cs="Arial"/>
        </w:rPr>
      </w:pPr>
    </w:p>
    <w:p w14:paraId="4215C8B9" w14:textId="77777777" w:rsidR="004B0DF8" w:rsidRDefault="004B0DF8" w:rsidP="004B0DF8">
      <w:pPr>
        <w:spacing w:line="360" w:lineRule="auto"/>
        <w:jc w:val="both"/>
        <w:rPr>
          <w:rFonts w:ascii="Arial" w:hAnsi="Arial" w:cs="Arial"/>
        </w:rPr>
      </w:pPr>
    </w:p>
    <w:p w14:paraId="65DFB53C" w14:textId="77777777" w:rsidR="004B0DF8" w:rsidRDefault="004B0DF8" w:rsidP="004B0DF8">
      <w:pPr>
        <w:spacing w:line="360" w:lineRule="auto"/>
        <w:jc w:val="both"/>
        <w:rPr>
          <w:rFonts w:ascii="Arial" w:hAnsi="Arial" w:cs="Arial"/>
        </w:rPr>
      </w:pPr>
    </w:p>
    <w:p w14:paraId="372ED24A" w14:textId="77777777" w:rsidR="004B0DF8" w:rsidRDefault="004B0DF8" w:rsidP="004B0DF8">
      <w:pPr>
        <w:spacing w:line="360" w:lineRule="auto"/>
        <w:jc w:val="both"/>
        <w:rPr>
          <w:rFonts w:ascii="Arial" w:hAnsi="Arial" w:cs="Arial"/>
        </w:rPr>
      </w:pPr>
    </w:p>
    <w:p w14:paraId="43D4D581" w14:textId="77777777" w:rsidR="004B0DF8" w:rsidRDefault="004B0DF8" w:rsidP="004B0DF8">
      <w:pPr>
        <w:spacing w:line="360" w:lineRule="auto"/>
        <w:jc w:val="both"/>
        <w:rPr>
          <w:rFonts w:ascii="Arial" w:hAnsi="Arial" w:cs="Arial"/>
        </w:rPr>
      </w:pPr>
    </w:p>
    <w:bookmarkStart w:id="15" w:name="_Toc235867399" w:displacedByCustomXml="next"/>
    <w:sdt>
      <w:sdtPr>
        <w:rPr>
          <w:rFonts w:asciiTheme="minorHAnsi" w:eastAsiaTheme="minorEastAsia" w:hAnsiTheme="minorHAnsi" w:cstheme="minorBidi"/>
          <w:color w:val="auto"/>
          <w:sz w:val="24"/>
          <w:szCs w:val="24"/>
        </w:rPr>
        <w:id w:val="140855303"/>
        <w:docPartObj>
          <w:docPartGallery w:val="Bibliographies"/>
          <w:docPartUnique/>
        </w:docPartObj>
      </w:sdtPr>
      <w:sdtEndPr>
        <w:rPr>
          <w:rFonts w:ascii="Aptos" w:eastAsia="Aptos" w:hAnsi="Aptos" w:cs="Times New Roman"/>
          <w:sz w:val="22"/>
          <w:szCs w:val="22"/>
        </w:rPr>
      </w:sdtEndPr>
      <w:sdtContent>
        <w:p w14:paraId="057D4712" w14:textId="77777777" w:rsidR="004B0DF8" w:rsidRPr="004E3B86" w:rsidRDefault="004B0DF8" w:rsidP="004B0DF8">
          <w:pPr>
            <w:pStyle w:val="Heading1"/>
            <w:rPr>
              <w:b/>
              <w:bCs/>
            </w:rPr>
          </w:pPr>
          <w:r w:rsidRPr="004E3B86">
            <w:rPr>
              <w:b/>
              <w:bCs/>
            </w:rPr>
            <w:t>References</w:t>
          </w:r>
          <w:bookmarkEnd w:id="15"/>
        </w:p>
        <w:sdt>
          <w:sdtPr>
            <w:rPr>
              <w:rFonts w:ascii="Aptos" w:eastAsia="Aptos" w:hAnsi="Aptos" w:cs="Times New Roman"/>
              <w:kern w:val="3"/>
              <w:sz w:val="22"/>
              <w:szCs w:val="22"/>
              <w:lang w:eastAsia="en-US"/>
              <w14:ligatures w14:val="none"/>
            </w:rPr>
            <w:id w:val="-573587230"/>
            <w:bibliography/>
          </w:sdtPr>
          <w:sdtEndPr/>
          <w:sdtContent>
            <w:p w14:paraId="321C28C6" w14:textId="77777777" w:rsidR="004B0DF8" w:rsidRDefault="004B0DF8" w:rsidP="004B0DF8">
              <w:pPr>
                <w:pStyle w:val="Bibliography"/>
                <w:rPr>
                  <w:noProof/>
                </w:rPr>
              </w:pPr>
              <w:r>
                <w:rPr>
                  <w:kern w:val="2"/>
                </w:rPr>
                <w:fldChar w:fldCharType="begin"/>
              </w:r>
              <w:r>
                <w:instrText xml:space="preserve"> BIBLIOGRAPHY </w:instrText>
              </w:r>
              <w:r>
                <w:rPr>
                  <w:kern w:val="2"/>
                </w:rPr>
                <w:fldChar w:fldCharType="separate"/>
              </w:r>
              <w:r>
                <w:rPr>
                  <w:noProof/>
                </w:rPr>
                <w:t xml:space="preserve">Muhammad Zia Hydari, Yangfan , L., Rahul , T. &amp; Rahul , T., (2025). </w:t>
              </w:r>
              <w:r>
                <w:rPr>
                  <w:i/>
                  <w:iCs/>
                  <w:noProof/>
                </w:rPr>
                <w:t xml:space="preserve">Sound and Fury, /signifying nothing? Impact of data Breach Disclosure Laws. </w:t>
              </w:r>
              <w:r>
                <w:rPr>
                  <w:noProof/>
                </w:rPr>
                <w:t xml:space="preserve">[Online] </w:t>
              </w:r>
              <w:r>
                <w:rPr>
                  <w:noProof/>
                </w:rPr>
                <w:br/>
                <w:t xml:space="preserve">Available at: </w:t>
              </w:r>
              <w:r>
                <w:rPr>
                  <w:noProof/>
                  <w:u w:val="single"/>
                </w:rPr>
                <w:t>https://arxiv.org/abs/2406.15215?utm_source=chatgpt.com</w:t>
              </w:r>
              <w:r>
                <w:rPr>
                  <w:noProof/>
                </w:rPr>
                <w:br/>
                <w:t>[Accessed 15 July 2026].</w:t>
              </w:r>
            </w:p>
            <w:p w14:paraId="7D550659" w14:textId="77777777" w:rsidR="004B0DF8" w:rsidRDefault="004B0DF8" w:rsidP="004B0DF8">
              <w:pPr>
                <w:pStyle w:val="Bibliography"/>
                <w:rPr>
                  <w:noProof/>
                </w:rPr>
              </w:pPr>
              <w:r>
                <w:rPr>
                  <w:noProof/>
                </w:rPr>
                <w:t xml:space="preserve">NCSC, (2018). </w:t>
              </w:r>
              <w:r>
                <w:rPr>
                  <w:i/>
                  <w:iCs/>
                  <w:noProof/>
                </w:rPr>
                <w:t xml:space="preserve">Supply chain security guidance. </w:t>
              </w:r>
              <w:r>
                <w:rPr>
                  <w:noProof/>
                </w:rPr>
                <w:t xml:space="preserve">[Online] </w:t>
              </w:r>
              <w:r>
                <w:rPr>
                  <w:noProof/>
                </w:rPr>
                <w:br/>
                <w:t xml:space="preserve">Available at: </w:t>
              </w:r>
              <w:r>
                <w:rPr>
                  <w:noProof/>
                  <w:u w:val="single"/>
                </w:rPr>
                <w:t>https://www.ncsc.gov.uk/collection/supply-chain-security</w:t>
              </w:r>
              <w:r>
                <w:rPr>
                  <w:noProof/>
                </w:rPr>
                <w:br/>
                <w:t>[Accessed 15 July 206].</w:t>
              </w:r>
            </w:p>
            <w:p w14:paraId="41E17D0B" w14:textId="77777777" w:rsidR="004B0DF8" w:rsidRDefault="004B0DF8" w:rsidP="004B0DF8">
              <w:pPr>
                <w:pStyle w:val="Bibliography"/>
                <w:rPr>
                  <w:noProof/>
                </w:rPr>
              </w:pPr>
              <w:r>
                <w:rPr>
                  <w:noProof/>
                </w:rPr>
                <w:t xml:space="preserve">NIST, (2026). </w:t>
              </w:r>
              <w:r>
                <w:rPr>
                  <w:i/>
                  <w:iCs/>
                  <w:noProof/>
                </w:rPr>
                <w:t xml:space="preserve">Cybersecurity Framework /NIST. </w:t>
              </w:r>
              <w:r>
                <w:rPr>
                  <w:noProof/>
                </w:rPr>
                <w:t xml:space="preserve">[Online] </w:t>
              </w:r>
              <w:r>
                <w:rPr>
                  <w:noProof/>
                </w:rPr>
                <w:br/>
                <w:t xml:space="preserve">Available at: </w:t>
              </w:r>
              <w:r>
                <w:rPr>
                  <w:noProof/>
                  <w:u w:val="single"/>
                </w:rPr>
                <w:t>https://www.nist.gov/cyberframework</w:t>
              </w:r>
              <w:r>
                <w:rPr>
                  <w:noProof/>
                </w:rPr>
                <w:br/>
                <w:t>[Accessed 15 July 2026].</w:t>
              </w:r>
            </w:p>
            <w:p w14:paraId="0286DA74" w14:textId="77777777" w:rsidR="004B0DF8" w:rsidRDefault="004B0DF8" w:rsidP="004B0DF8">
              <w:pPr>
                <w:pStyle w:val="Bibliography"/>
                <w:rPr>
                  <w:noProof/>
                </w:rPr>
              </w:pPr>
              <w:r>
                <w:rPr>
                  <w:noProof/>
                </w:rPr>
                <w:t xml:space="preserve">Reuters, (2025). </w:t>
              </w:r>
              <w:r>
                <w:rPr>
                  <w:i/>
                  <w:iCs/>
                  <w:noProof/>
                </w:rPr>
                <w:t xml:space="preserve">Britain's M&amp;S stops taking online orders after cyber attack. </w:t>
              </w:r>
              <w:r>
                <w:rPr>
                  <w:noProof/>
                </w:rPr>
                <w:t xml:space="preserve">[Online] </w:t>
              </w:r>
              <w:r>
                <w:rPr>
                  <w:noProof/>
                </w:rPr>
                <w:br/>
                <w:t xml:space="preserve">Available at: </w:t>
              </w:r>
              <w:r>
                <w:rPr>
                  <w:noProof/>
                  <w:u w:val="single"/>
                </w:rPr>
                <w:t>https://www.reuters.com/business/retail-consumer/britains-ms-pauses-some-online-orders-after-cyber-incident-2025-04-25/?utm_source=chatgpt.com</w:t>
              </w:r>
              <w:r>
                <w:rPr>
                  <w:noProof/>
                </w:rPr>
                <w:br/>
                <w:t>[Accessed 15 July 2026].</w:t>
              </w:r>
            </w:p>
            <w:p w14:paraId="0A774440" w14:textId="77777777" w:rsidR="004B0DF8" w:rsidRDefault="004B0DF8" w:rsidP="004B0DF8">
              <w:pPr>
                <w:pStyle w:val="Bibliography"/>
                <w:rPr>
                  <w:noProof/>
                </w:rPr>
              </w:pPr>
              <w:r>
                <w:rPr>
                  <w:noProof/>
                </w:rPr>
                <w:t xml:space="preserve">Reuters, (2025). </w:t>
              </w:r>
              <w:r>
                <w:rPr>
                  <w:i/>
                  <w:iCs/>
                  <w:noProof/>
                </w:rPr>
                <w:t xml:space="preserve">Bbritish food and clothing group M&amp;S disclosescyber incidentR. </w:t>
              </w:r>
              <w:r>
                <w:rPr>
                  <w:noProof/>
                </w:rPr>
                <w:t xml:space="preserve">[Online] </w:t>
              </w:r>
              <w:r>
                <w:rPr>
                  <w:noProof/>
                </w:rPr>
                <w:br/>
                <w:t xml:space="preserve">Available at: </w:t>
              </w:r>
              <w:r>
                <w:rPr>
                  <w:noProof/>
                  <w:u w:val="single"/>
                </w:rPr>
                <w:t>https://www.reuters.com/business/retail-consumer/british-retailer-ms-discloses-cyber-incident-2025-04-22/?utm_source=chatgpt.com</w:t>
              </w:r>
              <w:r>
                <w:rPr>
                  <w:noProof/>
                </w:rPr>
                <w:br/>
                <w:t>[Accessed 15 July 2026].</w:t>
              </w:r>
            </w:p>
            <w:p w14:paraId="1C81EFE5" w14:textId="77777777" w:rsidR="004B0DF8" w:rsidRDefault="004B0DF8" w:rsidP="004B0DF8">
              <w:pPr>
                <w:pStyle w:val="Bibliography"/>
                <w:rPr>
                  <w:noProof/>
                </w:rPr>
              </w:pPr>
              <w:r>
                <w:rPr>
                  <w:noProof/>
                </w:rPr>
                <w:t xml:space="preserve">Reuters, (2025). </w:t>
              </w:r>
              <w:r>
                <w:rPr>
                  <w:i/>
                  <w:iCs/>
                  <w:noProof/>
                </w:rPr>
                <w:t xml:space="preserve">British food and clothing group M&amp;S discloses cyber incident. </w:t>
              </w:r>
              <w:r>
                <w:rPr>
                  <w:noProof/>
                </w:rPr>
                <w:t xml:space="preserve">[Online] </w:t>
              </w:r>
              <w:r>
                <w:rPr>
                  <w:noProof/>
                </w:rPr>
                <w:br/>
                <w:t xml:space="preserve">Available at: </w:t>
              </w:r>
              <w:r>
                <w:rPr>
                  <w:noProof/>
                  <w:u w:val="single"/>
                </w:rPr>
                <w:t>https://www.reuters.com/business/retail-consumer/british-retailer-ms-discloses-cyber-incident-2025-04-22/?utm_source=chatgpt.com</w:t>
              </w:r>
              <w:r>
                <w:rPr>
                  <w:noProof/>
                </w:rPr>
                <w:br/>
                <w:t>[Accessed 15 July (2026)].</w:t>
              </w:r>
            </w:p>
            <w:p w14:paraId="3FDCE7D8" w14:textId="77777777" w:rsidR="004B0DF8" w:rsidRDefault="004B0DF8" w:rsidP="004B0DF8">
              <w:pPr>
                <w:pStyle w:val="Bibliography"/>
                <w:rPr>
                  <w:noProof/>
                </w:rPr>
              </w:pPr>
              <w:r>
                <w:rPr>
                  <w:noProof/>
                </w:rPr>
                <w:t xml:space="preserve">Rizvi, S., (2025). </w:t>
              </w:r>
              <w:r>
                <w:rPr>
                  <w:i/>
                  <w:iCs/>
                  <w:noProof/>
                </w:rPr>
                <w:t xml:space="preserve">Cyber security breaches survey 2025 - GOV.UK. </w:t>
              </w:r>
              <w:r>
                <w:rPr>
                  <w:noProof/>
                </w:rPr>
                <w:t xml:space="preserve">[Online] </w:t>
              </w:r>
              <w:r>
                <w:rPr>
                  <w:noProof/>
                </w:rPr>
                <w:br/>
                <w:t xml:space="preserve">Available at: </w:t>
              </w:r>
              <w:r>
                <w:rPr>
                  <w:noProof/>
                  <w:u w:val="single"/>
                </w:rPr>
                <w:t>https:/www.gov.uk/government/statistics/cyber-security-breaches-survey-2025/cyber-security-breaches-survey-2025</w:t>
              </w:r>
              <w:r>
                <w:rPr>
                  <w:noProof/>
                </w:rPr>
                <w:br/>
                <w:t>[Accessed 15 July 2026].</w:t>
              </w:r>
            </w:p>
            <w:p w14:paraId="18B714E3" w14:textId="77777777" w:rsidR="004B0DF8" w:rsidRDefault="004B0DF8" w:rsidP="004B0DF8">
              <w:pPr>
                <w:pStyle w:val="Bibliography"/>
                <w:rPr>
                  <w:noProof/>
                </w:rPr>
              </w:pPr>
              <w:r>
                <w:rPr>
                  <w:noProof/>
                </w:rPr>
                <w:t xml:space="preserve">Severibo, J., (2025). </w:t>
              </w:r>
              <w:r>
                <w:rPr>
                  <w:i/>
                  <w:iCs/>
                  <w:noProof/>
                </w:rPr>
                <w:t xml:space="preserve">The 2025 Marks &amp; Spencer Cyberattack, </w:t>
              </w:r>
              <w:r>
                <w:rPr>
                  <w:noProof/>
                </w:rPr>
                <w:t>s.l.: Applying the Diamond Model.</w:t>
              </w:r>
            </w:p>
            <w:p w14:paraId="10B46B7E" w14:textId="077BA31F" w:rsidR="006B374C" w:rsidRPr="006B374C" w:rsidRDefault="004B0DF8" w:rsidP="003512BE">
              <w:r>
                <w:rPr>
                  <w:b/>
                  <w:bCs/>
                  <w:noProof/>
                </w:rPr>
                <w:fldChar w:fldCharType="end"/>
              </w:r>
            </w:p>
          </w:sdtContent>
        </w:sdt>
      </w:sdtContent>
    </w:sdt>
    <w:sectPr w:rsidR="006B374C" w:rsidRPr="006B374C" w:rsidSect="00E97EB5">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42034"/>
    <w:multiLevelType w:val="hybridMultilevel"/>
    <w:tmpl w:val="45C0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10A0C"/>
    <w:multiLevelType w:val="hybridMultilevel"/>
    <w:tmpl w:val="934C4FC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C707573"/>
    <w:multiLevelType w:val="hybridMultilevel"/>
    <w:tmpl w:val="35847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85774"/>
    <w:multiLevelType w:val="hybridMultilevel"/>
    <w:tmpl w:val="56C42B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9B15C97"/>
    <w:multiLevelType w:val="hybridMultilevel"/>
    <w:tmpl w:val="9748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753879">
    <w:abstractNumId w:val="0"/>
  </w:num>
  <w:num w:numId="2" w16cid:durableId="1254776885">
    <w:abstractNumId w:val="2"/>
  </w:num>
  <w:num w:numId="3" w16cid:durableId="1265461788">
    <w:abstractNumId w:val="4"/>
  </w:num>
  <w:num w:numId="4" w16cid:durableId="557667131">
    <w:abstractNumId w:val="1"/>
  </w:num>
  <w:num w:numId="5" w16cid:durableId="13540396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2A7"/>
    <w:rsid w:val="00095988"/>
    <w:rsid w:val="0018386A"/>
    <w:rsid w:val="001A0881"/>
    <w:rsid w:val="001A0F07"/>
    <w:rsid w:val="00204CF4"/>
    <w:rsid w:val="002565D8"/>
    <w:rsid w:val="002B015F"/>
    <w:rsid w:val="002E38E7"/>
    <w:rsid w:val="003512BE"/>
    <w:rsid w:val="00396574"/>
    <w:rsid w:val="003B7C53"/>
    <w:rsid w:val="003C6240"/>
    <w:rsid w:val="00400F72"/>
    <w:rsid w:val="004449A2"/>
    <w:rsid w:val="00457E3C"/>
    <w:rsid w:val="004663BB"/>
    <w:rsid w:val="004752A7"/>
    <w:rsid w:val="00477441"/>
    <w:rsid w:val="004A257E"/>
    <w:rsid w:val="004B0DF8"/>
    <w:rsid w:val="00510AE3"/>
    <w:rsid w:val="00553E64"/>
    <w:rsid w:val="00561670"/>
    <w:rsid w:val="006166EB"/>
    <w:rsid w:val="0069621C"/>
    <w:rsid w:val="006B374C"/>
    <w:rsid w:val="00706F0B"/>
    <w:rsid w:val="007074EA"/>
    <w:rsid w:val="00775281"/>
    <w:rsid w:val="007D6861"/>
    <w:rsid w:val="008067C8"/>
    <w:rsid w:val="008159EE"/>
    <w:rsid w:val="008363F9"/>
    <w:rsid w:val="00860432"/>
    <w:rsid w:val="00874DF7"/>
    <w:rsid w:val="008C1AB3"/>
    <w:rsid w:val="009358C6"/>
    <w:rsid w:val="00937A87"/>
    <w:rsid w:val="00942BFF"/>
    <w:rsid w:val="00986D0C"/>
    <w:rsid w:val="009C26EA"/>
    <w:rsid w:val="00A00141"/>
    <w:rsid w:val="00A5461F"/>
    <w:rsid w:val="00A70B5D"/>
    <w:rsid w:val="00AA0E0F"/>
    <w:rsid w:val="00AB4715"/>
    <w:rsid w:val="00AB4EDF"/>
    <w:rsid w:val="00B600BA"/>
    <w:rsid w:val="00B771CE"/>
    <w:rsid w:val="00B93D6C"/>
    <w:rsid w:val="00C30512"/>
    <w:rsid w:val="00C967FA"/>
    <w:rsid w:val="00CB3BDE"/>
    <w:rsid w:val="00D24805"/>
    <w:rsid w:val="00D811F1"/>
    <w:rsid w:val="00DA7873"/>
    <w:rsid w:val="00E77A0B"/>
    <w:rsid w:val="00E97E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8C93"/>
  <w15:chartTrackingRefBased/>
  <w15:docId w15:val="{1AB26A10-443A-4D4B-8A5C-338E4CBC9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0"/>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2A7"/>
    <w:pPr>
      <w:suppressAutoHyphens/>
      <w:autoSpaceDN w:val="0"/>
      <w:spacing w:line="25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475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2A7"/>
    <w:rPr>
      <w:rFonts w:eastAsiaTheme="majorEastAsia" w:cstheme="majorBidi"/>
      <w:color w:val="272727" w:themeColor="text1" w:themeTint="D8"/>
    </w:rPr>
  </w:style>
  <w:style w:type="paragraph" w:styleId="Title">
    <w:name w:val="Title"/>
    <w:basedOn w:val="Normal"/>
    <w:next w:val="Normal"/>
    <w:link w:val="TitleChar"/>
    <w:uiPriority w:val="10"/>
    <w:qFormat/>
    <w:rsid w:val="00475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2A7"/>
    <w:pPr>
      <w:spacing w:before="160"/>
      <w:jc w:val="center"/>
    </w:pPr>
    <w:rPr>
      <w:i/>
      <w:iCs/>
      <w:color w:val="404040" w:themeColor="text1" w:themeTint="BF"/>
    </w:rPr>
  </w:style>
  <w:style w:type="character" w:customStyle="1" w:styleId="QuoteChar">
    <w:name w:val="Quote Char"/>
    <w:basedOn w:val="DefaultParagraphFont"/>
    <w:link w:val="Quote"/>
    <w:uiPriority w:val="29"/>
    <w:rsid w:val="004752A7"/>
    <w:rPr>
      <w:i/>
      <w:iCs/>
      <w:color w:val="404040" w:themeColor="text1" w:themeTint="BF"/>
    </w:rPr>
  </w:style>
  <w:style w:type="paragraph" w:styleId="ListParagraph">
    <w:name w:val="List Paragraph"/>
    <w:basedOn w:val="Normal"/>
    <w:uiPriority w:val="34"/>
    <w:qFormat/>
    <w:rsid w:val="004752A7"/>
    <w:pPr>
      <w:ind w:left="720"/>
      <w:contextualSpacing/>
    </w:pPr>
  </w:style>
  <w:style w:type="character" w:styleId="IntenseEmphasis">
    <w:name w:val="Intense Emphasis"/>
    <w:basedOn w:val="DefaultParagraphFont"/>
    <w:uiPriority w:val="21"/>
    <w:qFormat/>
    <w:rsid w:val="004752A7"/>
    <w:rPr>
      <w:i/>
      <w:iCs/>
      <w:color w:val="0F4761" w:themeColor="accent1" w:themeShade="BF"/>
    </w:rPr>
  </w:style>
  <w:style w:type="paragraph" w:styleId="IntenseQuote">
    <w:name w:val="Intense Quote"/>
    <w:basedOn w:val="Normal"/>
    <w:next w:val="Normal"/>
    <w:link w:val="IntenseQuoteChar"/>
    <w:uiPriority w:val="30"/>
    <w:qFormat/>
    <w:rsid w:val="00475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2A7"/>
    <w:rPr>
      <w:i/>
      <w:iCs/>
      <w:color w:val="0F4761" w:themeColor="accent1" w:themeShade="BF"/>
    </w:rPr>
  </w:style>
  <w:style w:type="character" w:styleId="IntenseReference">
    <w:name w:val="Intense Reference"/>
    <w:basedOn w:val="DefaultParagraphFont"/>
    <w:uiPriority w:val="32"/>
    <w:qFormat/>
    <w:rsid w:val="004752A7"/>
    <w:rPr>
      <w:b/>
      <w:bCs/>
      <w:smallCaps/>
      <w:color w:val="0F4761" w:themeColor="accent1" w:themeShade="BF"/>
      <w:spacing w:val="5"/>
    </w:rPr>
  </w:style>
  <w:style w:type="paragraph" w:styleId="NoSpacing">
    <w:name w:val="No Spacing"/>
    <w:link w:val="NoSpacingChar"/>
    <w:uiPriority w:val="1"/>
    <w:qFormat/>
    <w:rsid w:val="004752A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52A7"/>
    <w:rPr>
      <w:rFonts w:eastAsiaTheme="minorEastAsia"/>
      <w:kern w:val="0"/>
      <w:lang w:val="en-US"/>
      <w14:ligatures w14:val="none"/>
    </w:rPr>
  </w:style>
  <w:style w:type="paragraph" w:styleId="Bibliography">
    <w:name w:val="Bibliography"/>
    <w:basedOn w:val="Normal"/>
    <w:next w:val="Normal"/>
    <w:uiPriority w:val="37"/>
    <w:unhideWhenUsed/>
    <w:rsid w:val="004B0DF8"/>
    <w:pPr>
      <w:suppressAutoHyphens w:val="0"/>
      <w:autoSpaceDN/>
      <w:spacing w:line="278" w:lineRule="auto"/>
    </w:pPr>
    <w:rPr>
      <w:rFonts w:asciiTheme="minorHAnsi" w:eastAsiaTheme="minorEastAsia" w:hAnsiTheme="minorHAnsi" w:cstheme="minorBidi"/>
      <w:kern w:val="0"/>
      <w:sz w:val="24"/>
      <w:szCs w:val="24"/>
      <w:lang w:eastAsia="zh-CN"/>
      <w14:ligatures w14:val="standardContextual"/>
    </w:rPr>
  </w:style>
  <w:style w:type="table" w:styleId="PlainTable1">
    <w:name w:val="Plain Table 1"/>
    <w:basedOn w:val="TableNormal"/>
    <w:rsid w:val="004B0DF8"/>
    <w:pPr>
      <w:spacing w:after="0" w:line="240" w:lineRule="auto"/>
    </w:pPr>
    <w:rPr>
      <w:rFonts w:eastAsiaTheme="minorEastAsia"/>
      <w:kern w:val="0"/>
      <w:sz w:val="24"/>
      <w:szCs w:val="24"/>
      <w:lang w:eastAsia="zh-CN"/>
    </w:r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paragraph" w:styleId="Caption">
    <w:name w:val="caption"/>
    <w:basedOn w:val="Normal"/>
    <w:next w:val="Normal"/>
    <w:uiPriority w:val="35"/>
    <w:unhideWhenUsed/>
    <w:qFormat/>
    <w:rsid w:val="004B0DF8"/>
    <w:pPr>
      <w:suppressAutoHyphens w:val="0"/>
      <w:autoSpaceDN/>
      <w:spacing w:after="200" w:line="240" w:lineRule="auto"/>
    </w:pPr>
    <w:rPr>
      <w:rFonts w:asciiTheme="minorHAnsi" w:eastAsiaTheme="minorEastAsia" w:hAnsiTheme="minorHAnsi" w:cstheme="minorBidi"/>
      <w:i/>
      <w:iCs/>
      <w:color w:val="0E2841" w:themeColor="text2"/>
      <w:kern w:val="0"/>
      <w:sz w:val="18"/>
      <w:szCs w:val="18"/>
      <w:lang w:eastAsia="zh-CN"/>
      <w14:ligatures w14:val="standardContextual"/>
    </w:rPr>
  </w:style>
  <w:style w:type="paragraph" w:styleId="TOC2">
    <w:name w:val="toc 2"/>
    <w:basedOn w:val="Normal"/>
    <w:next w:val="Normal"/>
    <w:uiPriority w:val="39"/>
    <w:unhideWhenUsed/>
    <w:rsid w:val="004B0DF8"/>
    <w:pPr>
      <w:suppressAutoHyphens w:val="0"/>
      <w:autoSpaceDN/>
      <w:spacing w:after="100" w:line="278" w:lineRule="auto"/>
      <w:ind w:left="220"/>
    </w:pPr>
    <w:rPr>
      <w:rFonts w:asciiTheme="minorHAnsi" w:eastAsiaTheme="minorEastAsia" w:hAnsiTheme="minorHAnsi" w:cstheme="minorBidi"/>
      <w:kern w:val="0"/>
      <w:sz w:val="24"/>
      <w:szCs w:val="24"/>
      <w:lang w:eastAsia="zh-CN"/>
      <w14:ligatures w14:val="standardContextual"/>
    </w:rPr>
  </w:style>
  <w:style w:type="paragraph" w:styleId="TOCHeading">
    <w:name w:val="TOC Heading"/>
    <w:basedOn w:val="Heading1"/>
    <w:next w:val="Normal"/>
    <w:uiPriority w:val="39"/>
    <w:unhideWhenUsed/>
    <w:qFormat/>
    <w:rsid w:val="004B0DF8"/>
    <w:pPr>
      <w:suppressAutoHyphens w:val="0"/>
      <w:autoSpaceDN/>
      <w:spacing w:before="240" w:after="0" w:line="259" w:lineRule="auto"/>
      <w:outlineLvl w:val="9"/>
    </w:pPr>
    <w:rPr>
      <w:kern w:val="0"/>
      <w:sz w:val="32"/>
      <w:szCs w:val="32"/>
      <w:lang w:eastAsia="zh-CN"/>
    </w:rPr>
  </w:style>
  <w:style w:type="paragraph" w:styleId="TOC1">
    <w:name w:val="toc 1"/>
    <w:basedOn w:val="Normal"/>
    <w:next w:val="Normal"/>
    <w:uiPriority w:val="39"/>
    <w:unhideWhenUsed/>
    <w:rsid w:val="004B0DF8"/>
    <w:pPr>
      <w:suppressAutoHyphens w:val="0"/>
      <w:autoSpaceDN/>
      <w:spacing w:after="100" w:line="278" w:lineRule="auto"/>
    </w:pPr>
    <w:rPr>
      <w:rFonts w:asciiTheme="minorHAnsi" w:eastAsiaTheme="minorEastAsia" w:hAnsiTheme="minorHAnsi" w:cstheme="minorBidi"/>
      <w:kern w:val="0"/>
      <w:sz w:val="24"/>
      <w:szCs w:val="24"/>
      <w:lang w:eastAsia="zh-CN"/>
      <w14:ligatures w14:val="standardContextual"/>
    </w:rPr>
  </w:style>
  <w:style w:type="character" w:styleId="Hyperlink">
    <w:name w:val="Hyperlink"/>
    <w:basedOn w:val="DefaultParagraphFont"/>
    <w:uiPriority w:val="99"/>
    <w:unhideWhenUsed/>
    <w:rsid w:val="004B0DF8"/>
    <w:rPr>
      <w:color w:val="467886" w:themeColor="hyperlink"/>
      <w:u w:val="single"/>
    </w:rPr>
  </w:style>
  <w:style w:type="paragraph" w:customStyle="1" w:styleId="Compact">
    <w:name w:val="Compact"/>
    <w:basedOn w:val="BodyText"/>
    <w:qFormat/>
    <w:rsid w:val="004B0DF8"/>
    <w:pPr>
      <w:suppressAutoHyphens w:val="0"/>
      <w:autoSpaceDN/>
      <w:spacing w:before="36" w:after="36" w:line="240" w:lineRule="auto"/>
    </w:pPr>
    <w:rPr>
      <w:rFonts w:asciiTheme="minorHAnsi" w:eastAsiaTheme="minorHAnsi" w:hAnsiTheme="minorHAnsi" w:cstheme="minorBidi"/>
      <w:kern w:val="0"/>
      <w:sz w:val="24"/>
      <w:szCs w:val="24"/>
      <w:lang w:val="en"/>
    </w:rPr>
  </w:style>
  <w:style w:type="paragraph" w:styleId="BodyText">
    <w:name w:val="Body Text"/>
    <w:basedOn w:val="Normal"/>
    <w:link w:val="BodyTextChar"/>
    <w:uiPriority w:val="99"/>
    <w:semiHidden/>
    <w:unhideWhenUsed/>
    <w:rsid w:val="004B0DF8"/>
    <w:pPr>
      <w:spacing w:after="120"/>
    </w:pPr>
  </w:style>
  <w:style w:type="character" w:customStyle="1" w:styleId="BodyTextChar">
    <w:name w:val="Body Text Char"/>
    <w:basedOn w:val="DefaultParagraphFont"/>
    <w:link w:val="BodyText"/>
    <w:uiPriority w:val="99"/>
    <w:semiHidden/>
    <w:rsid w:val="004B0DF8"/>
    <w:rPr>
      <w:rFonts w:ascii="Aptos" w:eastAsia="Aptos" w:hAnsi="Aptos" w:cs="Times New Roman"/>
      <w:kern w:val="3"/>
      <w14:ligatures w14:val="none"/>
    </w:rPr>
  </w:style>
  <w:style w:type="table" w:styleId="GridTable4">
    <w:name w:val="Grid Table 4"/>
    <w:basedOn w:val="TableNormal"/>
    <w:uiPriority w:val="49"/>
    <w:rsid w:val="00457E3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3F87A8-1A46-4770-BA27-485159FD9C32}" type="doc">
      <dgm:prSet loTypeId="urn:microsoft.com/office/officeart/2005/8/layout/chevron1" loCatId="process" qsTypeId="urn:microsoft.com/office/officeart/2005/8/quickstyle/simple2" qsCatId="simple" csTypeId="urn:microsoft.com/office/officeart/2005/8/colors/accent1_2" csCatId="accent1" phldr="1"/>
      <dgm:spPr/>
    </dgm:pt>
    <dgm:pt modelId="{79F7AF63-1047-4C18-8A3E-C600B34B9EA5}">
      <dgm:prSet phldrT="[Text]"/>
      <dgm:spPr/>
      <dgm:t>
        <a:bodyPr/>
        <a:lstStyle/>
        <a:p>
          <a:r>
            <a:rPr lang="en-GB"/>
            <a:t>collect public documents</a:t>
          </a:r>
        </a:p>
      </dgm:t>
    </dgm:pt>
    <dgm:pt modelId="{0EDFC366-14EA-4827-9BAB-B22D912B2240}" type="parTrans" cxnId="{05E8AFDF-7B6E-4942-B1F0-0DFF29A897B4}">
      <dgm:prSet/>
      <dgm:spPr/>
      <dgm:t>
        <a:bodyPr/>
        <a:lstStyle/>
        <a:p>
          <a:endParaRPr lang="en-GB"/>
        </a:p>
      </dgm:t>
    </dgm:pt>
    <dgm:pt modelId="{5C83E232-6DEC-4F25-8A11-1A5479511F62}" type="sibTrans" cxnId="{05E8AFDF-7B6E-4942-B1F0-0DFF29A897B4}">
      <dgm:prSet/>
      <dgm:spPr/>
      <dgm:t>
        <a:bodyPr/>
        <a:lstStyle/>
        <a:p>
          <a:endParaRPr lang="en-GB"/>
        </a:p>
      </dgm:t>
    </dgm:pt>
    <dgm:pt modelId="{AF9D9202-491E-422E-901F-B34D39177ADF}">
      <dgm:prSet phldrT="[Text]"/>
      <dgm:spPr/>
      <dgm:t>
        <a:bodyPr/>
        <a:lstStyle/>
        <a:p>
          <a:r>
            <a:rPr lang="en-GB"/>
            <a:t>Compare across source Types</a:t>
          </a:r>
        </a:p>
      </dgm:t>
    </dgm:pt>
    <dgm:pt modelId="{3C3D0DE1-671E-4F5E-9CF7-59ED6ACCF8F1}" type="parTrans" cxnId="{3779ADB4-F40C-4315-A198-253912A461D6}">
      <dgm:prSet/>
      <dgm:spPr/>
      <dgm:t>
        <a:bodyPr/>
        <a:lstStyle/>
        <a:p>
          <a:endParaRPr lang="en-GB"/>
        </a:p>
      </dgm:t>
    </dgm:pt>
    <dgm:pt modelId="{6AB09377-D541-4CA1-BFF9-EA438A61FCEF}" type="sibTrans" cxnId="{3779ADB4-F40C-4315-A198-253912A461D6}">
      <dgm:prSet/>
      <dgm:spPr/>
      <dgm:t>
        <a:bodyPr/>
        <a:lstStyle/>
        <a:p>
          <a:endParaRPr lang="en-GB"/>
        </a:p>
      </dgm:t>
    </dgm:pt>
    <dgm:pt modelId="{278A6A0B-8774-4469-BE08-8346D7EF277C}">
      <dgm:prSet phldrT="[Text]"/>
      <dgm:spPr/>
      <dgm:t>
        <a:bodyPr/>
        <a:lstStyle/>
        <a:p>
          <a:r>
            <a:rPr lang="en-GB"/>
            <a:t>Interpret finding against trust and resilience</a:t>
          </a:r>
        </a:p>
      </dgm:t>
    </dgm:pt>
    <dgm:pt modelId="{93D0C987-0908-426B-A7D7-64A9E02F530C}" type="parTrans" cxnId="{D1720DD1-E934-4950-9D11-54A1EE90B49F}">
      <dgm:prSet/>
      <dgm:spPr/>
      <dgm:t>
        <a:bodyPr/>
        <a:lstStyle/>
        <a:p>
          <a:endParaRPr lang="en-GB"/>
        </a:p>
      </dgm:t>
    </dgm:pt>
    <dgm:pt modelId="{0B71575A-E630-4E93-8C9B-506FA27B815E}" type="sibTrans" cxnId="{D1720DD1-E934-4950-9D11-54A1EE90B49F}">
      <dgm:prSet/>
      <dgm:spPr/>
      <dgm:t>
        <a:bodyPr/>
        <a:lstStyle/>
        <a:p>
          <a:endParaRPr lang="en-GB"/>
        </a:p>
      </dgm:t>
    </dgm:pt>
    <dgm:pt modelId="{042F0A2C-FE42-42BA-8226-D4F156623091}">
      <dgm:prSet phldrT="[Text]"/>
      <dgm:spPr/>
      <dgm:t>
        <a:bodyPr/>
        <a:lstStyle/>
        <a:p>
          <a:r>
            <a:rPr lang="en-GB"/>
            <a:t>Develop themes</a:t>
          </a:r>
        </a:p>
      </dgm:t>
    </dgm:pt>
    <dgm:pt modelId="{12530184-8A15-4278-ACE0-08A3975BB319}" type="parTrans" cxnId="{9E67396D-3081-4919-8766-B3D2641644E6}">
      <dgm:prSet/>
      <dgm:spPr/>
      <dgm:t>
        <a:bodyPr/>
        <a:lstStyle/>
        <a:p>
          <a:endParaRPr lang="en-GB"/>
        </a:p>
      </dgm:t>
    </dgm:pt>
    <dgm:pt modelId="{72329C09-BED2-4C36-8679-82D02506DCDF}" type="sibTrans" cxnId="{9E67396D-3081-4919-8766-B3D2641644E6}">
      <dgm:prSet/>
      <dgm:spPr/>
      <dgm:t>
        <a:bodyPr/>
        <a:lstStyle/>
        <a:p>
          <a:endParaRPr lang="en-GB"/>
        </a:p>
      </dgm:t>
    </dgm:pt>
    <dgm:pt modelId="{6DE264CD-3FE8-4809-8542-326A58B28C47}">
      <dgm:prSet phldrT="[Text]"/>
      <dgm:spPr/>
      <dgm:t>
        <a:bodyPr/>
        <a:lstStyle/>
        <a:p>
          <a:r>
            <a:rPr lang="en-GB"/>
            <a:t>Poen coding</a:t>
          </a:r>
        </a:p>
      </dgm:t>
    </dgm:pt>
    <dgm:pt modelId="{B53AA333-4FC5-4588-A646-99726F2560C3}" type="parTrans" cxnId="{1D63B869-608A-4733-A5D0-E4674B325BB6}">
      <dgm:prSet/>
      <dgm:spPr/>
      <dgm:t>
        <a:bodyPr/>
        <a:lstStyle/>
        <a:p>
          <a:endParaRPr lang="en-GB"/>
        </a:p>
      </dgm:t>
    </dgm:pt>
    <dgm:pt modelId="{16864496-47FF-49D7-BD84-2ED41FFDF42B}" type="sibTrans" cxnId="{1D63B869-608A-4733-A5D0-E4674B325BB6}">
      <dgm:prSet/>
      <dgm:spPr/>
      <dgm:t>
        <a:bodyPr/>
        <a:lstStyle/>
        <a:p>
          <a:endParaRPr lang="en-GB"/>
        </a:p>
      </dgm:t>
    </dgm:pt>
    <dgm:pt modelId="{D553BF6F-256D-4F28-92D9-019009BB1CBB}">
      <dgm:prSet phldrT="[Text]"/>
      <dgm:spPr/>
      <dgm:t>
        <a:bodyPr/>
        <a:lstStyle/>
        <a:p>
          <a:r>
            <a:rPr lang="en-GB"/>
            <a:t>Create source matrix</a:t>
          </a:r>
        </a:p>
      </dgm:t>
    </dgm:pt>
    <dgm:pt modelId="{C0D90F34-5EE1-443D-BA9D-AADE340A7FF1}" type="parTrans" cxnId="{46B3ED47-ED12-4351-ABD3-852F136ACFB7}">
      <dgm:prSet/>
      <dgm:spPr/>
      <dgm:t>
        <a:bodyPr/>
        <a:lstStyle/>
        <a:p>
          <a:endParaRPr lang="en-GB"/>
        </a:p>
      </dgm:t>
    </dgm:pt>
    <dgm:pt modelId="{0DE65147-B081-44DD-8C1B-BB240DCFFF7F}" type="sibTrans" cxnId="{46B3ED47-ED12-4351-ABD3-852F136ACFB7}">
      <dgm:prSet/>
      <dgm:spPr/>
      <dgm:t>
        <a:bodyPr/>
        <a:lstStyle/>
        <a:p>
          <a:endParaRPr lang="en-GB"/>
        </a:p>
      </dgm:t>
    </dgm:pt>
    <dgm:pt modelId="{14640C9F-F0CC-42F5-8AF8-D6C4D4BBCAE9}">
      <dgm:prSet phldrT="[Text]"/>
      <dgm:spPr/>
      <dgm:t>
        <a:bodyPr/>
        <a:lstStyle/>
        <a:p>
          <a:r>
            <a:rPr lang="en-GB"/>
            <a:t>Screen against inclusion criteria</a:t>
          </a:r>
        </a:p>
      </dgm:t>
    </dgm:pt>
    <dgm:pt modelId="{7CDE1E00-0876-439A-BF95-50511E241D75}" type="parTrans" cxnId="{73C6B4A8-3A80-4459-A2F8-B07B7B1DED8D}">
      <dgm:prSet/>
      <dgm:spPr/>
      <dgm:t>
        <a:bodyPr/>
        <a:lstStyle/>
        <a:p>
          <a:endParaRPr lang="en-GB"/>
        </a:p>
      </dgm:t>
    </dgm:pt>
    <dgm:pt modelId="{764C45CB-6A73-4705-9812-39625C6DF312}" type="sibTrans" cxnId="{73C6B4A8-3A80-4459-A2F8-B07B7B1DED8D}">
      <dgm:prSet/>
      <dgm:spPr/>
      <dgm:t>
        <a:bodyPr/>
        <a:lstStyle/>
        <a:p>
          <a:endParaRPr lang="en-GB"/>
        </a:p>
      </dgm:t>
    </dgm:pt>
    <dgm:pt modelId="{59176313-4EB6-446E-970E-5A5502434B92}" type="pres">
      <dgm:prSet presAssocID="{8A3F87A8-1A46-4770-BA27-485159FD9C32}" presName="Name0" presStyleCnt="0">
        <dgm:presLayoutVars>
          <dgm:dir/>
          <dgm:animLvl val="lvl"/>
          <dgm:resizeHandles val="exact"/>
        </dgm:presLayoutVars>
      </dgm:prSet>
      <dgm:spPr/>
    </dgm:pt>
    <dgm:pt modelId="{62AA96F9-BE59-4427-84AF-B910598E8ADC}" type="pres">
      <dgm:prSet presAssocID="{79F7AF63-1047-4C18-8A3E-C600B34B9EA5}" presName="parTxOnly" presStyleLbl="node1" presStyleIdx="0" presStyleCnt="7">
        <dgm:presLayoutVars>
          <dgm:chMax val="0"/>
          <dgm:chPref val="0"/>
          <dgm:bulletEnabled val="1"/>
        </dgm:presLayoutVars>
      </dgm:prSet>
      <dgm:spPr/>
    </dgm:pt>
    <dgm:pt modelId="{F3C01C29-7318-4DAE-9945-593592F6BAD3}" type="pres">
      <dgm:prSet presAssocID="{5C83E232-6DEC-4F25-8A11-1A5479511F62}" presName="parTxOnlySpace" presStyleCnt="0"/>
      <dgm:spPr/>
    </dgm:pt>
    <dgm:pt modelId="{34385568-4DE1-4486-A777-2134E8E864C8}" type="pres">
      <dgm:prSet presAssocID="{14640C9F-F0CC-42F5-8AF8-D6C4D4BBCAE9}" presName="parTxOnly" presStyleLbl="node1" presStyleIdx="1" presStyleCnt="7">
        <dgm:presLayoutVars>
          <dgm:chMax val="0"/>
          <dgm:chPref val="0"/>
          <dgm:bulletEnabled val="1"/>
        </dgm:presLayoutVars>
      </dgm:prSet>
      <dgm:spPr/>
    </dgm:pt>
    <dgm:pt modelId="{1246A7B3-334D-4CB3-923D-173C58A95205}" type="pres">
      <dgm:prSet presAssocID="{764C45CB-6A73-4705-9812-39625C6DF312}" presName="parTxOnlySpace" presStyleCnt="0"/>
      <dgm:spPr/>
    </dgm:pt>
    <dgm:pt modelId="{8B255055-5E49-4085-B9B7-AB524C60FE2C}" type="pres">
      <dgm:prSet presAssocID="{D553BF6F-256D-4F28-92D9-019009BB1CBB}" presName="parTxOnly" presStyleLbl="node1" presStyleIdx="2" presStyleCnt="7">
        <dgm:presLayoutVars>
          <dgm:chMax val="0"/>
          <dgm:chPref val="0"/>
          <dgm:bulletEnabled val="1"/>
        </dgm:presLayoutVars>
      </dgm:prSet>
      <dgm:spPr/>
    </dgm:pt>
    <dgm:pt modelId="{4C3233AE-6AC0-4499-B003-E9CAC3B6B420}" type="pres">
      <dgm:prSet presAssocID="{0DE65147-B081-44DD-8C1B-BB240DCFFF7F}" presName="parTxOnlySpace" presStyleCnt="0"/>
      <dgm:spPr/>
    </dgm:pt>
    <dgm:pt modelId="{A7DE68C6-F439-48F6-B092-153E576FDC4F}" type="pres">
      <dgm:prSet presAssocID="{6DE264CD-3FE8-4809-8542-326A58B28C47}" presName="parTxOnly" presStyleLbl="node1" presStyleIdx="3" presStyleCnt="7">
        <dgm:presLayoutVars>
          <dgm:chMax val="0"/>
          <dgm:chPref val="0"/>
          <dgm:bulletEnabled val="1"/>
        </dgm:presLayoutVars>
      </dgm:prSet>
      <dgm:spPr/>
    </dgm:pt>
    <dgm:pt modelId="{05FA3C50-C634-4BE0-9984-67504086F1CF}" type="pres">
      <dgm:prSet presAssocID="{16864496-47FF-49D7-BD84-2ED41FFDF42B}" presName="parTxOnlySpace" presStyleCnt="0"/>
      <dgm:spPr/>
    </dgm:pt>
    <dgm:pt modelId="{BF71912F-46BC-4687-B958-16D0AEB45A2E}" type="pres">
      <dgm:prSet presAssocID="{042F0A2C-FE42-42BA-8226-D4F156623091}" presName="parTxOnly" presStyleLbl="node1" presStyleIdx="4" presStyleCnt="7">
        <dgm:presLayoutVars>
          <dgm:chMax val="0"/>
          <dgm:chPref val="0"/>
          <dgm:bulletEnabled val="1"/>
        </dgm:presLayoutVars>
      </dgm:prSet>
      <dgm:spPr/>
    </dgm:pt>
    <dgm:pt modelId="{253F07A1-B177-49EB-8258-91378ECECF06}" type="pres">
      <dgm:prSet presAssocID="{72329C09-BED2-4C36-8679-82D02506DCDF}" presName="parTxOnlySpace" presStyleCnt="0"/>
      <dgm:spPr/>
    </dgm:pt>
    <dgm:pt modelId="{5180A0FC-9824-43DC-B14A-0254CC7DDAD0}" type="pres">
      <dgm:prSet presAssocID="{AF9D9202-491E-422E-901F-B34D39177ADF}" presName="parTxOnly" presStyleLbl="node1" presStyleIdx="5" presStyleCnt="7">
        <dgm:presLayoutVars>
          <dgm:chMax val="0"/>
          <dgm:chPref val="0"/>
          <dgm:bulletEnabled val="1"/>
        </dgm:presLayoutVars>
      </dgm:prSet>
      <dgm:spPr/>
    </dgm:pt>
    <dgm:pt modelId="{E492AB79-37F1-4026-A246-583E6A5039D0}" type="pres">
      <dgm:prSet presAssocID="{6AB09377-D541-4CA1-BFF9-EA438A61FCEF}" presName="parTxOnlySpace" presStyleCnt="0"/>
      <dgm:spPr/>
    </dgm:pt>
    <dgm:pt modelId="{95854638-02AF-48CE-85CF-7A6F483EB5CB}" type="pres">
      <dgm:prSet presAssocID="{278A6A0B-8774-4469-BE08-8346D7EF277C}" presName="parTxOnly" presStyleLbl="node1" presStyleIdx="6" presStyleCnt="7">
        <dgm:presLayoutVars>
          <dgm:chMax val="0"/>
          <dgm:chPref val="0"/>
          <dgm:bulletEnabled val="1"/>
        </dgm:presLayoutVars>
      </dgm:prSet>
      <dgm:spPr/>
    </dgm:pt>
  </dgm:ptLst>
  <dgm:cxnLst>
    <dgm:cxn modelId="{67C3C928-7F49-42E5-9069-0793C9802197}" type="presOf" srcId="{042F0A2C-FE42-42BA-8226-D4F156623091}" destId="{BF71912F-46BC-4687-B958-16D0AEB45A2E}" srcOrd="0" destOrd="0" presId="urn:microsoft.com/office/officeart/2005/8/layout/chevron1"/>
    <dgm:cxn modelId="{46B3ED47-ED12-4351-ABD3-852F136ACFB7}" srcId="{8A3F87A8-1A46-4770-BA27-485159FD9C32}" destId="{D553BF6F-256D-4F28-92D9-019009BB1CBB}" srcOrd="2" destOrd="0" parTransId="{C0D90F34-5EE1-443D-BA9D-AADE340A7FF1}" sibTransId="{0DE65147-B081-44DD-8C1B-BB240DCFFF7F}"/>
    <dgm:cxn modelId="{1D63B869-608A-4733-A5D0-E4674B325BB6}" srcId="{8A3F87A8-1A46-4770-BA27-485159FD9C32}" destId="{6DE264CD-3FE8-4809-8542-326A58B28C47}" srcOrd="3" destOrd="0" parTransId="{B53AA333-4FC5-4588-A646-99726F2560C3}" sibTransId="{16864496-47FF-49D7-BD84-2ED41FFDF42B}"/>
    <dgm:cxn modelId="{9E67396D-3081-4919-8766-B3D2641644E6}" srcId="{8A3F87A8-1A46-4770-BA27-485159FD9C32}" destId="{042F0A2C-FE42-42BA-8226-D4F156623091}" srcOrd="4" destOrd="0" parTransId="{12530184-8A15-4278-ACE0-08A3975BB319}" sibTransId="{72329C09-BED2-4C36-8679-82D02506DCDF}"/>
    <dgm:cxn modelId="{76E4F350-C2F0-4048-B1ED-537300FF1F49}" type="presOf" srcId="{AF9D9202-491E-422E-901F-B34D39177ADF}" destId="{5180A0FC-9824-43DC-B14A-0254CC7DDAD0}" srcOrd="0" destOrd="0" presId="urn:microsoft.com/office/officeart/2005/8/layout/chevron1"/>
    <dgm:cxn modelId="{202D6084-E523-4C35-A4BC-6E3FCA900480}" type="presOf" srcId="{79F7AF63-1047-4C18-8A3E-C600B34B9EA5}" destId="{62AA96F9-BE59-4427-84AF-B910598E8ADC}" srcOrd="0" destOrd="0" presId="urn:microsoft.com/office/officeart/2005/8/layout/chevron1"/>
    <dgm:cxn modelId="{50375B85-56A7-454E-831E-537A8EA3A36A}" type="presOf" srcId="{D553BF6F-256D-4F28-92D9-019009BB1CBB}" destId="{8B255055-5E49-4085-B9B7-AB524C60FE2C}" srcOrd="0" destOrd="0" presId="urn:microsoft.com/office/officeart/2005/8/layout/chevron1"/>
    <dgm:cxn modelId="{429898A0-24E1-4926-BE26-D385B0AFE2D7}" type="presOf" srcId="{6DE264CD-3FE8-4809-8542-326A58B28C47}" destId="{A7DE68C6-F439-48F6-B092-153E576FDC4F}" srcOrd="0" destOrd="0" presId="urn:microsoft.com/office/officeart/2005/8/layout/chevron1"/>
    <dgm:cxn modelId="{73C6B4A8-3A80-4459-A2F8-B07B7B1DED8D}" srcId="{8A3F87A8-1A46-4770-BA27-485159FD9C32}" destId="{14640C9F-F0CC-42F5-8AF8-D6C4D4BBCAE9}" srcOrd="1" destOrd="0" parTransId="{7CDE1E00-0876-439A-BF95-50511E241D75}" sibTransId="{764C45CB-6A73-4705-9812-39625C6DF312}"/>
    <dgm:cxn modelId="{3779ADB4-F40C-4315-A198-253912A461D6}" srcId="{8A3F87A8-1A46-4770-BA27-485159FD9C32}" destId="{AF9D9202-491E-422E-901F-B34D39177ADF}" srcOrd="5" destOrd="0" parTransId="{3C3D0DE1-671E-4F5E-9CF7-59ED6ACCF8F1}" sibTransId="{6AB09377-D541-4CA1-BFF9-EA438A61FCEF}"/>
    <dgm:cxn modelId="{92D57CCB-4F2E-4A98-9D3B-2DCD1FA3D939}" type="presOf" srcId="{14640C9F-F0CC-42F5-8AF8-D6C4D4BBCAE9}" destId="{34385568-4DE1-4486-A777-2134E8E864C8}" srcOrd="0" destOrd="0" presId="urn:microsoft.com/office/officeart/2005/8/layout/chevron1"/>
    <dgm:cxn modelId="{D1720DD1-E934-4950-9D11-54A1EE90B49F}" srcId="{8A3F87A8-1A46-4770-BA27-485159FD9C32}" destId="{278A6A0B-8774-4469-BE08-8346D7EF277C}" srcOrd="6" destOrd="0" parTransId="{93D0C987-0908-426B-A7D7-64A9E02F530C}" sibTransId="{0B71575A-E630-4E93-8C9B-506FA27B815E}"/>
    <dgm:cxn modelId="{05E8AFDF-7B6E-4942-B1F0-0DFF29A897B4}" srcId="{8A3F87A8-1A46-4770-BA27-485159FD9C32}" destId="{79F7AF63-1047-4C18-8A3E-C600B34B9EA5}" srcOrd="0" destOrd="0" parTransId="{0EDFC366-14EA-4827-9BAB-B22D912B2240}" sibTransId="{5C83E232-6DEC-4F25-8A11-1A5479511F62}"/>
    <dgm:cxn modelId="{36ECB0EB-4B31-4A27-B121-D5BAEA68051B}" type="presOf" srcId="{278A6A0B-8774-4469-BE08-8346D7EF277C}" destId="{95854638-02AF-48CE-85CF-7A6F483EB5CB}" srcOrd="0" destOrd="0" presId="urn:microsoft.com/office/officeart/2005/8/layout/chevron1"/>
    <dgm:cxn modelId="{A91787F6-5AF9-470A-BF11-95A5E5A75AA0}" type="presOf" srcId="{8A3F87A8-1A46-4770-BA27-485159FD9C32}" destId="{59176313-4EB6-446E-970E-5A5502434B92}" srcOrd="0" destOrd="0" presId="urn:microsoft.com/office/officeart/2005/8/layout/chevron1"/>
    <dgm:cxn modelId="{893FEBA7-13AE-490A-848F-962D07284DA2}" type="presParOf" srcId="{59176313-4EB6-446E-970E-5A5502434B92}" destId="{62AA96F9-BE59-4427-84AF-B910598E8ADC}" srcOrd="0" destOrd="0" presId="urn:microsoft.com/office/officeart/2005/8/layout/chevron1"/>
    <dgm:cxn modelId="{F53BD839-5E48-4CB0-91CC-77AFD6BCDE6C}" type="presParOf" srcId="{59176313-4EB6-446E-970E-5A5502434B92}" destId="{F3C01C29-7318-4DAE-9945-593592F6BAD3}" srcOrd="1" destOrd="0" presId="urn:microsoft.com/office/officeart/2005/8/layout/chevron1"/>
    <dgm:cxn modelId="{C9FB8A99-3AF0-45EB-B909-3A08B4E46818}" type="presParOf" srcId="{59176313-4EB6-446E-970E-5A5502434B92}" destId="{34385568-4DE1-4486-A777-2134E8E864C8}" srcOrd="2" destOrd="0" presId="urn:microsoft.com/office/officeart/2005/8/layout/chevron1"/>
    <dgm:cxn modelId="{604AF19E-0650-4F71-8103-C7F3E335A450}" type="presParOf" srcId="{59176313-4EB6-446E-970E-5A5502434B92}" destId="{1246A7B3-334D-4CB3-923D-173C58A95205}" srcOrd="3" destOrd="0" presId="urn:microsoft.com/office/officeart/2005/8/layout/chevron1"/>
    <dgm:cxn modelId="{66B9C085-C81A-4C42-B3D7-E787AE9C481C}" type="presParOf" srcId="{59176313-4EB6-446E-970E-5A5502434B92}" destId="{8B255055-5E49-4085-B9B7-AB524C60FE2C}" srcOrd="4" destOrd="0" presId="urn:microsoft.com/office/officeart/2005/8/layout/chevron1"/>
    <dgm:cxn modelId="{4C2B36F6-94B0-4189-A48C-61D75020BDDC}" type="presParOf" srcId="{59176313-4EB6-446E-970E-5A5502434B92}" destId="{4C3233AE-6AC0-4499-B003-E9CAC3B6B420}" srcOrd="5" destOrd="0" presId="urn:microsoft.com/office/officeart/2005/8/layout/chevron1"/>
    <dgm:cxn modelId="{ADBD59D0-B088-4C83-B7ED-38965BE7D645}" type="presParOf" srcId="{59176313-4EB6-446E-970E-5A5502434B92}" destId="{A7DE68C6-F439-48F6-B092-153E576FDC4F}" srcOrd="6" destOrd="0" presId="urn:microsoft.com/office/officeart/2005/8/layout/chevron1"/>
    <dgm:cxn modelId="{470E2E15-9D94-46B9-A17B-AD14948C37D3}" type="presParOf" srcId="{59176313-4EB6-446E-970E-5A5502434B92}" destId="{05FA3C50-C634-4BE0-9984-67504086F1CF}" srcOrd="7" destOrd="0" presId="urn:microsoft.com/office/officeart/2005/8/layout/chevron1"/>
    <dgm:cxn modelId="{A7A80C22-69D3-4FF0-A0AA-127ECCC2C22E}" type="presParOf" srcId="{59176313-4EB6-446E-970E-5A5502434B92}" destId="{BF71912F-46BC-4687-B958-16D0AEB45A2E}" srcOrd="8" destOrd="0" presId="urn:microsoft.com/office/officeart/2005/8/layout/chevron1"/>
    <dgm:cxn modelId="{8E66791B-466D-41EC-A80E-63B4265434B6}" type="presParOf" srcId="{59176313-4EB6-446E-970E-5A5502434B92}" destId="{253F07A1-B177-49EB-8258-91378ECECF06}" srcOrd="9" destOrd="0" presId="urn:microsoft.com/office/officeart/2005/8/layout/chevron1"/>
    <dgm:cxn modelId="{055622A9-E1E1-490F-9A4B-FE07E958684C}" type="presParOf" srcId="{59176313-4EB6-446E-970E-5A5502434B92}" destId="{5180A0FC-9824-43DC-B14A-0254CC7DDAD0}" srcOrd="10" destOrd="0" presId="urn:microsoft.com/office/officeart/2005/8/layout/chevron1"/>
    <dgm:cxn modelId="{ECCC2A15-C0C6-41C5-990D-8C0973D4FD23}" type="presParOf" srcId="{59176313-4EB6-446E-970E-5A5502434B92}" destId="{E492AB79-37F1-4026-A246-583E6A5039D0}" srcOrd="11" destOrd="0" presId="urn:microsoft.com/office/officeart/2005/8/layout/chevron1"/>
    <dgm:cxn modelId="{A379ED13-3465-4124-9060-3C1AE92F1B73}" type="presParOf" srcId="{59176313-4EB6-446E-970E-5A5502434B92}" destId="{95854638-02AF-48CE-85CF-7A6F483EB5CB}" srcOrd="12"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AA96F9-BE59-4427-84AF-B910598E8ADC}">
      <dsp:nvSpPr>
        <dsp:cNvPr id="0" name=""/>
        <dsp:cNvSpPr/>
      </dsp:nvSpPr>
      <dsp:spPr>
        <a:xfrm>
          <a:off x="0"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collect public documents</a:t>
          </a:r>
        </a:p>
      </dsp:txBody>
      <dsp:txXfrm>
        <a:off x="171450" y="266700"/>
        <a:ext cx="514350" cy="342899"/>
      </dsp:txXfrm>
    </dsp:sp>
    <dsp:sp modelId="{34385568-4DE1-4486-A777-2134E8E864C8}">
      <dsp:nvSpPr>
        <dsp:cNvPr id="0" name=""/>
        <dsp:cNvSpPr/>
      </dsp:nvSpPr>
      <dsp:spPr>
        <a:xfrm>
          <a:off x="771525"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Screen against inclusion criteria</a:t>
          </a:r>
        </a:p>
      </dsp:txBody>
      <dsp:txXfrm>
        <a:off x="942975" y="266700"/>
        <a:ext cx="514350" cy="342899"/>
      </dsp:txXfrm>
    </dsp:sp>
    <dsp:sp modelId="{8B255055-5E49-4085-B9B7-AB524C60FE2C}">
      <dsp:nvSpPr>
        <dsp:cNvPr id="0" name=""/>
        <dsp:cNvSpPr/>
      </dsp:nvSpPr>
      <dsp:spPr>
        <a:xfrm>
          <a:off x="1543049"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Create source matrix</a:t>
          </a:r>
        </a:p>
      </dsp:txBody>
      <dsp:txXfrm>
        <a:off x="1714499" y="266700"/>
        <a:ext cx="514350" cy="342899"/>
      </dsp:txXfrm>
    </dsp:sp>
    <dsp:sp modelId="{A7DE68C6-F439-48F6-B092-153E576FDC4F}">
      <dsp:nvSpPr>
        <dsp:cNvPr id="0" name=""/>
        <dsp:cNvSpPr/>
      </dsp:nvSpPr>
      <dsp:spPr>
        <a:xfrm>
          <a:off x="2314575"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Poen coding</a:t>
          </a:r>
        </a:p>
      </dsp:txBody>
      <dsp:txXfrm>
        <a:off x="2486025" y="266700"/>
        <a:ext cx="514350" cy="342899"/>
      </dsp:txXfrm>
    </dsp:sp>
    <dsp:sp modelId="{BF71912F-46BC-4687-B958-16D0AEB45A2E}">
      <dsp:nvSpPr>
        <dsp:cNvPr id="0" name=""/>
        <dsp:cNvSpPr/>
      </dsp:nvSpPr>
      <dsp:spPr>
        <a:xfrm>
          <a:off x="3086100"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Develop themes</a:t>
          </a:r>
        </a:p>
      </dsp:txBody>
      <dsp:txXfrm>
        <a:off x="3257550" y="266700"/>
        <a:ext cx="514350" cy="342899"/>
      </dsp:txXfrm>
    </dsp:sp>
    <dsp:sp modelId="{5180A0FC-9824-43DC-B14A-0254CC7DDAD0}">
      <dsp:nvSpPr>
        <dsp:cNvPr id="0" name=""/>
        <dsp:cNvSpPr/>
      </dsp:nvSpPr>
      <dsp:spPr>
        <a:xfrm>
          <a:off x="3857625"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Compare across source Types</a:t>
          </a:r>
        </a:p>
      </dsp:txBody>
      <dsp:txXfrm>
        <a:off x="4029075" y="266700"/>
        <a:ext cx="514350" cy="342899"/>
      </dsp:txXfrm>
    </dsp:sp>
    <dsp:sp modelId="{95854638-02AF-48CE-85CF-7A6F483EB5CB}">
      <dsp:nvSpPr>
        <dsp:cNvPr id="0" name=""/>
        <dsp:cNvSpPr/>
      </dsp:nvSpPr>
      <dsp:spPr>
        <a:xfrm>
          <a:off x="4629149" y="266700"/>
          <a:ext cx="857249" cy="342899"/>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Interpret finding against trust and resilience</a:t>
          </a:r>
        </a:p>
      </dsp:txBody>
      <dsp:txXfrm>
        <a:off x="4800599" y="266700"/>
        <a:ext cx="514350" cy="34289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C9A55-7471-4D58-A3EB-0CA779144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2601</Words>
  <Characters>14830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COMPONENT 1 – BUSINESS RESEARCH PROPOSAL</vt:lpstr>
    </vt:vector>
  </TitlesOfParts>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BUSINESS RESEARCH PROPOSAL</dc:title>
  <dc:subject/>
  <dc:creator>Anna Gromova</dc:creator>
  <cp:keywords/>
  <dc:description/>
  <cp:lastModifiedBy>Pauline Abbey-Nyarko</cp:lastModifiedBy>
  <cp:revision>32</cp:revision>
  <dcterms:created xsi:type="dcterms:W3CDTF">2026-07-26T08:53:00Z</dcterms:created>
  <dcterms:modified xsi:type="dcterms:W3CDTF">2026-07-27T20:22:00Z</dcterms:modified>
</cp:coreProperties>
</file>