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8A688B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F4F2C">
              <w:rPr>
                <w:rFonts w:ascii="Times New Roman" w:hAnsi="Times New Roman" w:cs="Times New Roman"/>
                <w:b/>
                <w:color w:val="auto"/>
                <w:sz w:val="48"/>
              </w:rPr>
              <w:t xml:space="preserve">Abbie Williams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0A31BE0C" w14:textId="6499C985" w:rsidR="005F4F2C" w:rsidRDefault="009C337F" w:rsidP="005F4F2C">
            <w:pPr>
              <w:ind w:right="-957"/>
              <w:rPr>
                <w:rFonts w:ascii="Times New Roman" w:hAnsi="Times New Roman" w:cs="Times New Roman"/>
                <w:b/>
                <w:sz w:val="48"/>
              </w:rPr>
            </w:pPr>
            <w:r>
              <w:rPr>
                <w:rFonts w:ascii="Times New Roman" w:hAnsi="Times New Roman" w:cs="Times New Roman"/>
                <w:b/>
                <w:color w:val="auto"/>
                <w:sz w:val="48"/>
              </w:rPr>
              <w:t>Email address:</w:t>
            </w:r>
            <w:r w:rsidR="005F4F2C">
              <w:t xml:space="preserve"> </w:t>
            </w:r>
            <w:hyperlink r:id="rId11" w:history="1">
              <w:r w:rsidR="005F4F2C" w:rsidRPr="00962CF8">
                <w:rPr>
                  <w:rStyle w:val="Hyperlink"/>
                  <w:rFonts w:ascii="Times New Roman" w:hAnsi="Times New Roman" w:cs="Times New Roman"/>
                  <w:b/>
                  <w:sz w:val="48"/>
                </w:rPr>
                <w:t>abbievictoria@outlook.com</w:t>
              </w:r>
            </w:hyperlink>
            <w:r w:rsidR="005F4F2C">
              <w:rPr>
                <w:rFonts w:ascii="Times New Roman" w:hAnsi="Times New Roman" w:cs="Times New Roman"/>
                <w:b/>
                <w:sz w:val="48"/>
              </w:rPr>
              <w:t xml:space="preserve"> </w:t>
            </w:r>
          </w:p>
          <w:p w14:paraId="3A6EAAC7" w14:textId="245453C0" w:rsidR="009C337F" w:rsidRPr="005F4F2C" w:rsidRDefault="005F4F2C" w:rsidP="005F4F2C">
            <w:pPr>
              <w:ind w:right="-957"/>
              <w:rPr>
                <w:rFonts w:ascii="Times New Roman" w:hAnsi="Times New Roman" w:cs="Times New Roman"/>
                <w:b/>
                <w:sz w:val="48"/>
              </w:rPr>
            </w:pPr>
            <w:hyperlink r:id="rId12" w:history="1">
              <w:r w:rsidRPr="00962CF8">
                <w:rPr>
                  <w:rStyle w:val="Hyperlink"/>
                  <w:rFonts w:ascii="Times New Roman" w:hAnsi="Times New Roman" w:cs="Times New Roman"/>
                  <w:b/>
                  <w:sz w:val="48"/>
                </w:rPr>
                <w:t>2519113@student.uwtsd.ac.uk</w:t>
              </w:r>
            </w:hyperlink>
            <w:r>
              <w:rPr>
                <w:rFonts w:ascii="Times New Roman" w:hAnsi="Times New Roman" w:cs="Times New Roman"/>
                <w:b/>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0651908" w14:textId="77777777" w:rsidR="005F4F2C"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F4F2C">
              <w:rPr>
                <w:rFonts w:ascii="Times New Roman" w:hAnsi="Times New Roman" w:cs="Times New Roman"/>
                <w:b/>
                <w:color w:val="auto"/>
                <w:sz w:val="48"/>
              </w:rPr>
              <w:t xml:space="preserve">  </w:t>
            </w:r>
          </w:p>
          <w:p w14:paraId="0DE696B2" w14:textId="55BBCAEF" w:rsidR="00F927A1" w:rsidRPr="005D3F07" w:rsidRDefault="005F4F2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2519113 </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D68DA91" w14:textId="39750C86" w:rsidR="00D3203C" w:rsidRDefault="00D3203C" w:rsidP="005F4F2C">
      <w:pPr>
        <w:rPr>
          <w:rFonts w:ascii="Times New Roman" w:hAnsi="Times New Roman" w:cs="Times New Roman"/>
          <w:color w:val="auto"/>
          <w:sz w:val="24"/>
        </w:rPr>
      </w:pPr>
    </w:p>
    <w:p w14:paraId="5372CA65" w14:textId="77777777" w:rsidR="005F4F2C" w:rsidRDefault="005F4F2C" w:rsidP="005F4F2C">
      <w:pPr>
        <w:rPr>
          <w:b/>
          <w:sz w:val="24"/>
          <w:szCs w:val="24"/>
        </w:rPr>
      </w:pP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068472F1" w14:textId="77777777" w:rsidR="005F4F2C" w:rsidRPr="005F4F2C" w:rsidRDefault="005F4F2C" w:rsidP="005F4F2C">
            <w:pPr>
              <w:jc w:val="both"/>
              <w:rPr>
                <w:iCs/>
                <w:sz w:val="24"/>
                <w:szCs w:val="24"/>
              </w:rPr>
            </w:pPr>
            <w:r w:rsidRPr="005F4F2C">
              <w:rPr>
                <w:iCs/>
                <w:sz w:val="24"/>
                <w:szCs w:val="24"/>
              </w:rPr>
              <w:t xml:space="preserve">This assignment critically reflects on a case involving a child referenced as 2. The case involved a variety of safeguarding procedures which required multi-agency working due to the complexity of the family dynamics and difficulties they were facing. </w:t>
            </w:r>
          </w:p>
          <w:p w14:paraId="223A32C9" w14:textId="77777777" w:rsidR="005F4F2C" w:rsidRPr="005F4F2C" w:rsidRDefault="005F4F2C" w:rsidP="005F4F2C">
            <w:pPr>
              <w:jc w:val="both"/>
              <w:rPr>
                <w:iCs/>
                <w:sz w:val="24"/>
                <w:szCs w:val="24"/>
              </w:rPr>
            </w:pPr>
          </w:p>
          <w:p w14:paraId="2DBB1B71" w14:textId="77777777" w:rsidR="005F4F2C" w:rsidRPr="005F4F2C" w:rsidRDefault="005F4F2C" w:rsidP="005F4F2C">
            <w:pPr>
              <w:jc w:val="both"/>
              <w:rPr>
                <w:iCs/>
                <w:sz w:val="24"/>
                <w:szCs w:val="24"/>
              </w:rPr>
            </w:pPr>
            <w:r w:rsidRPr="005F4F2C">
              <w:rPr>
                <w:iCs/>
                <w:sz w:val="24"/>
                <w:szCs w:val="24"/>
              </w:rPr>
              <w:t xml:space="preserve">2 lives in a Welsh village approximately 30 minutes away from larger towns. They live with their parents and until recently their younger brother (3). 2 has a diagnosis of Down Syndrome and has a learning disability. They have a care and support needs plan and were previously open an Assessing and Reviewing Officer (ARO). 2’s younger brother, 3 has a diagnosis of autism spectrum condition, ADHD, and a learning disability. 3 is also open to the under 25s disability service and has his own allocated social worker. Due to the location of the home, the family are quite isolated which can impact on the amount of time it would take emergency services to attend their property and the impact on available support from services as carers would need to be able to drive to reach their location. </w:t>
            </w:r>
          </w:p>
          <w:p w14:paraId="7E189065" w14:textId="77777777" w:rsidR="005F4F2C" w:rsidRPr="005F4F2C" w:rsidRDefault="005F4F2C" w:rsidP="005F4F2C">
            <w:pPr>
              <w:jc w:val="both"/>
              <w:rPr>
                <w:iCs/>
                <w:sz w:val="24"/>
                <w:szCs w:val="24"/>
              </w:rPr>
            </w:pPr>
          </w:p>
          <w:p w14:paraId="0F686470" w14:textId="12A3124C" w:rsidR="005F4F2C" w:rsidRPr="005F4F2C" w:rsidRDefault="005F4F2C" w:rsidP="005F4F2C">
            <w:pPr>
              <w:jc w:val="both"/>
              <w:rPr>
                <w:iCs/>
                <w:sz w:val="24"/>
                <w:szCs w:val="24"/>
              </w:rPr>
            </w:pPr>
            <w:r w:rsidRPr="005F4F2C">
              <w:rPr>
                <w:iCs/>
                <w:sz w:val="24"/>
                <w:szCs w:val="24"/>
              </w:rPr>
              <w:t>2 has a Welsh first language speaking parent (4) and an English only speaking parent (5). 4 has spoken Welsh to the children from a young age and believes they are able to understand it. Both children however chose to communicate in English. 2’s previous allocated worker was Welsh speaking. In line with the Active Offer principles set out in More Than Just Words (Welsh Government, 20</w:t>
            </w:r>
            <w:r w:rsidR="0099204F">
              <w:rPr>
                <w:iCs/>
                <w:sz w:val="24"/>
                <w:szCs w:val="24"/>
              </w:rPr>
              <w:t>22a</w:t>
            </w:r>
            <w:r w:rsidRPr="005F4F2C">
              <w:rPr>
                <w:iCs/>
                <w:sz w:val="24"/>
                <w:szCs w:val="24"/>
              </w:rPr>
              <w:t xml:space="preserve">), a discussion regarding language preference took place when I became allocated to the family. The family advised that 2 and 3 prefer to communicate in English, therefore, they were content for me, as a non-Welsh-speaking social worker, to undertake the role. The children's language preference may also be influenced by their additional needs and educational experiences. Both 2 and 3 are now in their late teens and </w:t>
            </w:r>
            <w:r w:rsidRPr="005F4F2C">
              <w:rPr>
                <w:iCs/>
                <w:sz w:val="24"/>
                <w:szCs w:val="24"/>
              </w:rPr>
              <w:lastRenderedPageBreak/>
              <w:t xml:space="preserve">have attended a special school where English is the predominant language of communication and learning. </w:t>
            </w:r>
          </w:p>
          <w:p w14:paraId="32E1C5F9" w14:textId="77777777" w:rsidR="005F4F2C" w:rsidRPr="005F4F2C" w:rsidRDefault="005F4F2C" w:rsidP="005F4F2C">
            <w:pPr>
              <w:jc w:val="both"/>
              <w:rPr>
                <w:iCs/>
                <w:sz w:val="24"/>
                <w:szCs w:val="24"/>
              </w:rPr>
            </w:pPr>
          </w:p>
          <w:p w14:paraId="1A74BE85" w14:textId="69612A7C" w:rsidR="005F4F2C" w:rsidRPr="005F4F2C" w:rsidRDefault="005F4F2C" w:rsidP="005F4F2C">
            <w:pPr>
              <w:jc w:val="both"/>
              <w:rPr>
                <w:iCs/>
                <w:sz w:val="24"/>
                <w:szCs w:val="24"/>
              </w:rPr>
            </w:pPr>
            <w:r w:rsidRPr="005F4F2C">
              <w:rPr>
                <w:iCs/>
                <w:sz w:val="24"/>
                <w:szCs w:val="24"/>
              </w:rPr>
              <w:t>The Active Offer is defined as providing services in Welsh "without someone having to ask for it" and ensuring that Welsh-language services are as visible and readily available as those delivered in English (Welsh Government, 20</w:t>
            </w:r>
            <w:r w:rsidR="0099204F">
              <w:rPr>
                <w:iCs/>
                <w:sz w:val="24"/>
                <w:szCs w:val="24"/>
              </w:rPr>
              <w:t>2</w:t>
            </w:r>
            <w:r w:rsidRPr="005F4F2C">
              <w:rPr>
                <w:iCs/>
                <w:sz w:val="24"/>
                <w:szCs w:val="24"/>
              </w:rPr>
              <w:t>2</w:t>
            </w:r>
            <w:r w:rsidR="0099204F">
              <w:rPr>
                <w:iCs/>
                <w:sz w:val="24"/>
                <w:szCs w:val="24"/>
              </w:rPr>
              <w:t>a</w:t>
            </w:r>
            <w:r w:rsidRPr="005F4F2C">
              <w:rPr>
                <w:iCs/>
                <w:sz w:val="24"/>
                <w:szCs w:val="24"/>
              </w:rPr>
              <w:t>). However, social work relationships can involve inherent power imbalances, with professionals often holding significant influence over assessments, decision-making and access to support. Research has identified that there can be a</w:t>
            </w:r>
            <w:r w:rsidR="0099204F">
              <w:rPr>
                <w:iCs/>
                <w:sz w:val="24"/>
                <w:szCs w:val="24"/>
              </w:rPr>
              <w:t xml:space="preserve">n </w:t>
            </w:r>
            <w:r w:rsidRPr="005F4F2C">
              <w:rPr>
                <w:iCs/>
                <w:sz w:val="24"/>
                <w:szCs w:val="24"/>
              </w:rPr>
              <w:t>in-built power imbalance between professionals and those who draw on care and support services, which may result in individuals feeling unable or reluctant to challenge decisions or request changes to service provision. (Research in Practice, 2024). Furthermore, 4 may have been concerned that requesting a Welsh-speaking social worker could result in a change of worker and the need to retell the family's history and experiences. Relationship-based practice emphasises the importance of developing strong, trusting and consistent relationships between social workers and the people they support, recognising that trust and continuity promote engagement and positive outcomes. Given the length of the family's involvement with services and the established professional relationships already in place, this may have influenced 4's willingness to accept the current arrangement. The family's language preferences have been explored and will continue to be reviewed. This choice has been respected to ensure the children can participate fully and communicate in the language with which they are most comfortable.</w:t>
            </w:r>
          </w:p>
          <w:p w14:paraId="0BBDBEB9" w14:textId="77777777" w:rsidR="005F4F2C" w:rsidRPr="005F4F2C" w:rsidRDefault="005F4F2C" w:rsidP="005F4F2C">
            <w:pPr>
              <w:jc w:val="both"/>
              <w:rPr>
                <w:iCs/>
                <w:sz w:val="24"/>
                <w:szCs w:val="24"/>
              </w:rPr>
            </w:pPr>
          </w:p>
          <w:p w14:paraId="094A80D9" w14:textId="77777777" w:rsidR="005F4F2C" w:rsidRPr="005F4F2C" w:rsidRDefault="005F4F2C" w:rsidP="005F4F2C">
            <w:pPr>
              <w:jc w:val="both"/>
              <w:rPr>
                <w:iCs/>
                <w:sz w:val="24"/>
                <w:szCs w:val="24"/>
              </w:rPr>
            </w:pPr>
            <w:r w:rsidRPr="005F4F2C">
              <w:rPr>
                <w:iCs/>
                <w:sz w:val="24"/>
                <w:szCs w:val="24"/>
              </w:rPr>
              <w:t>Due to 3's complex needs, he frequently became emotionally dysregulated and displayed behaviours that challenged. Although these behaviours were not usually directed towards 2, they exposed her to a home environment characterised by unpredictability, verbal aggression and incidents of violence towards family members. Consequently, 2 experienced emotional harm through repeated exposure to conflict and fear, alongside a risk of accidental physical harm during incidents involving damage to property and thrown objects. Research highlights that children who witness violence within the home are at increased risk of anxiety, emotional difficulties and impaired social functioning, with the effects often comparable to those experienced by children subjected to direct abuse (Holt, Buckley and Whelan, 2008; Stiles, 2002).</w:t>
            </w:r>
          </w:p>
          <w:p w14:paraId="0A3DBCCF" w14:textId="77777777" w:rsidR="005F4F2C" w:rsidRPr="005F4F2C" w:rsidRDefault="005F4F2C" w:rsidP="005F4F2C">
            <w:pPr>
              <w:jc w:val="both"/>
              <w:rPr>
                <w:iCs/>
                <w:sz w:val="24"/>
                <w:szCs w:val="24"/>
              </w:rPr>
            </w:pPr>
          </w:p>
          <w:p w14:paraId="7D80F89C" w14:textId="662C6DBF" w:rsidR="005F4F2C" w:rsidRPr="005F4F2C" w:rsidRDefault="005F4F2C" w:rsidP="005F4F2C">
            <w:pPr>
              <w:jc w:val="both"/>
              <w:rPr>
                <w:iCs/>
                <w:sz w:val="24"/>
                <w:szCs w:val="24"/>
              </w:rPr>
            </w:pPr>
            <w:r w:rsidRPr="005F4F2C">
              <w:rPr>
                <w:iCs/>
                <w:sz w:val="24"/>
                <w:szCs w:val="24"/>
              </w:rPr>
              <w:t>Further safeguarding concerns existed in relation to potential physical and sexual harm. Whilst these risks were not known to be directed towards 2, their presence within the family environment heightened concerns regarding 2's overall safety and wellbeing. The existence of such risks contributed to an atmosphere in which 2 was unable to feel fully protected within their own home. Exposure to domestic conflict and violence can have profound consequences for children. Stiles</w:t>
            </w:r>
            <w:r w:rsidR="001929A0">
              <w:rPr>
                <w:iCs/>
                <w:sz w:val="24"/>
                <w:szCs w:val="24"/>
              </w:rPr>
              <w:t xml:space="preserve"> </w:t>
            </w:r>
            <w:r w:rsidRPr="005F4F2C">
              <w:rPr>
                <w:iCs/>
                <w:sz w:val="24"/>
                <w:szCs w:val="24"/>
              </w:rPr>
              <w:t xml:space="preserve">(2002) notes that children who witness violence within the home are at increased risk of developing anxiety, depression, emotional difficulties and problems within their relationships and social functioning. </w:t>
            </w:r>
          </w:p>
          <w:p w14:paraId="57CE6757" w14:textId="77777777" w:rsidR="005F4F2C" w:rsidRPr="005F4F2C" w:rsidRDefault="005F4F2C" w:rsidP="005F4F2C">
            <w:pPr>
              <w:jc w:val="both"/>
              <w:rPr>
                <w:iCs/>
                <w:sz w:val="24"/>
                <w:szCs w:val="24"/>
              </w:rPr>
            </w:pPr>
          </w:p>
          <w:p w14:paraId="245F5963" w14:textId="77777777" w:rsidR="005F4F2C" w:rsidRPr="005F4F2C" w:rsidRDefault="005F4F2C" w:rsidP="005F4F2C">
            <w:pPr>
              <w:jc w:val="both"/>
              <w:rPr>
                <w:iCs/>
                <w:sz w:val="24"/>
                <w:szCs w:val="24"/>
              </w:rPr>
            </w:pPr>
            <w:r w:rsidRPr="005F4F2C">
              <w:rPr>
                <w:iCs/>
                <w:sz w:val="24"/>
                <w:szCs w:val="24"/>
              </w:rPr>
              <w:t xml:space="preserve">3’s behaviours had been escalating over the past few years as he had been excluded from three educational settings. It was therefore recommended that a social worker was to be allocated to 2 for safeguarding interventions. Being allocated to a social worker provided 2 with a trained worker in safeguarding however created barriers in relationship building for the </w:t>
            </w:r>
            <w:r w:rsidRPr="005F4F2C">
              <w:rPr>
                <w:iCs/>
                <w:sz w:val="24"/>
                <w:szCs w:val="24"/>
              </w:rPr>
              <w:lastRenderedPageBreak/>
              <w:t>family. 2 and the parents had worked with the ARO for years; when working with young people, it is known that they are more likely to express their thoughts, wishes and feelings with familiar people, as relationship-based practice emphasises that “trusting relationships are central to effective social work” (Ruch, 2005, p.113). The social worker position created a different power dynamic with the parents, where they felt anxious about the actions and decisions I was making, often being worried if their child would be removed from the home. Although, I was allocated from a safety perspective for 2, it lent into the stereotype that the public have of social workers being responsible for the removal of children, reflecting wider perceptions that social work is associated with “surveillance and intervention in family life” (Stanley and Manthorpe, 2004, p.12). In reflection of this I worked with the family to reassure them that we were all working together to safeguard them and that I had no concerns regarding their parenting capacity and reaffirmed by external professionals.</w:t>
            </w:r>
          </w:p>
          <w:p w14:paraId="78F4EA34" w14:textId="77777777" w:rsidR="005F4F2C" w:rsidRPr="005F4F2C" w:rsidRDefault="005F4F2C" w:rsidP="005F4F2C">
            <w:pPr>
              <w:jc w:val="both"/>
              <w:rPr>
                <w:iCs/>
                <w:sz w:val="24"/>
                <w:szCs w:val="24"/>
              </w:rPr>
            </w:pPr>
          </w:p>
          <w:p w14:paraId="66C9B26B" w14:textId="77777777" w:rsidR="005F4F2C" w:rsidRPr="005F4F2C" w:rsidRDefault="005F4F2C" w:rsidP="005F4F2C">
            <w:pPr>
              <w:jc w:val="both"/>
              <w:rPr>
                <w:iCs/>
                <w:sz w:val="24"/>
                <w:szCs w:val="24"/>
              </w:rPr>
            </w:pPr>
            <w:r w:rsidRPr="005F4F2C">
              <w:rPr>
                <w:iCs/>
                <w:sz w:val="24"/>
                <w:szCs w:val="24"/>
              </w:rPr>
              <w:t xml:space="preserve">When reviewing the learning objectives in line with this assignment, the first of the three learning objectives of analysis was completed following a referral from school as 2 had disclosed there had been fighting at home. 2 has minimal language skills and a limited vocabulary, where they will use a couple of words at a time. It was therefore important to acknowledge what this meant for 2 to share their views as they rarely speak. This was taken very seriously, resulting in a strategy discussion with Police and Social Care present which recommended a section 47 child protection enquiry, where the Children Act 1989 states that local authorities must act where there is “reasonable cause to suspect that a child is suffering, or is likely to suffer, significant harm” (Children Act 1989, S.47). </w:t>
            </w:r>
          </w:p>
          <w:p w14:paraId="62CE9181" w14:textId="77777777" w:rsidR="005F4F2C" w:rsidRPr="005F4F2C" w:rsidRDefault="005F4F2C" w:rsidP="005F4F2C">
            <w:pPr>
              <w:jc w:val="both"/>
              <w:rPr>
                <w:iCs/>
                <w:sz w:val="24"/>
                <w:szCs w:val="24"/>
              </w:rPr>
            </w:pPr>
          </w:p>
          <w:p w14:paraId="29B0EB84" w14:textId="0D09AE32" w:rsidR="005F4F2C" w:rsidRPr="005F4F2C" w:rsidRDefault="005F4F2C" w:rsidP="005F4F2C">
            <w:pPr>
              <w:jc w:val="both"/>
              <w:rPr>
                <w:iCs/>
                <w:sz w:val="24"/>
                <w:szCs w:val="24"/>
              </w:rPr>
            </w:pPr>
            <w:r w:rsidRPr="005F4F2C">
              <w:rPr>
                <w:iCs/>
                <w:sz w:val="24"/>
                <w:szCs w:val="24"/>
              </w:rPr>
              <w:t>I had recently completed a child protection enquiry training, and this was the first time I had been allocated to complete one as the lead professional. I had already been working on a few sessions with 2 and so had established the beginnings of a relationship where I was visiting them in school every other week. This therefore would not have been out of the routine for me to visit them in school. Before visiting 2,</w:t>
            </w:r>
            <w:r w:rsidR="001929A0">
              <w:rPr>
                <w:iCs/>
                <w:sz w:val="24"/>
                <w:szCs w:val="24"/>
              </w:rPr>
              <w:t xml:space="preserve"> </w:t>
            </w:r>
            <w:r w:rsidRPr="005F4F2C">
              <w:rPr>
                <w:iCs/>
                <w:sz w:val="24"/>
                <w:szCs w:val="24"/>
              </w:rPr>
              <w:t>I called the family and advised them of the investigation. This caused parents to feel overwhelmed and worried. On reflection, I feel that I could have been more prepared for the conversation and researched ways in which I could describe the process without using jargon, as effective communication requires professionals to “translate complex processes into language service user can understand” (Healy, 2014, p.82.). I discussed this with my team manager during supervision, and it was recommended that I shadow the Safeguarding team in the county in order to hear from experienced professionals how they would have the conversation with parents about the process and learn firsthand different responses they would give to parents on the phone and in person. This has allowed me to recognise that reflective learning allows practitioners, including myself to “learn from experience and improve future practice” (Fook and Gardner, 2007, p.16).</w:t>
            </w:r>
          </w:p>
          <w:p w14:paraId="0347DEC7" w14:textId="77777777" w:rsidR="005F4F2C" w:rsidRPr="005F4F2C" w:rsidRDefault="005F4F2C" w:rsidP="005F4F2C">
            <w:pPr>
              <w:jc w:val="both"/>
              <w:rPr>
                <w:iCs/>
                <w:sz w:val="24"/>
                <w:szCs w:val="24"/>
              </w:rPr>
            </w:pPr>
          </w:p>
          <w:p w14:paraId="773A3821" w14:textId="77777777" w:rsidR="005F4F2C" w:rsidRPr="005F4F2C" w:rsidRDefault="005F4F2C" w:rsidP="005F4F2C">
            <w:pPr>
              <w:jc w:val="both"/>
              <w:rPr>
                <w:iCs/>
                <w:sz w:val="24"/>
                <w:szCs w:val="24"/>
              </w:rPr>
            </w:pPr>
            <w:r w:rsidRPr="005F4F2C">
              <w:rPr>
                <w:iCs/>
                <w:sz w:val="24"/>
                <w:szCs w:val="24"/>
              </w:rPr>
              <w:t xml:space="preserve">Before attending the enquiry at the school, I created communication aids that I could use with 2, aligning with guidance that disabled children require “adapted communication methods to enable participation in safeguarding processes” (Franklin et al., 2015, p.9). During the enquiries with 2, they appeared very withdrawn compared to our usual sessions. I reflected on this within my analysis as I felt they had communicated the emotional impact and reflected distress, as children often communicate through behaviour where “emotions are expressed </w:t>
            </w:r>
            <w:r w:rsidRPr="005F4F2C">
              <w:rPr>
                <w:iCs/>
                <w:sz w:val="24"/>
                <w:szCs w:val="24"/>
              </w:rPr>
              <w:lastRenderedPageBreak/>
              <w:t xml:space="preserve">non-verbally through withdrawal or changes in presentation” (Daniel, Wassell and Gilligan, 2010, p.122). </w:t>
            </w:r>
          </w:p>
          <w:p w14:paraId="0F8840E8" w14:textId="77777777" w:rsidR="005F4F2C" w:rsidRPr="005F4F2C" w:rsidRDefault="005F4F2C" w:rsidP="005F4F2C">
            <w:pPr>
              <w:jc w:val="both"/>
              <w:rPr>
                <w:iCs/>
                <w:sz w:val="24"/>
                <w:szCs w:val="24"/>
              </w:rPr>
            </w:pPr>
          </w:p>
          <w:p w14:paraId="792EB282" w14:textId="77777777" w:rsidR="005F4F2C" w:rsidRPr="005F4F2C" w:rsidRDefault="005F4F2C" w:rsidP="005F4F2C">
            <w:pPr>
              <w:jc w:val="both"/>
              <w:rPr>
                <w:iCs/>
                <w:sz w:val="24"/>
                <w:szCs w:val="24"/>
              </w:rPr>
            </w:pPr>
            <w:r w:rsidRPr="005F4F2C">
              <w:rPr>
                <w:iCs/>
                <w:sz w:val="24"/>
                <w:szCs w:val="24"/>
              </w:rPr>
              <w:t>As previously observed, school staff utilised a hand-signalling system to support communication with 2, whereby one hand represented "yes" and the other represented "no". This approach was also used during the completion of the enquiries. It was acknowledged that this method had the potential to introduce leading questions and influence responses. However, this concern was discussed with my manager prior to undertaking the enquiries. It was concluded that, as this is 2's primary method of communication and the approach with which they are most familiar, continuing to use this method was in 2's best interests. This decision was made to maximise 2's ability to participate meaningfully in the process and ensure that their views, wishes and feelings were captured as accurately as possible. Whilst the limitations of this communication method were recognised, every effort was made to minimise suggestibility and ensure that questions were presented in a neutral and supportive manner. As stated by the NSPCC, communication with non-verbal children must be adapted, as practitioners should ensure “every effort is made to help the child communicate their views”. (NSPCC, 2022).</w:t>
            </w:r>
          </w:p>
          <w:p w14:paraId="0F832834" w14:textId="77777777" w:rsidR="005F4F2C" w:rsidRPr="005F4F2C" w:rsidRDefault="005F4F2C" w:rsidP="005F4F2C">
            <w:pPr>
              <w:jc w:val="both"/>
              <w:rPr>
                <w:iCs/>
                <w:sz w:val="24"/>
                <w:szCs w:val="24"/>
              </w:rPr>
            </w:pPr>
          </w:p>
          <w:p w14:paraId="35AA19D9" w14:textId="610B1AC7" w:rsidR="005F4F2C" w:rsidRPr="005F4F2C" w:rsidRDefault="005F4F2C" w:rsidP="005F4F2C">
            <w:pPr>
              <w:jc w:val="both"/>
              <w:rPr>
                <w:iCs/>
                <w:sz w:val="24"/>
                <w:szCs w:val="24"/>
              </w:rPr>
            </w:pPr>
            <w:r w:rsidRPr="005F4F2C">
              <w:rPr>
                <w:iCs/>
                <w:sz w:val="24"/>
                <w:szCs w:val="24"/>
              </w:rPr>
              <w:t>Following the section 47 enquiries</w:t>
            </w:r>
            <w:r w:rsidR="00EA25BE">
              <w:rPr>
                <w:iCs/>
                <w:sz w:val="24"/>
                <w:szCs w:val="24"/>
              </w:rPr>
              <w:t xml:space="preserve">, </w:t>
            </w:r>
            <w:r w:rsidRPr="005F4F2C">
              <w:rPr>
                <w:iCs/>
                <w:sz w:val="24"/>
                <w:szCs w:val="24"/>
              </w:rPr>
              <w:t>I contacted the trainer for the new child protection protocols in the county and requested a one-to-one discussion regarding the case. I completed the significant harm checklist under the Effective Child Protection Model which supported my analysis in the section 47 enquiries</w:t>
            </w:r>
            <w:r w:rsidR="00EA25BE">
              <w:rPr>
                <w:iCs/>
                <w:sz w:val="24"/>
                <w:szCs w:val="24"/>
              </w:rPr>
              <w:t xml:space="preserve"> </w:t>
            </w:r>
            <w:r w:rsidR="00EA25BE">
              <w:rPr>
                <w:iCs/>
                <w:sz w:val="24"/>
                <w:szCs w:val="24"/>
              </w:rPr>
              <w:t>(Children Act</w:t>
            </w:r>
            <w:r w:rsidR="00EA25BE" w:rsidRPr="005F4F2C">
              <w:rPr>
                <w:iCs/>
                <w:sz w:val="24"/>
                <w:szCs w:val="24"/>
              </w:rPr>
              <w:t>,</w:t>
            </w:r>
            <w:r w:rsidR="00EA25BE">
              <w:rPr>
                <w:iCs/>
                <w:sz w:val="24"/>
                <w:szCs w:val="24"/>
              </w:rPr>
              <w:t>1989)</w:t>
            </w:r>
            <w:r w:rsidRPr="005F4F2C">
              <w:rPr>
                <w:iCs/>
                <w:sz w:val="24"/>
                <w:szCs w:val="24"/>
              </w:rPr>
              <w:t xml:space="preserve">. It was apparent from the information gathered that 2 was being emotionally impacted from witnessing domestic abuse perpetrated from 3 and being verbally targeted. It was reflected in the analysis that professionals were aware of the circumstances at home and 2 had not disclosed any new information. The multi-disciplinary team (MDT) and parents were already working together to mitigate the risks at home, including a safety plan and an active placement search for 3. I concluded that that threshold was not met for escalation on this occasion as there was no additional meaning or attribution of the harm. 3 did not understand or recognise their actions or the consequences due to their additional needs, reflecting that children with disabilities may “lack full understanding of the impact of their behaviour” (Taylor et al., 2015, p.34). It could have been considered that 3 was beyond parental control, however parents were working with the local authority and requesting a placement which was not available, therefore 3 remained in the home. </w:t>
            </w:r>
          </w:p>
          <w:p w14:paraId="59AE7432" w14:textId="77777777" w:rsidR="005F4F2C" w:rsidRPr="005F4F2C" w:rsidRDefault="005F4F2C" w:rsidP="005F4F2C">
            <w:pPr>
              <w:jc w:val="both"/>
              <w:rPr>
                <w:iCs/>
                <w:sz w:val="24"/>
                <w:szCs w:val="24"/>
              </w:rPr>
            </w:pPr>
          </w:p>
          <w:p w14:paraId="14AC7E41" w14:textId="77777777" w:rsidR="005F4F2C" w:rsidRPr="005F4F2C" w:rsidRDefault="005F4F2C" w:rsidP="005F4F2C">
            <w:pPr>
              <w:jc w:val="both"/>
              <w:rPr>
                <w:iCs/>
                <w:sz w:val="24"/>
                <w:szCs w:val="24"/>
              </w:rPr>
            </w:pPr>
            <w:r w:rsidRPr="005F4F2C">
              <w:rPr>
                <w:iCs/>
                <w:sz w:val="24"/>
                <w:szCs w:val="24"/>
              </w:rPr>
              <w:t>The Social Model of Disability (Oliver, 1990) informed my practice by encouraging me to consider how societal barriers, rather than diagnoses alone, affected both children. Whilst 2 and 3 have diagnosed disabilities, many of the challenges experienced by the family were compounded by limited-service availability, difficulties accessing specialist placements and the family's rural location. This perspective challenged me to avoid viewing risk solely through the lens of impairment and instead examine how structural barriers contributed to the family's circumstances.</w:t>
            </w:r>
          </w:p>
          <w:p w14:paraId="38744028" w14:textId="77777777" w:rsidR="005F4F2C" w:rsidRPr="005F4F2C" w:rsidRDefault="005F4F2C" w:rsidP="005F4F2C">
            <w:pPr>
              <w:jc w:val="both"/>
              <w:rPr>
                <w:iCs/>
                <w:sz w:val="24"/>
                <w:szCs w:val="24"/>
              </w:rPr>
            </w:pPr>
          </w:p>
          <w:p w14:paraId="5ECE0F61" w14:textId="77777777" w:rsidR="005F4F2C" w:rsidRPr="005F4F2C" w:rsidRDefault="005F4F2C" w:rsidP="005F4F2C">
            <w:pPr>
              <w:jc w:val="both"/>
              <w:rPr>
                <w:iCs/>
                <w:sz w:val="24"/>
                <w:szCs w:val="24"/>
              </w:rPr>
            </w:pPr>
            <w:r w:rsidRPr="005F4F2C">
              <w:rPr>
                <w:iCs/>
                <w:sz w:val="24"/>
                <w:szCs w:val="24"/>
              </w:rPr>
              <w:t xml:space="preserve">The information gathered in the analysis supported me with the learning outcome of making an informed decision and judgement. I felt that threshold would be met to escalate under the category of emotional harm “the persistent emotional maltreatment of a child” (HM </w:t>
            </w:r>
            <w:r w:rsidRPr="005F4F2C">
              <w:rPr>
                <w:iCs/>
                <w:sz w:val="24"/>
                <w:szCs w:val="24"/>
              </w:rPr>
              <w:lastRenderedPageBreak/>
              <w:t xml:space="preserve">Government, 2018, p.103). However </w:t>
            </w:r>
            <w:proofErr w:type="gramStart"/>
            <w:r w:rsidRPr="005F4F2C">
              <w:rPr>
                <w:iCs/>
                <w:sz w:val="24"/>
                <w:szCs w:val="24"/>
              </w:rPr>
              <w:t>taking into account</w:t>
            </w:r>
            <w:proofErr w:type="gramEnd"/>
            <w:r w:rsidRPr="005F4F2C">
              <w:rPr>
                <w:iCs/>
                <w:sz w:val="24"/>
                <w:szCs w:val="24"/>
              </w:rPr>
              <w:t xml:space="preserve"> the whole family dynamic and using the significant harm checklist to inform my practice, it created a resource to underpin my decision that the child protection process would not change the family’s circumstances. There was already a multi-disciplinary team of professionals involved, and parents were doing everything they could to navigate the situation safely. I was conscious that if anything detrimental were to happen, my professional judgement would be brought into question reflecting a wider professional context where practitioners can experience a “blame culture that discourages confident decision making” (Munro, 2011, p.8). I shared my feelings on this with my manager who advised, ensuring that I captured all of this in my analysis as this would support the outcome. </w:t>
            </w:r>
          </w:p>
          <w:p w14:paraId="2230D5B4" w14:textId="77777777" w:rsidR="005F4F2C" w:rsidRPr="005F4F2C" w:rsidRDefault="005F4F2C" w:rsidP="005F4F2C">
            <w:pPr>
              <w:jc w:val="both"/>
              <w:rPr>
                <w:iCs/>
                <w:sz w:val="24"/>
                <w:szCs w:val="24"/>
              </w:rPr>
            </w:pPr>
          </w:p>
          <w:p w14:paraId="46832F96" w14:textId="77777777" w:rsidR="005F4F2C" w:rsidRPr="005F4F2C" w:rsidRDefault="005F4F2C" w:rsidP="005F4F2C">
            <w:pPr>
              <w:jc w:val="both"/>
              <w:rPr>
                <w:iCs/>
                <w:sz w:val="24"/>
                <w:szCs w:val="24"/>
              </w:rPr>
            </w:pPr>
            <w:r w:rsidRPr="005F4F2C">
              <w:rPr>
                <w:iCs/>
                <w:sz w:val="24"/>
                <w:szCs w:val="24"/>
              </w:rPr>
              <w:t>Systems Theory provides a useful framework for understanding the interconnected nature of the family's circumstances (Payne, 2020). Rather than viewing 3's behaviours in isolation, the theory recognises that changes within one part of a family system can significantly affect other members. In this case, 3's escalating behaviours impacted upon parental wellbeing, family functioning and 2's emotional safety. The safeguarding concerns therefore could not be understood solely through an assessment of 2 or 3 individually but required consideration of the wider family system and the interaction between family members and professionals. The involvement of multiple agencies further reflected a systems approach; whereby coordinated interventions were required to support change across the family network.</w:t>
            </w:r>
          </w:p>
          <w:p w14:paraId="31C55520" w14:textId="77777777" w:rsidR="005F4F2C" w:rsidRPr="005F4F2C" w:rsidRDefault="005F4F2C" w:rsidP="005F4F2C">
            <w:pPr>
              <w:jc w:val="both"/>
              <w:rPr>
                <w:iCs/>
                <w:sz w:val="24"/>
                <w:szCs w:val="24"/>
              </w:rPr>
            </w:pPr>
          </w:p>
          <w:p w14:paraId="7A5F78F9" w14:textId="77777777" w:rsidR="005F4F2C" w:rsidRPr="005F4F2C" w:rsidRDefault="005F4F2C" w:rsidP="005F4F2C">
            <w:pPr>
              <w:jc w:val="both"/>
              <w:rPr>
                <w:iCs/>
                <w:sz w:val="24"/>
                <w:szCs w:val="24"/>
              </w:rPr>
            </w:pPr>
            <w:r w:rsidRPr="005F4F2C">
              <w:rPr>
                <w:iCs/>
                <w:sz w:val="24"/>
                <w:szCs w:val="24"/>
              </w:rPr>
              <w:t xml:space="preserve">The previous ARO for 2 shared that the family would often talk about 3 during the review meetings and highlighted the importance of keeping 2 at the centre of planning and recognising that “a child-centred approach is fundamental to safeguarding and promoting the welfare of every child” (HM Government, 2018, p.13). I was able to do this with professionals, however, with 2’s parents however, I found this more difficult as it was natural for conversation to be directed around the difficulties they were facing with 3. </w:t>
            </w:r>
          </w:p>
          <w:p w14:paraId="3BB0EC2E" w14:textId="77777777" w:rsidR="005F4F2C" w:rsidRPr="005F4F2C" w:rsidRDefault="005F4F2C" w:rsidP="005F4F2C">
            <w:pPr>
              <w:jc w:val="both"/>
              <w:rPr>
                <w:iCs/>
                <w:sz w:val="24"/>
                <w:szCs w:val="24"/>
              </w:rPr>
            </w:pPr>
          </w:p>
          <w:p w14:paraId="0D618724" w14:textId="77777777" w:rsidR="005F4F2C" w:rsidRPr="005F4F2C" w:rsidRDefault="005F4F2C" w:rsidP="005F4F2C">
            <w:pPr>
              <w:jc w:val="both"/>
              <w:rPr>
                <w:iCs/>
                <w:sz w:val="24"/>
                <w:szCs w:val="24"/>
              </w:rPr>
            </w:pPr>
            <w:r w:rsidRPr="005F4F2C">
              <w:rPr>
                <w:iCs/>
                <w:sz w:val="24"/>
                <w:szCs w:val="24"/>
              </w:rPr>
              <w:t xml:space="preserve">For my second learning objective, collaborative working, this was evidenced during the process of being allocated to the family, a multi-agency approach has been paramount to the safety planning and support for the family. Regular strategy discussions were taking place with social care team managers, police, community health, education and care agencies to support the family. Regular discussions with a breadth of professionals ensures that safeguarding was everybody’s responsibility, as effective systems require “agencies to work together to protect children” (HM Government, 2018, p.10). It created a space for a variety of knowledge to be shared to support the family, “building everyday safety through collaboration with families” (Turnell and Edwards, 1999, p.3). </w:t>
            </w:r>
          </w:p>
          <w:p w14:paraId="718A2F2A" w14:textId="77777777" w:rsidR="005F4F2C" w:rsidRPr="005F4F2C" w:rsidRDefault="005F4F2C" w:rsidP="005F4F2C">
            <w:pPr>
              <w:jc w:val="both"/>
              <w:rPr>
                <w:iCs/>
                <w:sz w:val="24"/>
                <w:szCs w:val="24"/>
              </w:rPr>
            </w:pPr>
          </w:p>
          <w:p w14:paraId="5D405C36" w14:textId="77777777" w:rsidR="005F4F2C" w:rsidRPr="005F4F2C" w:rsidRDefault="005F4F2C" w:rsidP="005F4F2C">
            <w:pPr>
              <w:jc w:val="both"/>
              <w:rPr>
                <w:iCs/>
                <w:sz w:val="24"/>
                <w:szCs w:val="24"/>
              </w:rPr>
            </w:pPr>
            <w:r w:rsidRPr="005F4F2C">
              <w:rPr>
                <w:iCs/>
                <w:sz w:val="24"/>
                <w:szCs w:val="24"/>
              </w:rPr>
              <w:t xml:space="preserve">In completing the Care and Support Needs Assessment under the Social Services and Well-being (Wales) Act 2014, I worked collaboratively with professionals who had established relationships with 2, including education, health, respite and community services. Under the section 47, child protection enquiries, information sharing is essential, as practitioners should “share information in a timely and secure way where it is necessary to safeguard children” (HM Government, 2018, p.23). </w:t>
            </w:r>
          </w:p>
          <w:p w14:paraId="091E6A7F" w14:textId="77777777" w:rsidR="005F4F2C" w:rsidRPr="005F4F2C" w:rsidRDefault="005F4F2C" w:rsidP="005F4F2C">
            <w:pPr>
              <w:jc w:val="both"/>
              <w:rPr>
                <w:iCs/>
                <w:sz w:val="24"/>
                <w:szCs w:val="24"/>
              </w:rPr>
            </w:pPr>
          </w:p>
          <w:p w14:paraId="6EE84CAC" w14:textId="77777777" w:rsidR="005F4F2C" w:rsidRPr="005F4F2C" w:rsidRDefault="005F4F2C" w:rsidP="005F4F2C">
            <w:pPr>
              <w:jc w:val="both"/>
              <w:rPr>
                <w:iCs/>
                <w:sz w:val="24"/>
                <w:szCs w:val="24"/>
              </w:rPr>
            </w:pPr>
            <w:r w:rsidRPr="005F4F2C">
              <w:rPr>
                <w:iCs/>
                <w:sz w:val="24"/>
                <w:szCs w:val="24"/>
              </w:rPr>
              <w:lastRenderedPageBreak/>
              <w:t>Discussions with 2's paediatrician encouraged me to critically reflect on whether the behaviours being reported within the family home were associated with her diagnosed conditions or were potentially indicative of wider environmental concerns. The paediatrician's view that hoarding was not commonly associated with Down syndrome or learning disability challenged me to avoid making assumptions about the origins of behaviour. This highlighted the importance of professional curiosity and reinforced the need to consider behavioural changes as possible indicators of unmet emotional needs rather than attributing them solely to disability (NSPCC, 2022). While medical expertise provided valuable insight, I recognised the limitation that clinical observations occur within a different context from family life and therefore could not provide a complete explanation for 2's experiences.</w:t>
            </w:r>
          </w:p>
          <w:p w14:paraId="60D247B6" w14:textId="77777777" w:rsidR="005F4F2C" w:rsidRPr="005F4F2C" w:rsidRDefault="005F4F2C" w:rsidP="005F4F2C">
            <w:pPr>
              <w:jc w:val="both"/>
              <w:rPr>
                <w:iCs/>
                <w:sz w:val="24"/>
                <w:szCs w:val="24"/>
              </w:rPr>
            </w:pPr>
          </w:p>
          <w:p w14:paraId="7E15FA3D" w14:textId="77777777" w:rsidR="005F4F2C" w:rsidRPr="005F4F2C" w:rsidRDefault="005F4F2C" w:rsidP="005F4F2C">
            <w:pPr>
              <w:jc w:val="both"/>
              <w:rPr>
                <w:iCs/>
                <w:sz w:val="24"/>
                <w:szCs w:val="24"/>
              </w:rPr>
            </w:pPr>
            <w:r w:rsidRPr="005F4F2C">
              <w:rPr>
                <w:iCs/>
                <w:sz w:val="24"/>
                <w:szCs w:val="24"/>
              </w:rPr>
              <w:t>Information obtained from school and respite further strengthened the assessment by offering comparative perspectives across different environments. The absence of the concerning behaviours in these settings suggested that context may be influencing their presentation. Professionals described 2 as naturally quiet, indicating that this aspect of her behaviour was consistent with their longer-term observations. This reinforced the importance of understanding behaviour as "a key form of communication about a child's lived experience" (Daniel et al., 2010, p.18). This collaborative process enabled me to triangulate information and develop a more balanced assessment rather than relying on a single source of evidence (Munro, 2011). I remained mindful that professional observations are only snapshots of a child's experience and that the absence of behaviours in one setting does not necessarily mean they are not occurring elsewhere. Agreement between agencies to monitor and report future concerns created an additional safeguarding network around 2 and demonstrated shared responsibility for her wellbeing.</w:t>
            </w:r>
          </w:p>
          <w:p w14:paraId="2C2DF04B" w14:textId="77777777" w:rsidR="005F4F2C" w:rsidRPr="005F4F2C" w:rsidRDefault="005F4F2C" w:rsidP="005F4F2C">
            <w:pPr>
              <w:jc w:val="both"/>
              <w:rPr>
                <w:iCs/>
                <w:sz w:val="24"/>
                <w:szCs w:val="24"/>
              </w:rPr>
            </w:pPr>
          </w:p>
          <w:p w14:paraId="79684A14" w14:textId="77777777" w:rsidR="005F4F2C" w:rsidRPr="005F4F2C" w:rsidRDefault="005F4F2C" w:rsidP="005F4F2C">
            <w:pPr>
              <w:jc w:val="both"/>
              <w:rPr>
                <w:iCs/>
                <w:sz w:val="24"/>
                <w:szCs w:val="24"/>
              </w:rPr>
            </w:pPr>
            <w:r w:rsidRPr="005F4F2C">
              <w:rPr>
                <w:iCs/>
                <w:sz w:val="24"/>
                <w:szCs w:val="24"/>
              </w:rPr>
              <w:t>Collaboration with the safeguarding lead at 2's social club provided further context regarding her disclosure. This information prompted me to reflect critically on how children's views can be influenced by the emotional experiences of those around them. The discussion suggested that 2 may have been responding to her parent’s distress at the time. While this offered a possible explanation for the disclosure, I was careful not to minimise 2's account or dismiss the possibility of underlying concerns. Instead, the information encouraged me to consider that both the direct and indirect impacts of parental distress can “significantly influence children’s emotional wellbeing” (Masten and Cicchetti, 2016, p.273). The contribution from the social club added a perspective that may not have been captured through statutory services alone, highlighting the value of multi-agency collaboration in building a fuller understanding of a child's lived experience. Reflecting on this process, I recognised that effective collaborative working is not simply about gathering information but critically evaluating differing viewpoints to support balanced, defensible decision-making. Maintaining a child-centred focus throughout enabled me to consider all available evidence while ensuring that 2's voice remained central to the safeguarding enquiry.</w:t>
            </w:r>
          </w:p>
          <w:p w14:paraId="30EEE37E" w14:textId="77777777" w:rsidR="005F4F2C" w:rsidRPr="005F4F2C" w:rsidRDefault="005F4F2C" w:rsidP="005F4F2C">
            <w:pPr>
              <w:jc w:val="both"/>
              <w:rPr>
                <w:iCs/>
                <w:sz w:val="24"/>
                <w:szCs w:val="24"/>
              </w:rPr>
            </w:pPr>
          </w:p>
          <w:p w14:paraId="579A26EC" w14:textId="77777777" w:rsidR="005F4F2C" w:rsidRPr="005F4F2C" w:rsidRDefault="005F4F2C" w:rsidP="005F4F2C">
            <w:pPr>
              <w:jc w:val="both"/>
              <w:rPr>
                <w:iCs/>
                <w:sz w:val="24"/>
                <w:szCs w:val="24"/>
              </w:rPr>
            </w:pPr>
            <w:r w:rsidRPr="005F4F2C">
              <w:rPr>
                <w:iCs/>
                <w:sz w:val="24"/>
                <w:szCs w:val="24"/>
              </w:rPr>
              <w:t xml:space="preserve">Bronfenbrenner's Ecological Systems Theory (1979) further informed my understanding of 2's experiences by recognising that children develop within multiple interconnected environments. Whilst risks were present within the family home (microsystem), information gathered from school, respite and social club settings identified positive experiences and protective relationships. The family's geographical isolation within a rural community also </w:t>
            </w:r>
            <w:r w:rsidRPr="005F4F2C">
              <w:rPr>
                <w:iCs/>
                <w:sz w:val="24"/>
                <w:szCs w:val="24"/>
              </w:rPr>
              <w:lastRenderedPageBreak/>
              <w:t>highlighted the influence of wider environmental factors (</w:t>
            </w:r>
            <w:proofErr w:type="spellStart"/>
            <w:r w:rsidRPr="005F4F2C">
              <w:rPr>
                <w:iCs/>
                <w:sz w:val="24"/>
                <w:szCs w:val="24"/>
              </w:rPr>
              <w:t>exosystem</w:t>
            </w:r>
            <w:proofErr w:type="spellEnd"/>
            <w:r w:rsidRPr="005F4F2C">
              <w:rPr>
                <w:iCs/>
                <w:sz w:val="24"/>
                <w:szCs w:val="24"/>
              </w:rPr>
              <w:t>) on access to services and emergency support. Applying an ecological perspective enabled me to consider both risk and protective factors across the different systems influencing 2's wellbeing.</w:t>
            </w:r>
          </w:p>
          <w:p w14:paraId="4FD416E2" w14:textId="77777777" w:rsidR="005F4F2C" w:rsidRPr="005F4F2C" w:rsidRDefault="005F4F2C" w:rsidP="005F4F2C">
            <w:pPr>
              <w:jc w:val="both"/>
              <w:rPr>
                <w:iCs/>
                <w:sz w:val="24"/>
                <w:szCs w:val="24"/>
              </w:rPr>
            </w:pPr>
          </w:p>
          <w:p w14:paraId="167EAC34" w14:textId="2F6D66A3" w:rsidR="005F4F2C" w:rsidRPr="005F4F2C" w:rsidRDefault="005F4F2C" w:rsidP="005F4F2C">
            <w:pPr>
              <w:jc w:val="both"/>
              <w:rPr>
                <w:iCs/>
                <w:sz w:val="24"/>
                <w:szCs w:val="24"/>
              </w:rPr>
            </w:pPr>
            <w:r w:rsidRPr="005F4F2C">
              <w:rPr>
                <w:iCs/>
                <w:sz w:val="24"/>
                <w:szCs w:val="24"/>
              </w:rPr>
              <w:t>As concerns emerged regarding potential harm, my practice became informed by the Children Act 1989 and the Human Rights Act 1998. Article 8 of the European Convention on Human Rights protects the right to private and family life, requiring social workers to ensure that interventions are lawful, necessary and proportionate</w:t>
            </w:r>
            <w:r w:rsidR="00B15726">
              <w:rPr>
                <w:iCs/>
                <w:sz w:val="24"/>
                <w:szCs w:val="24"/>
              </w:rPr>
              <w:t xml:space="preserve"> </w:t>
            </w:r>
            <w:r w:rsidR="00B15726" w:rsidRPr="00B15726">
              <w:rPr>
                <w:iCs/>
                <w:sz w:val="24"/>
                <w:szCs w:val="24"/>
              </w:rPr>
              <w:t>(Human Rights Act 1998)</w:t>
            </w:r>
            <w:r w:rsidRPr="005F4F2C">
              <w:rPr>
                <w:iCs/>
                <w:sz w:val="24"/>
                <w:szCs w:val="24"/>
              </w:rPr>
              <w:t>. This shifted the focus from assessing need under the Social Services and Well-being (Wales) Act 2014 to investigating and managing potential safeguarding risks</w:t>
            </w:r>
            <w:r w:rsidR="00B15726">
              <w:rPr>
                <w:iCs/>
                <w:sz w:val="24"/>
                <w:szCs w:val="24"/>
              </w:rPr>
              <w:t xml:space="preserve"> </w:t>
            </w:r>
            <w:r w:rsidR="00B15726" w:rsidRPr="00B15726">
              <w:rPr>
                <w:iCs/>
                <w:sz w:val="24"/>
                <w:szCs w:val="24"/>
              </w:rPr>
              <w:t>(Children Act 1989, s.47)</w:t>
            </w:r>
            <w:r w:rsidRPr="005F4F2C">
              <w:rPr>
                <w:iCs/>
                <w:sz w:val="24"/>
                <w:szCs w:val="24"/>
              </w:rPr>
              <w:t>. Although the United Kingdom is no longer a member of the European Union (EU), the Human Rights Act 1998 remains in force and continues to incorporate rights contained within the European Convention on Human Rights into UK law</w:t>
            </w:r>
            <w:r w:rsidR="00B15726">
              <w:rPr>
                <w:iCs/>
                <w:sz w:val="24"/>
                <w:szCs w:val="24"/>
              </w:rPr>
              <w:t xml:space="preserve"> </w:t>
            </w:r>
            <w:r w:rsidR="00B15726" w:rsidRPr="00B15726">
              <w:rPr>
                <w:iCs/>
                <w:sz w:val="24"/>
                <w:szCs w:val="24"/>
              </w:rPr>
              <w:t>(Human Rights Act 1998)</w:t>
            </w:r>
            <w:r w:rsidRPr="005F4F2C">
              <w:rPr>
                <w:iCs/>
                <w:sz w:val="24"/>
                <w:szCs w:val="24"/>
              </w:rPr>
              <w:t>. Throughout the Section 47 enquiries, I balanced the family's right to remain together with 2's right to protection from harm, demonstrating the ongoing tension between family autonomy and safeguarding responsibilities within Welsh practice.</w:t>
            </w:r>
            <w:r w:rsidR="00B15726">
              <w:t xml:space="preserve"> </w:t>
            </w:r>
            <w:r w:rsidR="00B15726" w:rsidRPr="00B15726">
              <w:rPr>
                <w:iCs/>
                <w:sz w:val="24"/>
                <w:szCs w:val="24"/>
              </w:rPr>
              <w:t>(Children Act 1989; Human Rights Act 1998).</w:t>
            </w:r>
          </w:p>
          <w:p w14:paraId="14A1010A" w14:textId="77777777" w:rsidR="005F4F2C" w:rsidRPr="005F4F2C" w:rsidRDefault="005F4F2C" w:rsidP="005F4F2C">
            <w:pPr>
              <w:jc w:val="both"/>
              <w:rPr>
                <w:iCs/>
                <w:sz w:val="24"/>
                <w:szCs w:val="24"/>
              </w:rPr>
            </w:pPr>
          </w:p>
          <w:p w14:paraId="7FB18E4F" w14:textId="77777777" w:rsidR="005F4F2C" w:rsidRPr="005F4F2C" w:rsidRDefault="005F4F2C" w:rsidP="005F4F2C">
            <w:pPr>
              <w:jc w:val="both"/>
              <w:rPr>
                <w:iCs/>
                <w:sz w:val="24"/>
                <w:szCs w:val="24"/>
              </w:rPr>
            </w:pPr>
            <w:r w:rsidRPr="005F4F2C">
              <w:rPr>
                <w:iCs/>
                <w:sz w:val="24"/>
                <w:szCs w:val="24"/>
              </w:rPr>
              <w:t xml:space="preserve">Working with another family who had relocated from Ukraine prompted reflection on how safeguarding systems operate internationally. Ukraine's child welfare framework, rooted in the UNCRC, promotes children's rights and family-based care but has been significantly challenged by conflict and displacement, placing children at increased risk of exploitation, separation and trauma (CP </w:t>
            </w:r>
            <w:proofErr w:type="spellStart"/>
            <w:r w:rsidRPr="005F4F2C">
              <w:rPr>
                <w:iCs/>
                <w:sz w:val="24"/>
                <w:szCs w:val="24"/>
              </w:rPr>
              <w:t>AoR</w:t>
            </w:r>
            <w:proofErr w:type="spellEnd"/>
            <w:r w:rsidRPr="005F4F2C">
              <w:rPr>
                <w:iCs/>
                <w:sz w:val="24"/>
                <w:szCs w:val="24"/>
              </w:rPr>
              <w:t>, 2024). Similar challenges can be observed in Palestine, where child protection legislation (Birzeit University Law Centre, n.d.) reflects international children's rights principles but ongoing conflict impacts implementation and children's safety (</w:t>
            </w:r>
            <w:proofErr w:type="spellStart"/>
            <w:r w:rsidRPr="005F4F2C">
              <w:rPr>
                <w:iCs/>
                <w:sz w:val="24"/>
                <w:szCs w:val="24"/>
              </w:rPr>
              <w:t>Qafisheh</w:t>
            </w:r>
            <w:proofErr w:type="spellEnd"/>
            <w:r w:rsidRPr="005F4F2C">
              <w:rPr>
                <w:iCs/>
                <w:sz w:val="24"/>
                <w:szCs w:val="24"/>
              </w:rPr>
              <w:t xml:space="preserve">, 2017; UNICEF, 2021). Developing an understanding of global child protection systems has enabled me to critically examine the relationship between Welsh safeguarding arrangements and international approaches to protecting children. Although safeguarding frameworks operate within different legal, political and cultural contexts, they share common principles rooted in the United Nations Convention on the Rights of the Child (UNCRC), including promoting the child's best interests, protecting children from harm, encouraging participation in decision-making and supporting the right to family life (United Nations, 1989). These shared values demonstrate that safeguarding is a universal responsibility, despite differences in how individual countries implement child protection legislation and services. It has supported me to recognise that effective safeguarding practice must be culturally informed while remaining firmly grounded in Welsh legislation, policy and procedures. </w:t>
            </w:r>
          </w:p>
          <w:p w14:paraId="59AD56F2" w14:textId="77777777" w:rsidR="005F4F2C" w:rsidRPr="005F4F2C" w:rsidRDefault="005F4F2C" w:rsidP="005F4F2C">
            <w:pPr>
              <w:jc w:val="both"/>
              <w:rPr>
                <w:iCs/>
                <w:sz w:val="24"/>
                <w:szCs w:val="24"/>
              </w:rPr>
            </w:pPr>
          </w:p>
          <w:p w14:paraId="69ED71A1" w14:textId="2F856504" w:rsidR="005F4F2C" w:rsidRPr="005F4F2C" w:rsidRDefault="005F4F2C" w:rsidP="005F4F2C">
            <w:pPr>
              <w:jc w:val="both"/>
              <w:rPr>
                <w:iCs/>
                <w:sz w:val="24"/>
                <w:szCs w:val="24"/>
              </w:rPr>
            </w:pPr>
            <w:r w:rsidRPr="005F4F2C">
              <w:rPr>
                <w:iCs/>
                <w:sz w:val="24"/>
                <w:szCs w:val="24"/>
              </w:rPr>
              <w:t xml:space="preserve">When working with 2’s family around the placement that was available for 3, the staff team was shared with parents for 3 to be introduced gradually. The parent’s initial reaction was concern for the staff due to their gender and race. 3 and his family come from a rural Welsh village that does not have much diversity, reflecting that some communities have </w:t>
            </w:r>
            <w:r w:rsidR="00C456A1" w:rsidRPr="00C456A1">
              <w:rPr>
                <w:iCs/>
                <w:sz w:val="24"/>
                <w:szCs w:val="24"/>
              </w:rPr>
              <w:t>fewer opportunities to engage with ethnically diverse populations, which can affect cultural awareness and understanding</w:t>
            </w:r>
            <w:r w:rsidR="00C456A1">
              <w:rPr>
                <w:iCs/>
                <w:sz w:val="24"/>
                <w:szCs w:val="24"/>
              </w:rPr>
              <w:t xml:space="preserve"> </w:t>
            </w:r>
            <w:r w:rsidRPr="005F4F2C">
              <w:rPr>
                <w:iCs/>
                <w:sz w:val="24"/>
                <w:szCs w:val="24"/>
              </w:rPr>
              <w:t>(Welsh Government, 202</w:t>
            </w:r>
            <w:r w:rsidR="00B15726">
              <w:rPr>
                <w:iCs/>
                <w:sz w:val="24"/>
                <w:szCs w:val="24"/>
              </w:rPr>
              <w:t>1</w:t>
            </w:r>
            <w:r w:rsidRPr="005F4F2C">
              <w:rPr>
                <w:iCs/>
                <w:sz w:val="24"/>
                <w:szCs w:val="24"/>
              </w:rPr>
              <w:t xml:space="preserve">). Parents were worried that 3 would be verbally abusive towards staff with different cultural backgrounds and features, such as skin colour. They were also worried that female staff would not be strong enough to manage behaviours that challenge or may be targeted with aggressive and sexual behaviour. Unfortunately, there is racism and misogyny within care, requiring practitioners to challenge </w:t>
            </w:r>
            <w:r w:rsidRPr="005F4F2C">
              <w:rPr>
                <w:iCs/>
                <w:sz w:val="24"/>
                <w:szCs w:val="24"/>
              </w:rPr>
              <w:lastRenderedPageBreak/>
              <w:t>discrimination as part of anti-oppressive social work practice</w:t>
            </w:r>
            <w:r w:rsidR="00C456A1">
              <w:rPr>
                <w:iCs/>
                <w:sz w:val="24"/>
                <w:szCs w:val="24"/>
              </w:rPr>
              <w:t xml:space="preserve"> </w:t>
            </w:r>
            <w:r w:rsidRPr="005F4F2C">
              <w:rPr>
                <w:iCs/>
                <w:sz w:val="24"/>
                <w:szCs w:val="24"/>
              </w:rPr>
              <w:t>(BASW, 2021). A discussion was had with parents that staff, females and males have been trained correctly to respond to behaviours that challenge. Staff would be working 2:1 and would be able to support each other and follow the correct protocols if in a position that compromises their safety. In relation to any racism the staff may experience from 3, this would also be addressed with 3 directly, according to the model of care of the placement. The Reset model would be used which would address any behaviours of concern modelling that certain language is not acceptable, promoting behaviour change without shame, where approaches emphasise “restorative and relationship-based responses” (Ward, 2019, p.77).</w:t>
            </w:r>
          </w:p>
          <w:p w14:paraId="552D2705" w14:textId="77777777" w:rsidR="005F4F2C" w:rsidRPr="005F4F2C" w:rsidRDefault="005F4F2C" w:rsidP="005F4F2C">
            <w:pPr>
              <w:jc w:val="both"/>
              <w:rPr>
                <w:iCs/>
                <w:sz w:val="24"/>
                <w:szCs w:val="24"/>
              </w:rPr>
            </w:pPr>
          </w:p>
          <w:p w14:paraId="403EDC7C" w14:textId="77777777" w:rsidR="005F4F2C" w:rsidRPr="005F4F2C" w:rsidRDefault="005F4F2C" w:rsidP="005F4F2C">
            <w:pPr>
              <w:jc w:val="both"/>
              <w:rPr>
                <w:iCs/>
                <w:sz w:val="24"/>
                <w:szCs w:val="24"/>
              </w:rPr>
            </w:pPr>
            <w:r w:rsidRPr="005F4F2C">
              <w:rPr>
                <w:iCs/>
                <w:sz w:val="24"/>
                <w:szCs w:val="24"/>
              </w:rPr>
              <w:t>When identifying a suitable placement for 3, the parents demonstrated significant difficulty in accepting that they were unable to meet 3's care and support needs whilst simultaneously ensuring the safety and wellbeing of 2. Attachment theory suggests that parents may experience considerable emotional challenges when separation from a child becomes necessary due to the strength of the emotional bond between caregiver and child (Bowlby, 1969). This was evident throughout discussions regarding alternative care arrangements, where parents continued to express a desire to keep both children together despite the identified safeguarding risks.</w:t>
            </w:r>
          </w:p>
          <w:p w14:paraId="469D4994" w14:textId="77777777" w:rsidR="005F4F2C" w:rsidRPr="005F4F2C" w:rsidRDefault="005F4F2C" w:rsidP="005F4F2C">
            <w:pPr>
              <w:jc w:val="both"/>
              <w:rPr>
                <w:iCs/>
                <w:sz w:val="24"/>
                <w:szCs w:val="24"/>
              </w:rPr>
            </w:pPr>
          </w:p>
          <w:p w14:paraId="1B1C8603" w14:textId="77777777" w:rsidR="005F4F2C" w:rsidRPr="005F4F2C" w:rsidRDefault="005F4F2C" w:rsidP="005F4F2C">
            <w:pPr>
              <w:jc w:val="both"/>
              <w:rPr>
                <w:iCs/>
                <w:sz w:val="24"/>
                <w:szCs w:val="24"/>
              </w:rPr>
            </w:pPr>
            <w:r w:rsidRPr="005F4F2C">
              <w:rPr>
                <w:iCs/>
                <w:sz w:val="24"/>
                <w:szCs w:val="24"/>
              </w:rPr>
              <w:t>In relation to the learning objective of making professional judgements, my assessment was informed by the outcome that a suitable placement was ultimately secured for 3. However, I reflected that had the parents refused to engage with, or not consent to, the proposed placement, this would have significantly altered my assessment of parental capacity. Such a decision would have demonstrated an inability to prioritise the safety needs of 2 and may have indicated that the parents were unable to appropriately manage the competing needs of both children. Consequently, this would have provided evidence that the threshold for further statutory intervention may have been met under the Effective Child Protection Risk Assessment Framework (Wales Safeguarding Procedures, 2023).</w:t>
            </w:r>
          </w:p>
          <w:p w14:paraId="304DF35D" w14:textId="77777777" w:rsidR="005F4F2C" w:rsidRPr="005F4F2C" w:rsidRDefault="005F4F2C" w:rsidP="005F4F2C">
            <w:pPr>
              <w:jc w:val="both"/>
              <w:rPr>
                <w:iCs/>
                <w:sz w:val="24"/>
                <w:szCs w:val="24"/>
              </w:rPr>
            </w:pPr>
          </w:p>
          <w:p w14:paraId="397DFB32" w14:textId="53AC28BF" w:rsidR="005F4F2C" w:rsidRPr="005F4F2C" w:rsidRDefault="005F4F2C" w:rsidP="005F4F2C">
            <w:pPr>
              <w:jc w:val="both"/>
              <w:rPr>
                <w:iCs/>
                <w:sz w:val="24"/>
                <w:szCs w:val="24"/>
              </w:rPr>
            </w:pPr>
            <w:r w:rsidRPr="005F4F2C">
              <w:rPr>
                <w:iCs/>
                <w:sz w:val="24"/>
                <w:szCs w:val="24"/>
              </w:rPr>
              <w:t>Professional judgement within safeguarding practice requires practitioners to make "evidence-informed judgements under conditions of uncertainty" (Department for Education, 2018, p.5). My decision-making was guided by the principles of evidence-based practice, which involves integrating research evidence, professional expertise and the views and values of service users to inform interventions and outcomes (Gambrill, 2006). Whilst I was confident that my assessment was proportionate and child-centred, the situation generated considerable professional uncertainty due to the potential consequences for both children and the complexity of the family's circumstances.</w:t>
            </w:r>
          </w:p>
          <w:p w14:paraId="311A80C9" w14:textId="77777777" w:rsidR="005F4F2C" w:rsidRPr="005F4F2C" w:rsidRDefault="005F4F2C" w:rsidP="005F4F2C">
            <w:pPr>
              <w:jc w:val="both"/>
              <w:rPr>
                <w:iCs/>
                <w:sz w:val="24"/>
                <w:szCs w:val="24"/>
              </w:rPr>
            </w:pPr>
          </w:p>
          <w:p w14:paraId="60CB6DC4" w14:textId="77777777" w:rsidR="005F4F2C" w:rsidRPr="005F4F2C" w:rsidRDefault="005F4F2C" w:rsidP="005F4F2C">
            <w:pPr>
              <w:jc w:val="both"/>
              <w:rPr>
                <w:iCs/>
                <w:sz w:val="24"/>
                <w:szCs w:val="24"/>
              </w:rPr>
            </w:pPr>
            <w:r w:rsidRPr="005F4F2C">
              <w:rPr>
                <w:iCs/>
                <w:sz w:val="24"/>
                <w:szCs w:val="24"/>
              </w:rPr>
              <w:t>To support my decision-making, I engaged in regular supervision and case discussions with my manager and multidisciplinary partners. Through this reflective process, I was reassured that the child protection procedures implemented within Conwy had been robustly followed and that comprehensive, evidence-based safety plans were in place to mitigate identified risks. Reflecting on the case retrospectively, I do not believe I would have acted differently, as my decisions were informed by the information available at the time and remained focused on achieving the safest outcome for both children.</w:t>
            </w:r>
          </w:p>
          <w:p w14:paraId="773EF4BB" w14:textId="77777777" w:rsidR="005F4F2C" w:rsidRPr="005F4F2C" w:rsidRDefault="005F4F2C" w:rsidP="005F4F2C">
            <w:pPr>
              <w:jc w:val="both"/>
              <w:rPr>
                <w:iCs/>
                <w:sz w:val="24"/>
                <w:szCs w:val="24"/>
              </w:rPr>
            </w:pPr>
          </w:p>
          <w:p w14:paraId="453FA5CA" w14:textId="1B3A97D6" w:rsidR="005F4F2C" w:rsidRPr="005F4F2C" w:rsidRDefault="005F4F2C" w:rsidP="005F4F2C">
            <w:pPr>
              <w:jc w:val="both"/>
              <w:rPr>
                <w:iCs/>
                <w:sz w:val="24"/>
                <w:szCs w:val="24"/>
              </w:rPr>
            </w:pPr>
            <w:r w:rsidRPr="005F4F2C">
              <w:rPr>
                <w:iCs/>
                <w:sz w:val="24"/>
                <w:szCs w:val="24"/>
              </w:rPr>
              <w:lastRenderedPageBreak/>
              <w:t>Resilience theory further supported my assessment by highlighting the importance of protective factors that help children adapt to adversity (Rutter,</w:t>
            </w:r>
            <w:r w:rsidR="00C456A1">
              <w:rPr>
                <w:iCs/>
                <w:sz w:val="24"/>
                <w:szCs w:val="24"/>
              </w:rPr>
              <w:t xml:space="preserve"> </w:t>
            </w:r>
            <w:r w:rsidRPr="005F4F2C">
              <w:rPr>
                <w:iCs/>
                <w:sz w:val="24"/>
                <w:szCs w:val="24"/>
              </w:rPr>
              <w:t>2012). Despite ongoing exposure to conflict within the home, 2 had several protective factors including supportive parents, attendance at school, respite opportunities and involvement with community activities. These factors helped mitigate some of the identified risks and informed my judgement that safeguarding interventions should build upon existing strengths within the family's support network.</w:t>
            </w:r>
          </w:p>
          <w:p w14:paraId="35C819F7" w14:textId="77777777" w:rsidR="005F4F2C" w:rsidRPr="005F4F2C" w:rsidRDefault="005F4F2C" w:rsidP="005F4F2C">
            <w:pPr>
              <w:jc w:val="both"/>
              <w:rPr>
                <w:iCs/>
                <w:sz w:val="24"/>
                <w:szCs w:val="24"/>
              </w:rPr>
            </w:pPr>
          </w:p>
          <w:p w14:paraId="12DC2F24" w14:textId="5898DB91" w:rsidR="00D3203C" w:rsidRPr="005F4F2C" w:rsidRDefault="005F4F2C" w:rsidP="005F4F2C">
            <w:pPr>
              <w:jc w:val="both"/>
              <w:rPr>
                <w:iCs/>
                <w:sz w:val="24"/>
                <w:szCs w:val="24"/>
              </w:rPr>
            </w:pPr>
            <w:r w:rsidRPr="005F4F2C">
              <w:rPr>
                <w:iCs/>
                <w:sz w:val="24"/>
                <w:szCs w:val="24"/>
              </w:rPr>
              <w:t>Ultimately, the outcome was positive for the family, with 3 moving to a placement that was able to meet their assessed needs whilst reducing the risks posed to 2. However, critical reflection requires consideration of alternative outcomes. Had there been a further escalation in 3's behaviours towards 2 following my assessment, my decision-making may have been subject to greater scrutiny. This highlights the inherent uncertainty within safeguarding practice and reinforces the importance of defensible decision-making, professional curiosity, reflective supervision and ongoing risk assessment. The experience strengthened my appreciation that safeguarding decisions must be based on the best available evidence at a given point in time, whilst recognising that risk remains dynamic and can change rapidly as circumstances evolve.</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5C222972" w14:textId="773DEA02" w:rsidR="00D3203C" w:rsidRPr="0051438B" w:rsidRDefault="0051438B" w:rsidP="00FF7EBB">
            <w:pPr>
              <w:jc w:val="both"/>
              <w:rPr>
                <w:iCs/>
                <w:sz w:val="24"/>
                <w:szCs w:val="24"/>
              </w:rPr>
            </w:pPr>
            <w:r>
              <w:rPr>
                <w:iCs/>
                <w:sz w:val="24"/>
                <w:szCs w:val="24"/>
              </w:rPr>
              <w:t>(Word Count - 4219)</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8AFCBA" w14:textId="77777777" w:rsidR="00897701" w:rsidRDefault="00897701">
      <w:r>
        <w:separator/>
      </w:r>
    </w:p>
  </w:endnote>
  <w:endnote w:type="continuationSeparator" w:id="0">
    <w:p w14:paraId="1A36C519" w14:textId="77777777" w:rsidR="00897701" w:rsidRDefault="008977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44E3D" w14:textId="77777777" w:rsidR="00897701" w:rsidRDefault="00897701">
      <w:r>
        <w:separator/>
      </w:r>
    </w:p>
  </w:footnote>
  <w:footnote w:type="continuationSeparator" w:id="0">
    <w:p w14:paraId="0EA6EBEB" w14:textId="77777777" w:rsidR="00897701" w:rsidRDefault="008977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29A0"/>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438B"/>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4F2C"/>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701"/>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04F"/>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726"/>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56A1"/>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4B05"/>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5BE"/>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519113@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bbievictoria@outlook.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4511</Words>
  <Characters>25719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Abbie Williams</cp:lastModifiedBy>
  <cp:revision>2</cp:revision>
  <cp:lastPrinted>2020-02-11T19:20:00Z</cp:lastPrinted>
  <dcterms:created xsi:type="dcterms:W3CDTF">2026-09-30T14:33:00Z</dcterms:created>
  <dcterms:modified xsi:type="dcterms:W3CDTF">2026-09-30T14:33:00Z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