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3390C6" w14:textId="77777777" w:rsidR="0033113F" w:rsidRPr="00B63D5E" w:rsidRDefault="0033113F" w:rsidP="0020706C">
      <w:pPr>
        <w:pStyle w:val="p1"/>
        <w:spacing w:line="360" w:lineRule="auto"/>
        <w:jc w:val="both"/>
        <w:rPr>
          <w:rFonts w:ascii="Arial" w:hAnsi="Arial" w:cs="Arial"/>
          <w:b/>
          <w:bCs/>
          <w:color w:val="000000" w:themeColor="text1"/>
          <w:sz w:val="22"/>
          <w:szCs w:val="22"/>
        </w:rPr>
      </w:pPr>
      <w:r w:rsidRPr="00B63D5E">
        <w:rPr>
          <w:rStyle w:val="s1"/>
          <w:rFonts w:ascii="Arial" w:hAnsi="Arial" w:cs="Arial"/>
          <w:b/>
          <w:bCs/>
          <w:color w:val="000000" w:themeColor="text1"/>
          <w:sz w:val="22"/>
          <w:szCs w:val="22"/>
        </w:rPr>
        <w:t xml:space="preserve">Student Name: </w:t>
      </w:r>
      <w:proofErr w:type="spellStart"/>
      <w:r w:rsidRPr="00B63D5E">
        <w:rPr>
          <w:rStyle w:val="s1"/>
          <w:rFonts w:ascii="Arial" w:hAnsi="Arial" w:cs="Arial"/>
          <w:b/>
          <w:bCs/>
          <w:color w:val="000000" w:themeColor="text1"/>
          <w:sz w:val="22"/>
          <w:szCs w:val="22"/>
        </w:rPr>
        <w:t>Alexandru</w:t>
      </w:r>
      <w:proofErr w:type="spellEnd"/>
      <w:r w:rsidRPr="00B63D5E">
        <w:rPr>
          <w:rStyle w:val="s1"/>
          <w:rFonts w:ascii="Arial" w:hAnsi="Arial" w:cs="Arial"/>
          <w:b/>
          <w:bCs/>
          <w:color w:val="000000" w:themeColor="text1"/>
          <w:sz w:val="22"/>
          <w:szCs w:val="22"/>
        </w:rPr>
        <w:t xml:space="preserve"> </w:t>
      </w:r>
      <w:proofErr w:type="spellStart"/>
      <w:r w:rsidRPr="00B63D5E">
        <w:rPr>
          <w:rStyle w:val="s1"/>
          <w:rFonts w:ascii="Arial" w:hAnsi="Arial" w:cs="Arial"/>
          <w:b/>
          <w:bCs/>
          <w:color w:val="000000" w:themeColor="text1"/>
          <w:sz w:val="22"/>
          <w:szCs w:val="22"/>
        </w:rPr>
        <w:t>Lavinel</w:t>
      </w:r>
      <w:proofErr w:type="spellEnd"/>
      <w:r w:rsidRPr="00B63D5E">
        <w:rPr>
          <w:rStyle w:val="s1"/>
          <w:rFonts w:ascii="Arial" w:hAnsi="Arial" w:cs="Arial"/>
          <w:b/>
          <w:bCs/>
          <w:color w:val="000000" w:themeColor="text1"/>
          <w:sz w:val="22"/>
          <w:szCs w:val="22"/>
        </w:rPr>
        <w:t xml:space="preserve"> </w:t>
      </w:r>
      <w:proofErr w:type="spellStart"/>
      <w:r w:rsidRPr="00B63D5E">
        <w:rPr>
          <w:rStyle w:val="s1"/>
          <w:rFonts w:ascii="Arial" w:hAnsi="Arial" w:cs="Arial"/>
          <w:b/>
          <w:bCs/>
          <w:color w:val="000000" w:themeColor="text1"/>
          <w:sz w:val="22"/>
          <w:szCs w:val="22"/>
        </w:rPr>
        <w:t>Gaiu</w:t>
      </w:r>
      <w:proofErr w:type="spellEnd"/>
    </w:p>
    <w:p w14:paraId="274605E0" w14:textId="77777777" w:rsidR="0033113F" w:rsidRPr="00B63D5E" w:rsidRDefault="0033113F" w:rsidP="0020706C">
      <w:pPr>
        <w:pStyle w:val="p1"/>
        <w:spacing w:line="360" w:lineRule="auto"/>
        <w:jc w:val="both"/>
        <w:rPr>
          <w:rFonts w:ascii="Arial" w:hAnsi="Arial" w:cs="Arial"/>
          <w:b/>
          <w:bCs/>
          <w:color w:val="000000" w:themeColor="text1"/>
          <w:sz w:val="22"/>
          <w:szCs w:val="22"/>
        </w:rPr>
      </w:pPr>
      <w:r w:rsidRPr="00B63D5E">
        <w:rPr>
          <w:rStyle w:val="s1"/>
          <w:rFonts w:ascii="Arial" w:hAnsi="Arial" w:cs="Arial"/>
          <w:b/>
          <w:bCs/>
          <w:color w:val="000000" w:themeColor="text1"/>
          <w:sz w:val="22"/>
          <w:szCs w:val="22"/>
        </w:rPr>
        <w:t>Student Code: 2332587</w:t>
      </w:r>
    </w:p>
    <w:p w14:paraId="445C2549" w14:textId="5658555B" w:rsidR="0033113F" w:rsidRPr="00B63D5E" w:rsidRDefault="005B7ABE" w:rsidP="0020706C">
      <w:pPr>
        <w:pStyle w:val="p1"/>
        <w:spacing w:line="360" w:lineRule="auto"/>
        <w:jc w:val="both"/>
        <w:rPr>
          <w:rFonts w:ascii="Arial" w:hAnsi="Arial" w:cs="Arial"/>
          <w:b/>
          <w:bCs/>
          <w:color w:val="000000" w:themeColor="text1"/>
          <w:sz w:val="22"/>
          <w:szCs w:val="22"/>
        </w:rPr>
      </w:pPr>
      <w:r w:rsidRPr="00B63D5E">
        <w:rPr>
          <w:rStyle w:val="s1"/>
          <w:rFonts w:ascii="Arial" w:hAnsi="Arial" w:cs="Arial"/>
          <w:b/>
          <w:bCs/>
          <w:color w:val="000000" w:themeColor="text1"/>
          <w:sz w:val="22"/>
          <w:szCs w:val="22"/>
        </w:rPr>
        <w:t>L</w:t>
      </w:r>
      <w:r w:rsidR="0033113F" w:rsidRPr="00B63D5E">
        <w:rPr>
          <w:rStyle w:val="s1"/>
          <w:rFonts w:ascii="Arial" w:hAnsi="Arial" w:cs="Arial"/>
          <w:b/>
          <w:bCs/>
          <w:color w:val="000000" w:themeColor="text1"/>
          <w:sz w:val="22"/>
          <w:szCs w:val="22"/>
        </w:rPr>
        <w:t xml:space="preserve">ecturer Name: </w:t>
      </w:r>
      <w:proofErr w:type="spellStart"/>
      <w:r w:rsidR="0033113F" w:rsidRPr="00B63D5E">
        <w:rPr>
          <w:rStyle w:val="s1"/>
          <w:rFonts w:ascii="Arial" w:hAnsi="Arial" w:cs="Arial"/>
          <w:b/>
          <w:bCs/>
          <w:color w:val="000000" w:themeColor="text1"/>
          <w:sz w:val="22"/>
          <w:szCs w:val="22"/>
        </w:rPr>
        <w:t>Rizwan</w:t>
      </w:r>
      <w:proofErr w:type="spellEnd"/>
      <w:r w:rsidR="0033113F" w:rsidRPr="00B63D5E">
        <w:rPr>
          <w:rStyle w:val="s1"/>
          <w:rFonts w:ascii="Arial" w:hAnsi="Arial" w:cs="Arial"/>
          <w:b/>
          <w:bCs/>
          <w:color w:val="000000" w:themeColor="text1"/>
          <w:sz w:val="22"/>
          <w:szCs w:val="22"/>
        </w:rPr>
        <w:t xml:space="preserve"> </w:t>
      </w:r>
      <w:proofErr w:type="spellStart"/>
      <w:r w:rsidR="0033113F" w:rsidRPr="00B63D5E">
        <w:rPr>
          <w:rStyle w:val="s1"/>
          <w:rFonts w:ascii="Arial" w:hAnsi="Arial" w:cs="Arial"/>
          <w:b/>
          <w:bCs/>
          <w:color w:val="000000" w:themeColor="text1"/>
          <w:sz w:val="22"/>
          <w:szCs w:val="22"/>
        </w:rPr>
        <w:t>Nad</w:t>
      </w:r>
      <w:r w:rsidR="0020706C" w:rsidRPr="00B63D5E">
        <w:rPr>
          <w:rStyle w:val="s1"/>
          <w:rFonts w:ascii="Arial" w:hAnsi="Arial" w:cs="Arial"/>
          <w:b/>
          <w:bCs/>
          <w:color w:val="000000" w:themeColor="text1"/>
          <w:sz w:val="22"/>
          <w:szCs w:val="22"/>
        </w:rPr>
        <w:t>im</w:t>
      </w:r>
      <w:proofErr w:type="spellEnd"/>
    </w:p>
    <w:p w14:paraId="1E0F433A" w14:textId="502575E4" w:rsidR="0033113F" w:rsidRPr="00B63D5E" w:rsidRDefault="005B7ABE" w:rsidP="0020706C">
      <w:pPr>
        <w:pStyle w:val="p1"/>
        <w:spacing w:line="360" w:lineRule="auto"/>
        <w:jc w:val="both"/>
        <w:rPr>
          <w:rFonts w:ascii="Arial" w:hAnsi="Arial" w:cs="Arial"/>
          <w:b/>
          <w:bCs/>
          <w:color w:val="000000" w:themeColor="text1"/>
          <w:sz w:val="22"/>
          <w:szCs w:val="22"/>
        </w:rPr>
      </w:pPr>
      <w:r w:rsidRPr="00B63D5E">
        <w:rPr>
          <w:rStyle w:val="s1"/>
          <w:rFonts w:ascii="Arial" w:hAnsi="Arial" w:cs="Arial"/>
          <w:b/>
          <w:bCs/>
          <w:color w:val="000000" w:themeColor="text1"/>
          <w:sz w:val="22"/>
          <w:szCs w:val="22"/>
        </w:rPr>
        <w:t>M</w:t>
      </w:r>
      <w:r w:rsidR="0033113F" w:rsidRPr="00B63D5E">
        <w:rPr>
          <w:rStyle w:val="s1"/>
          <w:rFonts w:ascii="Arial" w:hAnsi="Arial" w:cs="Arial"/>
          <w:b/>
          <w:bCs/>
          <w:color w:val="000000" w:themeColor="text1"/>
          <w:sz w:val="22"/>
          <w:szCs w:val="22"/>
        </w:rPr>
        <w:t>odule Name: Introduction to Independent Research Ski</w:t>
      </w:r>
      <w:r w:rsidRPr="00B63D5E">
        <w:rPr>
          <w:rStyle w:val="s1"/>
          <w:rFonts w:ascii="Arial" w:hAnsi="Arial" w:cs="Arial"/>
          <w:b/>
          <w:bCs/>
          <w:color w:val="000000" w:themeColor="text1"/>
          <w:sz w:val="22"/>
          <w:szCs w:val="22"/>
        </w:rPr>
        <w:t>lls</w:t>
      </w:r>
    </w:p>
    <w:p w14:paraId="4A92DC84" w14:textId="77777777" w:rsidR="0033113F" w:rsidRPr="00B63D5E" w:rsidRDefault="0033113F" w:rsidP="0020706C">
      <w:pPr>
        <w:pStyle w:val="p1"/>
        <w:spacing w:line="360" w:lineRule="auto"/>
        <w:jc w:val="both"/>
        <w:rPr>
          <w:rFonts w:ascii="Arial" w:hAnsi="Arial" w:cs="Arial"/>
          <w:b/>
          <w:bCs/>
          <w:color w:val="000000" w:themeColor="text1"/>
          <w:sz w:val="22"/>
          <w:szCs w:val="22"/>
        </w:rPr>
      </w:pPr>
      <w:r w:rsidRPr="00B63D5E">
        <w:rPr>
          <w:rStyle w:val="s1"/>
          <w:rFonts w:ascii="Arial" w:hAnsi="Arial" w:cs="Arial"/>
          <w:b/>
          <w:bCs/>
          <w:color w:val="000000" w:themeColor="text1"/>
          <w:sz w:val="22"/>
          <w:szCs w:val="22"/>
        </w:rPr>
        <w:t>Module Code: BMHP5019</w:t>
      </w:r>
    </w:p>
    <w:p w14:paraId="7F2282A0" w14:textId="795954C8" w:rsidR="0033113F" w:rsidRPr="00B63D5E" w:rsidRDefault="0033113F" w:rsidP="0020706C">
      <w:pPr>
        <w:pStyle w:val="p1"/>
        <w:spacing w:line="360" w:lineRule="auto"/>
        <w:jc w:val="both"/>
        <w:rPr>
          <w:rFonts w:ascii="Arial" w:hAnsi="Arial" w:cs="Arial"/>
          <w:b/>
          <w:bCs/>
          <w:color w:val="000000" w:themeColor="text1"/>
          <w:sz w:val="22"/>
          <w:szCs w:val="22"/>
        </w:rPr>
      </w:pPr>
      <w:r w:rsidRPr="00B63D5E">
        <w:rPr>
          <w:rStyle w:val="s1"/>
          <w:rFonts w:ascii="Arial" w:hAnsi="Arial" w:cs="Arial"/>
          <w:b/>
          <w:bCs/>
          <w:color w:val="000000" w:themeColor="text1"/>
          <w:sz w:val="22"/>
          <w:szCs w:val="22"/>
        </w:rPr>
        <w:t xml:space="preserve">Component </w:t>
      </w:r>
      <w:r w:rsidR="005B7ABE" w:rsidRPr="00B63D5E">
        <w:rPr>
          <w:rStyle w:val="s1"/>
          <w:rFonts w:ascii="Arial" w:hAnsi="Arial" w:cs="Arial"/>
          <w:b/>
          <w:bCs/>
          <w:color w:val="000000" w:themeColor="text1"/>
          <w:sz w:val="22"/>
          <w:szCs w:val="22"/>
        </w:rPr>
        <w:t>2</w:t>
      </w:r>
      <w:r w:rsidRPr="00B63D5E">
        <w:rPr>
          <w:rStyle w:val="s1"/>
          <w:rFonts w:ascii="Arial" w:hAnsi="Arial" w:cs="Arial"/>
          <w:b/>
          <w:bCs/>
          <w:color w:val="000000" w:themeColor="text1"/>
          <w:sz w:val="22"/>
          <w:szCs w:val="22"/>
        </w:rPr>
        <w:t xml:space="preserve">: Research </w:t>
      </w:r>
    </w:p>
    <w:p w14:paraId="636C1BDA" w14:textId="77777777" w:rsidR="004D37FE" w:rsidRPr="00B63D5E" w:rsidRDefault="004D37FE" w:rsidP="0020706C">
      <w:pPr>
        <w:pStyle w:val="p1"/>
        <w:spacing w:line="360" w:lineRule="auto"/>
        <w:jc w:val="both"/>
        <w:rPr>
          <w:rStyle w:val="s1"/>
          <w:rFonts w:ascii="Arial" w:hAnsi="Arial" w:cs="Arial"/>
          <w:b/>
          <w:bCs/>
          <w:color w:val="000000" w:themeColor="text1"/>
          <w:sz w:val="22"/>
          <w:szCs w:val="22"/>
        </w:rPr>
      </w:pPr>
    </w:p>
    <w:p w14:paraId="41426DA6" w14:textId="77777777" w:rsidR="004D37FE" w:rsidRPr="00B63D5E" w:rsidRDefault="004D37FE" w:rsidP="0020706C">
      <w:pPr>
        <w:pStyle w:val="p1"/>
        <w:spacing w:line="360" w:lineRule="auto"/>
        <w:jc w:val="both"/>
        <w:rPr>
          <w:rStyle w:val="s1"/>
          <w:rFonts w:ascii="Arial" w:hAnsi="Arial" w:cs="Arial"/>
          <w:b/>
          <w:bCs/>
          <w:color w:val="000000" w:themeColor="text1"/>
          <w:sz w:val="22"/>
          <w:szCs w:val="22"/>
        </w:rPr>
      </w:pPr>
    </w:p>
    <w:p w14:paraId="1092991E" w14:textId="77777777" w:rsidR="001C37D6" w:rsidRPr="001C37D6" w:rsidRDefault="001C37D6" w:rsidP="001C37D6">
      <w:pPr>
        <w:pStyle w:val="p1"/>
        <w:spacing w:line="360" w:lineRule="auto"/>
        <w:jc w:val="both"/>
        <w:rPr>
          <w:rStyle w:val="s1"/>
          <w:rFonts w:ascii="Arial" w:hAnsi="Arial" w:cs="Arial"/>
          <w:color w:val="000000" w:themeColor="text1"/>
          <w:sz w:val="22"/>
          <w:szCs w:val="22"/>
        </w:rPr>
      </w:pPr>
      <w:r w:rsidRPr="001C37D6">
        <w:rPr>
          <w:rStyle w:val="s1"/>
          <w:rFonts w:ascii="Arial" w:hAnsi="Arial" w:cs="Arial"/>
          <w:color w:val="000000" w:themeColor="text1"/>
          <w:sz w:val="22"/>
          <w:szCs w:val="22"/>
        </w:rPr>
        <w:t>Table of contents:</w:t>
      </w:r>
    </w:p>
    <w:p w14:paraId="6308C68C" w14:textId="77777777" w:rsidR="001C37D6" w:rsidRPr="001C37D6" w:rsidRDefault="001C37D6" w:rsidP="001C37D6">
      <w:pPr>
        <w:pStyle w:val="p1"/>
        <w:spacing w:line="360" w:lineRule="auto"/>
        <w:jc w:val="both"/>
        <w:rPr>
          <w:rStyle w:val="s1"/>
          <w:rFonts w:ascii="Arial" w:hAnsi="Arial" w:cs="Arial"/>
          <w:color w:val="000000" w:themeColor="text1"/>
          <w:sz w:val="22"/>
          <w:szCs w:val="22"/>
        </w:rPr>
      </w:pPr>
      <w:r w:rsidRPr="001C37D6">
        <w:rPr>
          <w:rStyle w:val="s1"/>
          <w:rFonts w:ascii="Arial" w:hAnsi="Arial" w:cs="Arial"/>
          <w:color w:val="000000" w:themeColor="text1"/>
          <w:sz w:val="22"/>
          <w:szCs w:val="22"/>
        </w:rPr>
        <w:t>Content…………………………………………………………………….Page Number</w:t>
      </w:r>
    </w:p>
    <w:p w14:paraId="62B5E0F8" w14:textId="77777777" w:rsidR="001C37D6" w:rsidRPr="001C37D6" w:rsidRDefault="001C37D6" w:rsidP="001C37D6">
      <w:pPr>
        <w:pStyle w:val="p1"/>
        <w:spacing w:line="360" w:lineRule="auto"/>
        <w:jc w:val="both"/>
        <w:rPr>
          <w:rStyle w:val="s1"/>
          <w:rFonts w:ascii="Arial" w:hAnsi="Arial" w:cs="Arial"/>
          <w:color w:val="000000" w:themeColor="text1"/>
          <w:sz w:val="22"/>
          <w:szCs w:val="22"/>
        </w:rPr>
      </w:pPr>
      <w:r w:rsidRPr="001C37D6">
        <w:rPr>
          <w:rStyle w:val="s1"/>
          <w:rFonts w:ascii="Arial" w:hAnsi="Arial" w:cs="Arial"/>
          <w:color w:val="000000" w:themeColor="text1"/>
          <w:sz w:val="22"/>
          <w:szCs w:val="22"/>
        </w:rPr>
        <w:t>Introduction……………………………………………………………….2</w:t>
      </w:r>
    </w:p>
    <w:p w14:paraId="76846A73" w14:textId="77777777" w:rsidR="001C37D6" w:rsidRPr="001C37D6" w:rsidRDefault="001C37D6" w:rsidP="001C37D6">
      <w:pPr>
        <w:pStyle w:val="p1"/>
        <w:spacing w:line="360" w:lineRule="auto"/>
        <w:jc w:val="both"/>
        <w:rPr>
          <w:rStyle w:val="s1"/>
          <w:rFonts w:ascii="Arial" w:hAnsi="Arial" w:cs="Arial"/>
          <w:color w:val="000000" w:themeColor="text1"/>
          <w:sz w:val="22"/>
          <w:szCs w:val="22"/>
        </w:rPr>
      </w:pPr>
      <w:r w:rsidRPr="001C37D6">
        <w:rPr>
          <w:rStyle w:val="s1"/>
          <w:rFonts w:ascii="Arial" w:hAnsi="Arial" w:cs="Arial"/>
          <w:color w:val="000000" w:themeColor="text1"/>
          <w:sz w:val="22"/>
          <w:szCs w:val="22"/>
        </w:rPr>
        <w:t>Background……………………………………………………………….4</w:t>
      </w:r>
    </w:p>
    <w:p w14:paraId="50F4AE3E" w14:textId="77777777" w:rsidR="001C37D6" w:rsidRPr="001C37D6" w:rsidRDefault="001C37D6" w:rsidP="001C37D6">
      <w:pPr>
        <w:pStyle w:val="p1"/>
        <w:spacing w:line="360" w:lineRule="auto"/>
        <w:jc w:val="both"/>
        <w:rPr>
          <w:rStyle w:val="s1"/>
          <w:rFonts w:ascii="Arial" w:hAnsi="Arial" w:cs="Arial"/>
          <w:color w:val="000000" w:themeColor="text1"/>
          <w:sz w:val="22"/>
          <w:szCs w:val="22"/>
        </w:rPr>
      </w:pPr>
      <w:r w:rsidRPr="001C37D6">
        <w:rPr>
          <w:rStyle w:val="s1"/>
          <w:rFonts w:ascii="Arial" w:hAnsi="Arial" w:cs="Arial"/>
          <w:color w:val="000000" w:themeColor="text1"/>
          <w:sz w:val="22"/>
          <w:szCs w:val="22"/>
        </w:rPr>
        <w:t>Methods……………………………………………………………………..6</w:t>
      </w:r>
    </w:p>
    <w:p w14:paraId="55CD7316" w14:textId="77777777" w:rsidR="001C37D6" w:rsidRPr="001C37D6" w:rsidRDefault="001C37D6" w:rsidP="001C37D6">
      <w:pPr>
        <w:pStyle w:val="p1"/>
        <w:spacing w:line="360" w:lineRule="auto"/>
        <w:jc w:val="both"/>
        <w:rPr>
          <w:rStyle w:val="s1"/>
          <w:rFonts w:ascii="Arial" w:hAnsi="Arial" w:cs="Arial"/>
          <w:color w:val="000000" w:themeColor="text1"/>
          <w:sz w:val="22"/>
          <w:szCs w:val="22"/>
        </w:rPr>
      </w:pPr>
      <w:r w:rsidRPr="001C37D6">
        <w:rPr>
          <w:rStyle w:val="s1"/>
          <w:rFonts w:ascii="Arial" w:hAnsi="Arial" w:cs="Arial"/>
          <w:color w:val="000000" w:themeColor="text1"/>
          <w:sz w:val="22"/>
          <w:szCs w:val="22"/>
        </w:rPr>
        <w:t>Thematic Analysis…………………………………………………………14</w:t>
      </w:r>
    </w:p>
    <w:p w14:paraId="45C508C8" w14:textId="77777777" w:rsidR="001C37D6" w:rsidRPr="001C37D6" w:rsidRDefault="001C37D6" w:rsidP="001C37D6">
      <w:pPr>
        <w:pStyle w:val="p1"/>
        <w:spacing w:line="360" w:lineRule="auto"/>
        <w:jc w:val="both"/>
        <w:rPr>
          <w:rStyle w:val="s1"/>
          <w:rFonts w:ascii="Arial" w:hAnsi="Arial" w:cs="Arial"/>
          <w:color w:val="000000" w:themeColor="text1"/>
          <w:sz w:val="22"/>
          <w:szCs w:val="22"/>
        </w:rPr>
      </w:pPr>
      <w:r w:rsidRPr="001C37D6">
        <w:rPr>
          <w:rStyle w:val="s1"/>
          <w:rFonts w:ascii="Arial" w:hAnsi="Arial" w:cs="Arial"/>
          <w:color w:val="000000" w:themeColor="text1"/>
          <w:sz w:val="22"/>
          <w:szCs w:val="22"/>
        </w:rPr>
        <w:t>Discussion…………………………………………………………………..19</w:t>
      </w:r>
    </w:p>
    <w:p w14:paraId="32EEA8D0" w14:textId="77777777" w:rsidR="001C37D6" w:rsidRPr="001C37D6" w:rsidRDefault="001C37D6" w:rsidP="001C37D6">
      <w:pPr>
        <w:pStyle w:val="p1"/>
        <w:spacing w:line="360" w:lineRule="auto"/>
        <w:jc w:val="both"/>
        <w:rPr>
          <w:rStyle w:val="s1"/>
          <w:rFonts w:ascii="Arial" w:hAnsi="Arial" w:cs="Arial"/>
          <w:color w:val="000000" w:themeColor="text1"/>
          <w:sz w:val="22"/>
          <w:szCs w:val="22"/>
        </w:rPr>
      </w:pPr>
      <w:r w:rsidRPr="001C37D6">
        <w:rPr>
          <w:rStyle w:val="s1"/>
          <w:rFonts w:ascii="Arial" w:hAnsi="Arial" w:cs="Arial"/>
          <w:color w:val="000000" w:themeColor="text1"/>
          <w:sz w:val="22"/>
          <w:szCs w:val="22"/>
        </w:rPr>
        <w:t>Conclusion and Recommendations…………………………………….22</w:t>
      </w:r>
    </w:p>
    <w:p w14:paraId="2B8509CE" w14:textId="08CF0A55" w:rsidR="004D37FE" w:rsidRPr="005B7ABE" w:rsidRDefault="001C37D6" w:rsidP="0020706C">
      <w:pPr>
        <w:pStyle w:val="p1"/>
        <w:spacing w:line="360" w:lineRule="auto"/>
        <w:jc w:val="both"/>
        <w:rPr>
          <w:rStyle w:val="s1"/>
          <w:rFonts w:ascii="Arial" w:hAnsi="Arial" w:cs="Arial"/>
          <w:color w:val="000000" w:themeColor="text1"/>
          <w:sz w:val="22"/>
          <w:szCs w:val="22"/>
        </w:rPr>
      </w:pPr>
      <w:r w:rsidRPr="001C37D6">
        <w:rPr>
          <w:rStyle w:val="s1"/>
          <w:rFonts w:ascii="Arial" w:hAnsi="Arial" w:cs="Arial"/>
          <w:color w:val="000000" w:themeColor="text1"/>
          <w:sz w:val="22"/>
          <w:szCs w:val="22"/>
        </w:rPr>
        <w:t>References……………………………………………………………………23</w:t>
      </w:r>
    </w:p>
    <w:p w14:paraId="0FCDFA68" w14:textId="77777777" w:rsidR="004D37FE" w:rsidRPr="005B7ABE" w:rsidRDefault="004D37FE" w:rsidP="0020706C">
      <w:pPr>
        <w:pStyle w:val="p1"/>
        <w:spacing w:line="360" w:lineRule="auto"/>
        <w:jc w:val="both"/>
        <w:rPr>
          <w:rStyle w:val="s1"/>
          <w:rFonts w:ascii="Arial" w:hAnsi="Arial" w:cs="Arial"/>
          <w:color w:val="000000" w:themeColor="text1"/>
          <w:sz w:val="22"/>
          <w:szCs w:val="22"/>
        </w:rPr>
      </w:pPr>
    </w:p>
    <w:p w14:paraId="259B9A61" w14:textId="77777777" w:rsidR="004D37FE" w:rsidRDefault="004D37FE" w:rsidP="0020706C">
      <w:pPr>
        <w:pStyle w:val="p1"/>
        <w:spacing w:line="360" w:lineRule="auto"/>
        <w:jc w:val="both"/>
        <w:rPr>
          <w:rStyle w:val="s1"/>
          <w:rFonts w:ascii="Arial" w:hAnsi="Arial" w:cs="Arial"/>
          <w:color w:val="000000" w:themeColor="text1"/>
          <w:sz w:val="22"/>
          <w:szCs w:val="22"/>
        </w:rPr>
      </w:pPr>
    </w:p>
    <w:p w14:paraId="55799417" w14:textId="77777777" w:rsidR="00CE3C0E" w:rsidRDefault="00CE3C0E" w:rsidP="0020706C">
      <w:pPr>
        <w:pStyle w:val="p1"/>
        <w:spacing w:line="360" w:lineRule="auto"/>
        <w:jc w:val="both"/>
        <w:rPr>
          <w:rStyle w:val="s1"/>
          <w:rFonts w:ascii="Arial" w:hAnsi="Arial" w:cs="Arial"/>
          <w:color w:val="000000" w:themeColor="text1"/>
          <w:sz w:val="22"/>
          <w:szCs w:val="22"/>
        </w:rPr>
      </w:pPr>
    </w:p>
    <w:p w14:paraId="27F54956" w14:textId="77777777" w:rsidR="00CE3C0E" w:rsidRDefault="00CE3C0E" w:rsidP="0020706C">
      <w:pPr>
        <w:pStyle w:val="p1"/>
        <w:spacing w:line="360" w:lineRule="auto"/>
        <w:jc w:val="both"/>
        <w:rPr>
          <w:rStyle w:val="s1"/>
          <w:rFonts w:ascii="Arial" w:hAnsi="Arial" w:cs="Arial"/>
          <w:color w:val="000000" w:themeColor="text1"/>
          <w:sz w:val="22"/>
          <w:szCs w:val="22"/>
        </w:rPr>
      </w:pPr>
    </w:p>
    <w:p w14:paraId="2EE81FDC" w14:textId="77777777" w:rsidR="00CE3C0E" w:rsidRDefault="00CE3C0E" w:rsidP="0020706C">
      <w:pPr>
        <w:pStyle w:val="p1"/>
        <w:spacing w:line="360" w:lineRule="auto"/>
        <w:jc w:val="both"/>
        <w:rPr>
          <w:rStyle w:val="s1"/>
          <w:rFonts w:ascii="Arial" w:hAnsi="Arial" w:cs="Arial"/>
          <w:color w:val="000000" w:themeColor="text1"/>
          <w:sz w:val="22"/>
          <w:szCs w:val="22"/>
        </w:rPr>
      </w:pPr>
    </w:p>
    <w:p w14:paraId="1A042504" w14:textId="77777777" w:rsidR="00CE3C0E" w:rsidRDefault="00CE3C0E" w:rsidP="0020706C">
      <w:pPr>
        <w:pStyle w:val="p1"/>
        <w:spacing w:line="360" w:lineRule="auto"/>
        <w:jc w:val="both"/>
        <w:rPr>
          <w:rStyle w:val="s1"/>
          <w:rFonts w:ascii="Arial" w:hAnsi="Arial" w:cs="Arial"/>
          <w:color w:val="000000" w:themeColor="text1"/>
          <w:sz w:val="22"/>
          <w:szCs w:val="22"/>
        </w:rPr>
      </w:pPr>
    </w:p>
    <w:p w14:paraId="03C77822" w14:textId="77777777" w:rsidR="00CE3C0E" w:rsidRDefault="00CE3C0E" w:rsidP="0020706C">
      <w:pPr>
        <w:pStyle w:val="p1"/>
        <w:spacing w:line="360" w:lineRule="auto"/>
        <w:jc w:val="both"/>
        <w:rPr>
          <w:rStyle w:val="s1"/>
          <w:rFonts w:ascii="Arial" w:hAnsi="Arial" w:cs="Arial"/>
          <w:color w:val="000000" w:themeColor="text1"/>
          <w:sz w:val="22"/>
          <w:szCs w:val="22"/>
        </w:rPr>
      </w:pPr>
    </w:p>
    <w:p w14:paraId="55B5E7CF" w14:textId="77777777" w:rsidR="00CE3C0E" w:rsidRDefault="00CE3C0E" w:rsidP="0020706C">
      <w:pPr>
        <w:pStyle w:val="p1"/>
        <w:spacing w:line="360" w:lineRule="auto"/>
        <w:jc w:val="both"/>
        <w:rPr>
          <w:rStyle w:val="s1"/>
          <w:rFonts w:ascii="Arial" w:hAnsi="Arial" w:cs="Arial"/>
          <w:color w:val="000000" w:themeColor="text1"/>
          <w:sz w:val="22"/>
          <w:szCs w:val="22"/>
        </w:rPr>
      </w:pPr>
    </w:p>
    <w:p w14:paraId="716985C7" w14:textId="77777777" w:rsidR="00CE3C0E" w:rsidRDefault="00CE3C0E" w:rsidP="0020706C">
      <w:pPr>
        <w:pStyle w:val="p1"/>
        <w:spacing w:line="360" w:lineRule="auto"/>
        <w:jc w:val="both"/>
        <w:rPr>
          <w:rStyle w:val="s1"/>
          <w:rFonts w:ascii="Arial" w:hAnsi="Arial" w:cs="Arial"/>
          <w:color w:val="000000" w:themeColor="text1"/>
          <w:sz w:val="22"/>
          <w:szCs w:val="22"/>
        </w:rPr>
      </w:pPr>
    </w:p>
    <w:p w14:paraId="03E74540" w14:textId="77777777" w:rsidR="00CE3C0E" w:rsidRDefault="00CE3C0E" w:rsidP="0020706C">
      <w:pPr>
        <w:pStyle w:val="p1"/>
        <w:spacing w:line="360" w:lineRule="auto"/>
        <w:jc w:val="both"/>
        <w:rPr>
          <w:rStyle w:val="s1"/>
          <w:rFonts w:ascii="Arial" w:hAnsi="Arial" w:cs="Arial"/>
          <w:color w:val="000000" w:themeColor="text1"/>
          <w:sz w:val="22"/>
          <w:szCs w:val="22"/>
        </w:rPr>
      </w:pPr>
    </w:p>
    <w:p w14:paraId="07E9A118" w14:textId="77777777" w:rsidR="00CE3C0E" w:rsidRDefault="00CE3C0E" w:rsidP="0020706C">
      <w:pPr>
        <w:pStyle w:val="p1"/>
        <w:spacing w:line="360" w:lineRule="auto"/>
        <w:jc w:val="both"/>
        <w:rPr>
          <w:rStyle w:val="s1"/>
          <w:rFonts w:ascii="Arial" w:hAnsi="Arial" w:cs="Arial"/>
          <w:color w:val="000000" w:themeColor="text1"/>
          <w:sz w:val="22"/>
          <w:szCs w:val="22"/>
        </w:rPr>
      </w:pPr>
    </w:p>
    <w:p w14:paraId="2E26C2BB" w14:textId="77777777" w:rsidR="00CE3C0E" w:rsidRDefault="00CE3C0E" w:rsidP="0020706C">
      <w:pPr>
        <w:pStyle w:val="p1"/>
        <w:spacing w:line="360" w:lineRule="auto"/>
        <w:jc w:val="both"/>
        <w:rPr>
          <w:rStyle w:val="s1"/>
          <w:rFonts w:ascii="Arial" w:hAnsi="Arial" w:cs="Arial"/>
          <w:color w:val="000000" w:themeColor="text1"/>
          <w:sz w:val="22"/>
          <w:szCs w:val="22"/>
        </w:rPr>
      </w:pPr>
    </w:p>
    <w:p w14:paraId="217B15F7" w14:textId="77777777" w:rsidR="00CE3C0E" w:rsidRDefault="00CE3C0E" w:rsidP="0020706C">
      <w:pPr>
        <w:pStyle w:val="p1"/>
        <w:spacing w:line="360" w:lineRule="auto"/>
        <w:jc w:val="both"/>
        <w:rPr>
          <w:rStyle w:val="s1"/>
          <w:rFonts w:ascii="Arial" w:hAnsi="Arial" w:cs="Arial"/>
          <w:color w:val="000000" w:themeColor="text1"/>
          <w:sz w:val="22"/>
          <w:szCs w:val="22"/>
        </w:rPr>
      </w:pPr>
    </w:p>
    <w:p w14:paraId="34F08732" w14:textId="77777777" w:rsidR="00CE3C0E" w:rsidRDefault="00CE3C0E" w:rsidP="0020706C">
      <w:pPr>
        <w:pStyle w:val="p1"/>
        <w:spacing w:line="360" w:lineRule="auto"/>
        <w:jc w:val="both"/>
        <w:rPr>
          <w:rStyle w:val="s1"/>
          <w:rFonts w:ascii="Arial" w:hAnsi="Arial" w:cs="Arial"/>
          <w:color w:val="000000" w:themeColor="text1"/>
          <w:sz w:val="22"/>
          <w:szCs w:val="22"/>
        </w:rPr>
      </w:pPr>
    </w:p>
    <w:p w14:paraId="5422ADBE" w14:textId="77777777" w:rsidR="00CE3C0E" w:rsidRPr="005B7ABE" w:rsidRDefault="00CE3C0E" w:rsidP="0020706C">
      <w:pPr>
        <w:pStyle w:val="p1"/>
        <w:spacing w:line="360" w:lineRule="auto"/>
        <w:jc w:val="both"/>
        <w:rPr>
          <w:rStyle w:val="s1"/>
          <w:rFonts w:ascii="Arial" w:hAnsi="Arial" w:cs="Arial"/>
          <w:color w:val="000000" w:themeColor="text1"/>
          <w:sz w:val="22"/>
          <w:szCs w:val="22"/>
        </w:rPr>
      </w:pPr>
    </w:p>
    <w:p w14:paraId="4D06B1D3" w14:textId="77777777" w:rsidR="004D37FE" w:rsidRPr="005B7ABE" w:rsidRDefault="004D37FE" w:rsidP="0020706C">
      <w:pPr>
        <w:pStyle w:val="p1"/>
        <w:spacing w:line="360" w:lineRule="auto"/>
        <w:jc w:val="both"/>
        <w:rPr>
          <w:rStyle w:val="s1"/>
          <w:rFonts w:ascii="Arial" w:hAnsi="Arial" w:cs="Arial"/>
          <w:color w:val="000000" w:themeColor="text1"/>
          <w:sz w:val="22"/>
          <w:szCs w:val="22"/>
        </w:rPr>
      </w:pPr>
    </w:p>
    <w:p w14:paraId="0E55C0D4" w14:textId="77777777" w:rsidR="004D37FE" w:rsidRPr="005B7ABE" w:rsidRDefault="004D37FE" w:rsidP="0020706C">
      <w:pPr>
        <w:pStyle w:val="p1"/>
        <w:spacing w:line="360" w:lineRule="auto"/>
        <w:jc w:val="both"/>
        <w:rPr>
          <w:rStyle w:val="s1"/>
          <w:rFonts w:ascii="Arial" w:hAnsi="Arial" w:cs="Arial"/>
          <w:color w:val="000000" w:themeColor="text1"/>
          <w:sz w:val="22"/>
          <w:szCs w:val="22"/>
        </w:rPr>
      </w:pPr>
    </w:p>
    <w:p w14:paraId="69FA29AF" w14:textId="14E0C798" w:rsidR="0033113F" w:rsidRPr="00B63D5E" w:rsidRDefault="0033113F" w:rsidP="0020706C">
      <w:pPr>
        <w:pStyle w:val="p1"/>
        <w:spacing w:line="360" w:lineRule="auto"/>
        <w:jc w:val="both"/>
        <w:rPr>
          <w:rFonts w:ascii="Arial" w:hAnsi="Arial" w:cs="Arial"/>
          <w:b/>
          <w:bCs/>
          <w:color w:val="000000" w:themeColor="text1"/>
          <w:sz w:val="22"/>
          <w:szCs w:val="22"/>
        </w:rPr>
      </w:pPr>
      <w:r w:rsidRPr="00B63D5E">
        <w:rPr>
          <w:rStyle w:val="s1"/>
          <w:rFonts w:ascii="Arial" w:hAnsi="Arial" w:cs="Arial"/>
          <w:b/>
          <w:bCs/>
          <w:color w:val="000000" w:themeColor="text1"/>
          <w:sz w:val="22"/>
          <w:szCs w:val="22"/>
        </w:rPr>
        <w:t>Title</w:t>
      </w:r>
    </w:p>
    <w:p w14:paraId="3D1E1EA1" w14:textId="77777777" w:rsidR="0033113F" w:rsidRPr="00B63D5E" w:rsidRDefault="0033113F" w:rsidP="0020706C">
      <w:pPr>
        <w:pStyle w:val="p1"/>
        <w:spacing w:line="360" w:lineRule="auto"/>
        <w:jc w:val="both"/>
        <w:rPr>
          <w:rFonts w:ascii="Arial" w:hAnsi="Arial" w:cs="Arial"/>
          <w:b/>
          <w:bCs/>
          <w:color w:val="000000" w:themeColor="text1"/>
          <w:sz w:val="22"/>
          <w:szCs w:val="22"/>
        </w:rPr>
      </w:pPr>
      <w:r w:rsidRPr="00B63D5E">
        <w:rPr>
          <w:rStyle w:val="s1"/>
          <w:rFonts w:ascii="Arial" w:hAnsi="Arial" w:cs="Arial"/>
          <w:b/>
          <w:bCs/>
          <w:color w:val="000000" w:themeColor="text1"/>
          <w:sz w:val="22"/>
          <w:szCs w:val="22"/>
        </w:rPr>
        <w:t>A Scoping Review of Treatment Effectiveness and Service Barriers for Obesity in Working-Age Adults (18-65) in the UK</w:t>
      </w:r>
    </w:p>
    <w:p w14:paraId="57D6DA43" w14:textId="77777777" w:rsidR="0033113F" w:rsidRPr="00B63D5E" w:rsidRDefault="0033113F" w:rsidP="0020706C">
      <w:pPr>
        <w:spacing w:line="360" w:lineRule="auto"/>
        <w:jc w:val="both"/>
        <w:rPr>
          <w:rFonts w:ascii="Arial" w:hAnsi="Arial" w:cs="Arial"/>
          <w:b/>
          <w:bCs/>
          <w:color w:val="000000" w:themeColor="text1"/>
          <w:sz w:val="22"/>
          <w:szCs w:val="22"/>
        </w:rPr>
      </w:pPr>
    </w:p>
    <w:p w14:paraId="7FDD0543" w14:textId="77777777" w:rsidR="00020071" w:rsidRPr="00B63D5E" w:rsidRDefault="00020071" w:rsidP="0020706C">
      <w:pPr>
        <w:spacing w:before="100" w:beforeAutospacing="1" w:after="100" w:afterAutospacing="1" w:line="360" w:lineRule="auto"/>
        <w:jc w:val="both"/>
        <w:outlineLvl w:val="1"/>
        <w:rPr>
          <w:rFonts w:ascii="Arial" w:eastAsia="Times New Roman" w:hAnsi="Arial" w:cs="Arial"/>
          <w:b/>
          <w:bCs/>
          <w:color w:val="000000" w:themeColor="text1"/>
          <w:kern w:val="0"/>
          <w:sz w:val="22"/>
          <w:szCs w:val="22"/>
          <w14:ligatures w14:val="none"/>
        </w:rPr>
      </w:pPr>
      <w:r w:rsidRPr="00B63D5E">
        <w:rPr>
          <w:rFonts w:ascii="Arial" w:eastAsia="Times New Roman" w:hAnsi="Arial" w:cs="Arial"/>
          <w:b/>
          <w:bCs/>
          <w:color w:val="000000" w:themeColor="text1"/>
          <w:kern w:val="0"/>
          <w:sz w:val="22"/>
          <w:szCs w:val="22"/>
          <w14:ligatures w14:val="none"/>
        </w:rPr>
        <w:t>Introduction</w:t>
      </w:r>
    </w:p>
    <w:p w14:paraId="44E98CBF" w14:textId="77777777" w:rsidR="002D2A41" w:rsidRPr="005B7ABE" w:rsidRDefault="002D2A41"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Obesity represents a complex and escalating public health challenge in the United Kingdom (UK), with significant implications for individual health, population wellbeing, and the sustainability of healthcare systems (</w:t>
      </w:r>
      <w:proofErr w:type="spellStart"/>
      <w:r w:rsidRPr="005B7ABE">
        <w:rPr>
          <w:rFonts w:ascii="Arial" w:hAnsi="Arial" w:cs="Arial"/>
          <w:color w:val="000000" w:themeColor="text1"/>
          <w:kern w:val="0"/>
          <w:sz w:val="22"/>
          <w:szCs w:val="22"/>
          <w14:ligatures w14:val="none"/>
        </w:rPr>
        <w:t>Lulia</w:t>
      </w:r>
      <w:proofErr w:type="spellEnd"/>
      <w:r w:rsidRPr="005B7ABE">
        <w:rPr>
          <w:rFonts w:ascii="Arial" w:hAnsi="Arial" w:cs="Arial"/>
          <w:color w:val="000000" w:themeColor="text1"/>
          <w:kern w:val="0"/>
          <w:sz w:val="22"/>
          <w:szCs w:val="22"/>
          <w14:ligatures w14:val="none"/>
        </w:rPr>
        <w:t xml:space="preserve"> et al., 2023; </w:t>
      </w:r>
      <w:proofErr w:type="spellStart"/>
      <w:r w:rsidRPr="005B7ABE">
        <w:rPr>
          <w:rFonts w:ascii="Arial" w:hAnsi="Arial" w:cs="Arial"/>
          <w:color w:val="000000" w:themeColor="text1"/>
          <w:kern w:val="0"/>
          <w:sz w:val="22"/>
          <w:szCs w:val="22"/>
          <w14:ligatures w14:val="none"/>
        </w:rPr>
        <w:t>Heald</w:t>
      </w:r>
      <w:proofErr w:type="spellEnd"/>
      <w:r w:rsidRPr="005B7ABE">
        <w:rPr>
          <w:rFonts w:ascii="Arial" w:hAnsi="Arial" w:cs="Arial"/>
          <w:color w:val="000000" w:themeColor="text1"/>
          <w:kern w:val="0"/>
          <w:sz w:val="22"/>
          <w:szCs w:val="22"/>
          <w14:ligatures w14:val="none"/>
        </w:rPr>
        <w:t xml:space="preserve"> et al., 2024). Commonly defined as an excessive accumulation of body fat measured using body mass index (BMI) (National Health Service, 2023), obesity is associated with a wide range of adverse outcomes, including cardiovascular disease, type 2 diabetes, respiratory illness, certain cancers, reduced quality of life, and poorer mental health (Ahmed and Mohammed, 2025; </w:t>
      </w:r>
      <w:proofErr w:type="spellStart"/>
      <w:r w:rsidRPr="005B7ABE">
        <w:rPr>
          <w:rFonts w:ascii="Arial" w:hAnsi="Arial" w:cs="Arial"/>
          <w:color w:val="000000" w:themeColor="text1"/>
          <w:kern w:val="0"/>
          <w:sz w:val="22"/>
          <w:szCs w:val="22"/>
          <w14:ligatures w14:val="none"/>
        </w:rPr>
        <w:t>Haase</w:t>
      </w:r>
      <w:proofErr w:type="spellEnd"/>
      <w:r w:rsidRPr="005B7ABE">
        <w:rPr>
          <w:rFonts w:ascii="Arial" w:hAnsi="Arial" w:cs="Arial"/>
          <w:color w:val="000000" w:themeColor="text1"/>
          <w:kern w:val="0"/>
          <w:sz w:val="22"/>
          <w:szCs w:val="22"/>
          <w14:ligatures w14:val="none"/>
        </w:rPr>
        <w:t xml:space="preserve"> et al., 2021). Increasingly, obesity is understood not as a product of individual behaviour alone, but as a multidimensional condition shaped by biological, behavioural, environmental, and social determinants (</w:t>
      </w:r>
      <w:proofErr w:type="spellStart"/>
      <w:r w:rsidRPr="005B7ABE">
        <w:rPr>
          <w:rFonts w:ascii="Arial" w:hAnsi="Arial" w:cs="Arial"/>
          <w:color w:val="000000" w:themeColor="text1"/>
          <w:kern w:val="0"/>
          <w:sz w:val="22"/>
          <w:szCs w:val="22"/>
          <w14:ligatures w14:val="none"/>
        </w:rPr>
        <w:t>Haase</w:t>
      </w:r>
      <w:proofErr w:type="spellEnd"/>
      <w:r w:rsidRPr="005B7ABE">
        <w:rPr>
          <w:rFonts w:ascii="Arial" w:hAnsi="Arial" w:cs="Arial"/>
          <w:color w:val="000000" w:themeColor="text1"/>
          <w:kern w:val="0"/>
          <w:sz w:val="22"/>
          <w:szCs w:val="22"/>
          <w14:ligatures w14:val="none"/>
        </w:rPr>
        <w:t xml:space="preserve"> et al., 2021).</w:t>
      </w:r>
    </w:p>
    <w:p w14:paraId="4EC959B9" w14:textId="77777777" w:rsidR="002D2A41" w:rsidRPr="005B7ABE" w:rsidRDefault="002D2A41" w:rsidP="0020706C">
      <w:pPr>
        <w:spacing w:before="100" w:beforeAutospacing="1" w:after="100" w:afterAutospacing="1" w:line="360" w:lineRule="auto"/>
        <w:jc w:val="both"/>
        <w:rPr>
          <w:rFonts w:ascii="Arial" w:hAnsi="Arial" w:cs="Arial"/>
          <w:color w:val="000000" w:themeColor="text1"/>
          <w:kern w:val="0"/>
          <w:sz w:val="22"/>
          <w:szCs w:val="22"/>
          <w14:ligatures w14:val="none"/>
        </w:rPr>
      </w:pPr>
    </w:p>
    <w:p w14:paraId="1D83DBFC" w14:textId="77777777" w:rsidR="002D2A41" w:rsidRPr="005B7ABE" w:rsidRDefault="002D2A41"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The scale of the issue is substantial and continues to grow. In England, 66% of adults were classified as overweight or living with obesity in 2024, including 30% living with obesity alone (Office for Health Improvement and Disparities, 2024; NHS Digital, 2026). Prevalence rises with age and is highest among adults aged 55–64 (Office for Health Improvement and Disparities, 2024). However, these patterns are not evenly distributed. Obesity is strongly associated with socioeconomic inequality, with significantly higher prevalence observed in more deprived populations and variation across ethnic groups (Office for Health Improvement and Disparities, 2024; The Health Foundation, 2025; Higgins, 2022). For example, 71.2% of adults in the most deprived areas are overweight or obese compared to 59.4% in the least deprived areas (The Health Foundation, 2025). Such disparities indicate that obesity is embedded within broader structural and social contexts rather than functioning solely as an individual-level issue.</w:t>
      </w:r>
    </w:p>
    <w:p w14:paraId="669B1ADA" w14:textId="77777777" w:rsidR="002D2A41" w:rsidRPr="005B7ABE" w:rsidRDefault="002D2A41" w:rsidP="0020706C">
      <w:pPr>
        <w:spacing w:before="100" w:beforeAutospacing="1" w:after="100" w:afterAutospacing="1" w:line="360" w:lineRule="auto"/>
        <w:jc w:val="both"/>
        <w:rPr>
          <w:rFonts w:ascii="Arial" w:hAnsi="Arial" w:cs="Arial"/>
          <w:color w:val="000000" w:themeColor="text1"/>
          <w:kern w:val="0"/>
          <w:sz w:val="22"/>
          <w:szCs w:val="22"/>
          <w14:ligatures w14:val="none"/>
        </w:rPr>
      </w:pPr>
    </w:p>
    <w:p w14:paraId="676201E6" w14:textId="77777777" w:rsidR="002D2A41" w:rsidRPr="005B7ABE" w:rsidRDefault="002D2A41"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 xml:space="preserve">Despite the availability of behavioural, pharmacological, and surgical interventions, obesity remains difficult to manage effectively at both individual and population levels (Martins et al., 2020; </w:t>
      </w:r>
      <w:proofErr w:type="spellStart"/>
      <w:r w:rsidRPr="005B7ABE">
        <w:rPr>
          <w:rFonts w:ascii="Arial" w:hAnsi="Arial" w:cs="Arial"/>
          <w:color w:val="000000" w:themeColor="text1"/>
          <w:kern w:val="0"/>
          <w:sz w:val="22"/>
          <w:szCs w:val="22"/>
          <w14:ligatures w14:val="none"/>
        </w:rPr>
        <w:t>Coulman</w:t>
      </w:r>
      <w:proofErr w:type="spellEnd"/>
      <w:r w:rsidRPr="005B7ABE">
        <w:rPr>
          <w:rFonts w:ascii="Arial" w:hAnsi="Arial" w:cs="Arial"/>
          <w:color w:val="000000" w:themeColor="text1"/>
          <w:kern w:val="0"/>
          <w:sz w:val="22"/>
          <w:szCs w:val="22"/>
          <w14:ligatures w14:val="none"/>
        </w:rPr>
        <w:t xml:space="preserve"> et al., 2023; Flint et al., 2021). Evidence suggests that treatment outcomes are inconsistent and influenced by wider behavioural and systemic factors rather than intervention type alone (Martins et al., 2020; </w:t>
      </w:r>
      <w:proofErr w:type="spellStart"/>
      <w:r w:rsidRPr="005B7ABE">
        <w:rPr>
          <w:rFonts w:ascii="Arial" w:hAnsi="Arial" w:cs="Arial"/>
          <w:color w:val="000000" w:themeColor="text1"/>
          <w:kern w:val="0"/>
          <w:sz w:val="22"/>
          <w:szCs w:val="22"/>
          <w14:ligatures w14:val="none"/>
        </w:rPr>
        <w:t>Coulman</w:t>
      </w:r>
      <w:proofErr w:type="spellEnd"/>
      <w:r w:rsidRPr="005B7ABE">
        <w:rPr>
          <w:rFonts w:ascii="Arial" w:hAnsi="Arial" w:cs="Arial"/>
          <w:color w:val="000000" w:themeColor="text1"/>
          <w:kern w:val="0"/>
          <w:sz w:val="22"/>
          <w:szCs w:val="22"/>
          <w14:ligatures w14:val="none"/>
        </w:rPr>
        <w:t xml:space="preserve"> et al., 2023). Furthermore, access to obesity-related healthcare is uneven, with barriers including stigma, limited service provision, </w:t>
      </w:r>
      <w:r w:rsidRPr="005B7ABE">
        <w:rPr>
          <w:rFonts w:ascii="Arial" w:hAnsi="Arial" w:cs="Arial"/>
          <w:color w:val="000000" w:themeColor="text1"/>
          <w:kern w:val="0"/>
          <w:sz w:val="22"/>
          <w:szCs w:val="22"/>
          <w14:ligatures w14:val="none"/>
        </w:rPr>
        <w:lastRenderedPageBreak/>
        <w:t xml:space="preserve">and unequal access to specialist care, particularly among disadvantaged groups (Flint et al., 2021; </w:t>
      </w:r>
      <w:proofErr w:type="spellStart"/>
      <w:r w:rsidRPr="005B7ABE">
        <w:rPr>
          <w:rFonts w:ascii="Arial" w:hAnsi="Arial" w:cs="Arial"/>
          <w:color w:val="000000" w:themeColor="text1"/>
          <w:kern w:val="0"/>
          <w:sz w:val="22"/>
          <w:szCs w:val="22"/>
          <w14:ligatures w14:val="none"/>
        </w:rPr>
        <w:t>Coulman</w:t>
      </w:r>
      <w:proofErr w:type="spellEnd"/>
      <w:r w:rsidRPr="005B7ABE">
        <w:rPr>
          <w:rFonts w:ascii="Arial" w:hAnsi="Arial" w:cs="Arial"/>
          <w:color w:val="000000" w:themeColor="text1"/>
          <w:kern w:val="0"/>
          <w:sz w:val="22"/>
          <w:szCs w:val="22"/>
          <w14:ligatures w14:val="none"/>
        </w:rPr>
        <w:t xml:space="preserve"> et al., 2023). These challenges are reinforced by broader health behaviours, including low dietary quality and higher levels of physical inactivity in deprived populations (Office for Health Improvement and Disparities, 2024).</w:t>
      </w:r>
    </w:p>
    <w:p w14:paraId="35EFB331" w14:textId="77777777" w:rsidR="002D2A41" w:rsidRPr="005B7ABE" w:rsidRDefault="002D2A41" w:rsidP="0020706C">
      <w:pPr>
        <w:spacing w:before="100" w:beforeAutospacing="1" w:after="100" w:afterAutospacing="1" w:line="360" w:lineRule="auto"/>
        <w:jc w:val="both"/>
        <w:rPr>
          <w:rFonts w:ascii="Arial" w:hAnsi="Arial" w:cs="Arial"/>
          <w:color w:val="000000" w:themeColor="text1"/>
          <w:kern w:val="0"/>
          <w:sz w:val="22"/>
          <w:szCs w:val="22"/>
          <w14:ligatures w14:val="none"/>
        </w:rPr>
      </w:pPr>
    </w:p>
    <w:p w14:paraId="47BA2216" w14:textId="77777777" w:rsidR="002D2A41" w:rsidRPr="005B7ABE" w:rsidRDefault="002D2A41"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A scoping review is an appropriate methodological approach for examining such a complex issue, as it allows for the mapping of diverse evidence, identification of key themes, and recognition of gaps in the literature (</w:t>
      </w:r>
      <w:proofErr w:type="spellStart"/>
      <w:r w:rsidRPr="005B7ABE">
        <w:rPr>
          <w:rFonts w:ascii="Arial" w:hAnsi="Arial" w:cs="Arial"/>
          <w:color w:val="000000" w:themeColor="text1"/>
          <w:kern w:val="0"/>
          <w:sz w:val="22"/>
          <w:szCs w:val="22"/>
          <w14:ligatures w14:val="none"/>
        </w:rPr>
        <w:t>Arksey</w:t>
      </w:r>
      <w:proofErr w:type="spellEnd"/>
      <w:r w:rsidRPr="005B7ABE">
        <w:rPr>
          <w:rFonts w:ascii="Arial" w:hAnsi="Arial" w:cs="Arial"/>
          <w:color w:val="000000" w:themeColor="text1"/>
          <w:kern w:val="0"/>
          <w:sz w:val="22"/>
          <w:szCs w:val="22"/>
          <w14:ligatures w14:val="none"/>
        </w:rPr>
        <w:t xml:space="preserve"> and O’Malley, 2005). In the context of obesity, this approach enables simultaneous consideration of treatment effectiveness and the structural factors influencing access to care.</w:t>
      </w:r>
    </w:p>
    <w:p w14:paraId="4ABA842D" w14:textId="77777777" w:rsidR="002D2A41" w:rsidRPr="005B7ABE" w:rsidRDefault="002D2A41" w:rsidP="0020706C">
      <w:pPr>
        <w:spacing w:before="100" w:beforeAutospacing="1" w:after="100" w:afterAutospacing="1" w:line="360" w:lineRule="auto"/>
        <w:jc w:val="both"/>
        <w:rPr>
          <w:rFonts w:ascii="Arial" w:hAnsi="Arial" w:cs="Arial"/>
          <w:color w:val="000000" w:themeColor="text1"/>
          <w:kern w:val="0"/>
          <w:sz w:val="22"/>
          <w:szCs w:val="22"/>
          <w14:ligatures w14:val="none"/>
        </w:rPr>
      </w:pPr>
    </w:p>
    <w:p w14:paraId="706D988C" w14:textId="77777777" w:rsidR="002D2A41" w:rsidRPr="005B7ABE" w:rsidRDefault="002D2A41"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Taken together, the evidence indicates that obesity is shaped by interrelated clinical, social, and systemic factors. There remains a need to critically synthesise current literature to understand both the effectiveness of available treatments and the structural barriers that limit equitable access among working-age adults in the UK. Such analysis is essential for informing future research, improving service design, and strengthening public health policy.</w:t>
      </w:r>
    </w:p>
    <w:p w14:paraId="3C680699" w14:textId="77777777" w:rsidR="00020071" w:rsidRPr="005B7ABE" w:rsidRDefault="00020071" w:rsidP="0020706C">
      <w:pPr>
        <w:spacing w:before="100" w:beforeAutospacing="1" w:after="100" w:afterAutospacing="1" w:line="360" w:lineRule="auto"/>
        <w:jc w:val="both"/>
        <w:rPr>
          <w:rFonts w:ascii="Arial" w:hAnsi="Arial" w:cs="Arial"/>
          <w:color w:val="000000" w:themeColor="text1"/>
          <w:kern w:val="0"/>
          <w:sz w:val="22"/>
          <w:szCs w:val="22"/>
          <w14:ligatures w14:val="none"/>
        </w:rPr>
      </w:pPr>
    </w:p>
    <w:p w14:paraId="7DD1E96E" w14:textId="77777777" w:rsidR="00020071" w:rsidRPr="005B7ABE" w:rsidRDefault="00020071"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This scoping review is guided by the following review question:</w:t>
      </w:r>
    </w:p>
    <w:p w14:paraId="78F51698" w14:textId="77777777" w:rsidR="00020071" w:rsidRPr="005B7ABE" w:rsidRDefault="00020071" w:rsidP="0020706C">
      <w:pPr>
        <w:spacing w:before="100" w:beforeAutospacing="1" w:after="100" w:afterAutospacing="1" w:line="360" w:lineRule="auto"/>
        <w:jc w:val="both"/>
        <w:rPr>
          <w:rFonts w:ascii="Arial" w:hAnsi="Arial" w:cs="Arial"/>
          <w:color w:val="000000" w:themeColor="text1"/>
          <w:kern w:val="0"/>
          <w:sz w:val="22"/>
          <w:szCs w:val="22"/>
          <w14:ligatures w14:val="none"/>
        </w:rPr>
      </w:pPr>
    </w:p>
    <w:p w14:paraId="6D70CC2A" w14:textId="77777777" w:rsidR="00020071" w:rsidRPr="00B63D5E" w:rsidRDefault="00020071" w:rsidP="0020706C">
      <w:pPr>
        <w:spacing w:before="100" w:beforeAutospacing="1" w:after="100" w:afterAutospacing="1" w:line="360" w:lineRule="auto"/>
        <w:jc w:val="both"/>
        <w:rPr>
          <w:rFonts w:ascii="Arial" w:hAnsi="Arial" w:cs="Arial"/>
          <w:b/>
          <w:bCs/>
          <w:color w:val="000000" w:themeColor="text1"/>
          <w:kern w:val="0"/>
          <w:sz w:val="22"/>
          <w:szCs w:val="22"/>
          <w14:ligatures w14:val="none"/>
        </w:rPr>
      </w:pPr>
      <w:r w:rsidRPr="00B63D5E">
        <w:rPr>
          <w:rFonts w:ascii="Arial" w:hAnsi="Arial" w:cs="Arial"/>
          <w:b/>
          <w:bCs/>
          <w:color w:val="000000" w:themeColor="text1"/>
          <w:kern w:val="0"/>
          <w:sz w:val="22"/>
          <w:szCs w:val="22"/>
          <w14:ligatures w14:val="none"/>
        </w:rPr>
        <w:t>What is the effectiveness of obesity treatments, and what structural factors influence access to these interventions among working-age adults (18–65) in the UK?</w:t>
      </w:r>
    </w:p>
    <w:p w14:paraId="1B554658" w14:textId="77777777" w:rsidR="00020071" w:rsidRPr="005B7ABE" w:rsidRDefault="00020071" w:rsidP="0020706C">
      <w:pPr>
        <w:spacing w:before="100" w:beforeAutospacing="1" w:after="100" w:afterAutospacing="1" w:line="360" w:lineRule="auto"/>
        <w:jc w:val="both"/>
        <w:rPr>
          <w:rFonts w:ascii="Arial" w:hAnsi="Arial" w:cs="Arial"/>
          <w:color w:val="000000" w:themeColor="text1"/>
          <w:kern w:val="0"/>
          <w:sz w:val="22"/>
          <w:szCs w:val="22"/>
          <w14:ligatures w14:val="none"/>
        </w:rPr>
      </w:pPr>
    </w:p>
    <w:p w14:paraId="317864C7" w14:textId="77777777" w:rsidR="00020071" w:rsidRPr="005B7ABE" w:rsidRDefault="00020071"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The objectives of this review are:</w:t>
      </w:r>
    </w:p>
    <w:p w14:paraId="72BEF2B8" w14:textId="77777777" w:rsidR="00020071" w:rsidRPr="005B7ABE" w:rsidRDefault="00020071" w:rsidP="0020706C">
      <w:pPr>
        <w:numPr>
          <w:ilvl w:val="0"/>
          <w:numId w:val="2"/>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to identify and evaluate the effectiveness of obesity treatments, including behavioural, pharmacological, and surgical interventions;</w:t>
      </w:r>
    </w:p>
    <w:p w14:paraId="2272612D" w14:textId="77777777" w:rsidR="00020071" w:rsidRPr="005B7ABE" w:rsidRDefault="00020071" w:rsidP="0020706C">
      <w:pPr>
        <w:numPr>
          <w:ilvl w:val="0"/>
          <w:numId w:val="2"/>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to examine structural and service-level barriers that influence access to obesity treatment services;</w:t>
      </w:r>
    </w:p>
    <w:p w14:paraId="1906B738" w14:textId="77777777" w:rsidR="00020071" w:rsidRPr="005B7ABE" w:rsidRDefault="00020071" w:rsidP="0020706C">
      <w:pPr>
        <w:numPr>
          <w:ilvl w:val="0"/>
          <w:numId w:val="2"/>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lastRenderedPageBreak/>
        <w:t>to explore the impact of socioeconomic inequalities on treatment outcomes and healthcare accessibility; and</w:t>
      </w:r>
    </w:p>
    <w:p w14:paraId="31AF97D7" w14:textId="77777777" w:rsidR="00020071" w:rsidRPr="005B7ABE" w:rsidRDefault="00020071" w:rsidP="0020706C">
      <w:pPr>
        <w:numPr>
          <w:ilvl w:val="0"/>
          <w:numId w:val="2"/>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to identify gaps in the current literature in order to inform future research, policy, and practice.</w:t>
      </w:r>
    </w:p>
    <w:p w14:paraId="60DE0A39" w14:textId="77777777" w:rsidR="00E9447C" w:rsidRPr="005B7ABE" w:rsidRDefault="00E9447C" w:rsidP="0020706C">
      <w:pPr>
        <w:spacing w:line="360" w:lineRule="auto"/>
        <w:jc w:val="both"/>
        <w:rPr>
          <w:rFonts w:ascii="Arial" w:hAnsi="Arial" w:cs="Arial"/>
          <w:color w:val="000000" w:themeColor="text1"/>
          <w:sz w:val="22"/>
          <w:szCs w:val="22"/>
        </w:rPr>
      </w:pPr>
    </w:p>
    <w:p w14:paraId="1508E5E6" w14:textId="77777777" w:rsidR="00E9447C" w:rsidRPr="005B7ABE" w:rsidRDefault="00E9447C" w:rsidP="0020706C">
      <w:pPr>
        <w:spacing w:line="360" w:lineRule="auto"/>
        <w:jc w:val="both"/>
        <w:rPr>
          <w:rFonts w:ascii="Arial" w:hAnsi="Arial" w:cs="Arial"/>
          <w:color w:val="000000" w:themeColor="text1"/>
          <w:sz w:val="22"/>
          <w:szCs w:val="22"/>
        </w:rPr>
      </w:pPr>
    </w:p>
    <w:p w14:paraId="4BE9EB2F" w14:textId="77777777" w:rsidR="00E9447C" w:rsidRPr="00B63D5E" w:rsidRDefault="00E9447C" w:rsidP="0020706C">
      <w:pPr>
        <w:spacing w:before="100" w:beforeAutospacing="1" w:after="100" w:afterAutospacing="1" w:line="360" w:lineRule="auto"/>
        <w:jc w:val="both"/>
        <w:outlineLvl w:val="1"/>
        <w:rPr>
          <w:rFonts w:ascii="Arial" w:eastAsia="Times New Roman" w:hAnsi="Arial" w:cs="Arial"/>
          <w:b/>
          <w:bCs/>
          <w:color w:val="000000" w:themeColor="text1"/>
          <w:kern w:val="0"/>
          <w:sz w:val="22"/>
          <w:szCs w:val="22"/>
          <w14:ligatures w14:val="none"/>
        </w:rPr>
      </w:pPr>
      <w:r w:rsidRPr="00B63D5E">
        <w:rPr>
          <w:rFonts w:ascii="Arial" w:eastAsia="Times New Roman" w:hAnsi="Arial" w:cs="Arial"/>
          <w:b/>
          <w:bCs/>
          <w:color w:val="000000" w:themeColor="text1"/>
          <w:kern w:val="0"/>
          <w:sz w:val="22"/>
          <w:szCs w:val="22"/>
          <w14:ligatures w14:val="none"/>
        </w:rPr>
        <w:t>Background</w:t>
      </w:r>
    </w:p>
    <w:p w14:paraId="67F03F1E" w14:textId="77777777" w:rsidR="00E9447C" w:rsidRPr="005B7ABE" w:rsidRDefault="00E9447C" w:rsidP="0020706C">
      <w:pPr>
        <w:spacing w:before="100" w:beforeAutospacing="1" w:after="100" w:afterAutospacing="1" w:line="360" w:lineRule="auto"/>
        <w:jc w:val="both"/>
        <w:rPr>
          <w:rFonts w:ascii="Arial" w:hAnsi="Arial" w:cs="Arial"/>
          <w:color w:val="000000" w:themeColor="text1"/>
          <w:kern w:val="0"/>
          <w:sz w:val="22"/>
          <w:szCs w:val="22"/>
          <w14:ligatures w14:val="none"/>
        </w:rPr>
      </w:pPr>
    </w:p>
    <w:p w14:paraId="06B241F6" w14:textId="513B3CC5" w:rsidR="00E9447C" w:rsidRPr="005B7ABE" w:rsidRDefault="00E9447C"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 xml:space="preserve">Obesity is a key public health priority within the United Kingdom, reflecting both its high prevalence and its significant impact on health outcomes and healthcare systems. National data indicate that 66% of adults in England are overweight or living with obesity, with 30% classified as obese, and prevalence increasing with age (NHS Digital, 2026). Furthermore, obesity is unevenly distributed across the population, with higher rates observed among individuals living in deprived areas, older adults, and certain ethnic groups, highlighting its strong association with socioeconomic and demographic inequalities (The Health Foundation, 2025; </w:t>
      </w:r>
      <w:r w:rsidR="005B04F1" w:rsidRPr="005B7ABE">
        <w:rPr>
          <w:rFonts w:ascii="Arial" w:hAnsi="Arial" w:cs="Arial"/>
          <w:color w:val="000000" w:themeColor="text1"/>
          <w:kern w:val="0"/>
          <w:sz w:val="22"/>
          <w:szCs w:val="22"/>
          <w14:ligatures w14:val="none"/>
        </w:rPr>
        <w:t>Ghosh, Khan and Vohra,</w:t>
      </w:r>
      <w:r w:rsidRPr="005B7ABE">
        <w:rPr>
          <w:rFonts w:ascii="Arial" w:hAnsi="Arial" w:cs="Arial"/>
          <w:color w:val="000000" w:themeColor="text1"/>
          <w:kern w:val="0"/>
          <w:sz w:val="22"/>
          <w:szCs w:val="22"/>
          <w14:ligatures w14:val="none"/>
        </w:rPr>
        <w:t xml:space="preserve"> 2023; Higgins, 2022). These patterns suggest that obesity should be understood within a broader public health and inequality framework rather than as an individual-level issue alone.</w:t>
      </w:r>
    </w:p>
    <w:p w14:paraId="7F992898" w14:textId="02DF3F3C" w:rsidR="00E9447C" w:rsidRPr="005B7ABE" w:rsidRDefault="00E9447C" w:rsidP="0020706C">
      <w:pPr>
        <w:spacing w:after="0" w:line="360" w:lineRule="auto"/>
        <w:jc w:val="both"/>
        <w:rPr>
          <w:rFonts w:ascii="Arial" w:eastAsia="Times New Roman" w:hAnsi="Arial" w:cs="Arial"/>
          <w:color w:val="000000" w:themeColor="text1"/>
          <w:kern w:val="0"/>
          <w:sz w:val="22"/>
          <w:szCs w:val="22"/>
          <w14:ligatures w14:val="none"/>
        </w:rPr>
      </w:pPr>
    </w:p>
    <w:p w14:paraId="31B75232" w14:textId="77777777" w:rsidR="00E9447C" w:rsidRPr="00B63D5E" w:rsidRDefault="00E9447C" w:rsidP="0020706C">
      <w:pPr>
        <w:spacing w:before="100" w:beforeAutospacing="1" w:after="100" w:afterAutospacing="1" w:line="360" w:lineRule="auto"/>
        <w:jc w:val="both"/>
        <w:outlineLvl w:val="1"/>
        <w:rPr>
          <w:rFonts w:ascii="Arial" w:hAnsi="Arial" w:cs="Arial"/>
          <w:b/>
          <w:bCs/>
          <w:color w:val="000000" w:themeColor="text1"/>
          <w:kern w:val="0"/>
          <w:sz w:val="22"/>
          <w:szCs w:val="22"/>
          <w14:ligatures w14:val="none"/>
        </w:rPr>
      </w:pPr>
      <w:r w:rsidRPr="00B63D5E">
        <w:rPr>
          <w:rFonts w:ascii="Arial" w:eastAsia="Times New Roman" w:hAnsi="Arial" w:cs="Arial"/>
          <w:b/>
          <w:bCs/>
          <w:color w:val="000000" w:themeColor="text1"/>
          <w:kern w:val="0"/>
          <w:sz w:val="22"/>
          <w:szCs w:val="22"/>
          <w14:ligatures w14:val="none"/>
        </w:rPr>
        <w:t>Policy and Guideline Context</w:t>
      </w:r>
    </w:p>
    <w:p w14:paraId="60D90F1F" w14:textId="77777777" w:rsidR="00E9447C" w:rsidRPr="005B7ABE" w:rsidRDefault="00E9447C" w:rsidP="0020706C">
      <w:pPr>
        <w:spacing w:before="100" w:beforeAutospacing="1" w:after="100" w:afterAutospacing="1" w:line="360" w:lineRule="auto"/>
        <w:jc w:val="both"/>
        <w:rPr>
          <w:rFonts w:ascii="Arial" w:hAnsi="Arial" w:cs="Arial"/>
          <w:color w:val="000000" w:themeColor="text1"/>
          <w:kern w:val="0"/>
          <w:sz w:val="22"/>
          <w:szCs w:val="22"/>
          <w14:ligatures w14:val="none"/>
        </w:rPr>
      </w:pPr>
    </w:p>
    <w:p w14:paraId="0225F2A1" w14:textId="416FB85C" w:rsidR="00E9447C" w:rsidRPr="005B7ABE" w:rsidRDefault="00E9447C"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 xml:space="preserve">In response to the growing burden of obesity, UK policy has increasingly adopted a whole-system and integrated approach to prevention and management. The </w:t>
      </w:r>
      <w:r w:rsidR="008156D2" w:rsidRPr="005B7ABE">
        <w:rPr>
          <w:rFonts w:ascii="Arial" w:hAnsi="Arial" w:cs="Arial"/>
          <w:color w:val="000000" w:themeColor="text1"/>
          <w:kern w:val="0"/>
          <w:sz w:val="22"/>
          <w:szCs w:val="22"/>
          <w14:ligatures w14:val="none"/>
        </w:rPr>
        <w:t xml:space="preserve">Public Health England </w:t>
      </w:r>
      <w:r w:rsidRPr="005B7ABE">
        <w:rPr>
          <w:rFonts w:ascii="Arial" w:hAnsi="Arial" w:cs="Arial"/>
          <w:color w:val="000000" w:themeColor="text1"/>
          <w:kern w:val="0"/>
          <w:sz w:val="22"/>
          <w:szCs w:val="22"/>
          <w14:ligatures w14:val="none"/>
        </w:rPr>
        <w:t>(20</w:t>
      </w:r>
      <w:r w:rsidR="00AA7425" w:rsidRPr="005B7ABE">
        <w:rPr>
          <w:rFonts w:ascii="Arial" w:hAnsi="Arial" w:cs="Arial"/>
          <w:color w:val="000000" w:themeColor="text1"/>
          <w:kern w:val="0"/>
          <w:sz w:val="22"/>
          <w:szCs w:val="22"/>
          <w14:ligatures w14:val="none"/>
        </w:rPr>
        <w:t>20</w:t>
      </w:r>
      <w:r w:rsidRPr="005B7ABE">
        <w:rPr>
          <w:rFonts w:ascii="Arial" w:hAnsi="Arial" w:cs="Arial"/>
          <w:color w:val="000000" w:themeColor="text1"/>
          <w:kern w:val="0"/>
          <w:sz w:val="22"/>
          <w:szCs w:val="22"/>
          <w14:ligatures w14:val="none"/>
        </w:rPr>
        <w:t xml:space="preserve">) introduced a </w:t>
      </w:r>
      <w:r w:rsidR="00AA7425" w:rsidRPr="005B7ABE">
        <w:rPr>
          <w:rFonts w:ascii="Arial" w:hAnsi="Arial" w:cs="Arial"/>
          <w:color w:val="000000" w:themeColor="text1"/>
          <w:kern w:val="0"/>
          <w:sz w:val="22"/>
          <w:szCs w:val="22"/>
          <w14:ligatures w14:val="none"/>
        </w:rPr>
        <w:t>‘W</w:t>
      </w:r>
      <w:r w:rsidRPr="005B7ABE">
        <w:rPr>
          <w:rFonts w:ascii="Arial" w:hAnsi="Arial" w:cs="Arial"/>
          <w:color w:val="000000" w:themeColor="text1"/>
          <w:kern w:val="0"/>
          <w:sz w:val="22"/>
          <w:szCs w:val="22"/>
          <w14:ligatures w14:val="none"/>
        </w:rPr>
        <w:t>hole systems approach to obesity</w:t>
      </w:r>
      <w:r w:rsidR="00AA7425" w:rsidRPr="005B7ABE">
        <w:rPr>
          <w:rFonts w:ascii="Arial" w:hAnsi="Arial" w:cs="Arial"/>
          <w:color w:val="000000" w:themeColor="text1"/>
          <w:kern w:val="0"/>
          <w:sz w:val="22"/>
          <w:szCs w:val="22"/>
          <w14:ligatures w14:val="none"/>
        </w:rPr>
        <w:t>’</w:t>
      </w:r>
      <w:r w:rsidRPr="005B7ABE">
        <w:rPr>
          <w:rFonts w:ascii="Arial" w:hAnsi="Arial" w:cs="Arial"/>
          <w:color w:val="000000" w:themeColor="text1"/>
          <w:kern w:val="0"/>
          <w:sz w:val="22"/>
          <w:szCs w:val="22"/>
          <w14:ligatures w14:val="none"/>
        </w:rPr>
        <w:t>, emphasising the need to address environmental, social, and behavioural determinants of health through coordinated action across sectors. This reflects a shift away from individual-focused interventions towards recognising the wider structural influences on obesity.</w:t>
      </w:r>
    </w:p>
    <w:p w14:paraId="04D9C037" w14:textId="41B00F57" w:rsidR="00E9447C" w:rsidRPr="00B63D5E" w:rsidRDefault="00E97409" w:rsidP="00B63D5E">
      <w:pPr>
        <w:spacing w:after="0" w:line="360" w:lineRule="auto"/>
        <w:jc w:val="both"/>
        <w:rPr>
          <w:rFonts w:ascii="Arial" w:eastAsia="Times New Roman" w:hAnsi="Arial" w:cs="Arial"/>
          <w:color w:val="000000" w:themeColor="text1"/>
          <w:kern w:val="0"/>
          <w:sz w:val="22"/>
          <w:szCs w:val="22"/>
          <w14:ligatures w14:val="none"/>
        </w:rPr>
      </w:pPr>
      <w:r w:rsidRPr="005B7ABE">
        <w:rPr>
          <w:rFonts w:ascii="Arial" w:eastAsia="Times New Roman" w:hAnsi="Arial" w:cs="Arial"/>
          <w:color w:val="000000" w:themeColor="text1"/>
          <w:kern w:val="0"/>
          <w:sz w:val="22"/>
          <w:szCs w:val="22"/>
          <w14:ligatures w14:val="none"/>
        </w:rPr>
        <w:t>In addition, the NHS Long Term Plan emphasises prevention and early intervention as central to improving population health, with a specific focus on expanding weight management services and supporting individuals at risk of obesity-related conditions (NHS</w:t>
      </w:r>
      <w:r w:rsidR="0084774B" w:rsidRPr="005B7ABE">
        <w:rPr>
          <w:rFonts w:ascii="Arial" w:eastAsia="Times New Roman" w:hAnsi="Arial" w:cs="Arial"/>
          <w:color w:val="000000" w:themeColor="text1"/>
          <w:kern w:val="0"/>
          <w:sz w:val="22"/>
          <w:szCs w:val="22"/>
          <w14:ligatures w14:val="none"/>
        </w:rPr>
        <w:t xml:space="preserve"> Long Term Plan, </w:t>
      </w:r>
      <w:r w:rsidR="0084774B" w:rsidRPr="005B7ABE">
        <w:rPr>
          <w:rFonts w:ascii="Arial" w:eastAsia="Times New Roman" w:hAnsi="Arial" w:cs="Arial"/>
          <w:color w:val="000000" w:themeColor="text1"/>
          <w:kern w:val="0"/>
          <w:sz w:val="22"/>
          <w:szCs w:val="22"/>
          <w14:ligatures w14:val="none"/>
        </w:rPr>
        <w:lastRenderedPageBreak/>
        <w:t>2025</w:t>
      </w:r>
      <w:r w:rsidRPr="005B7ABE">
        <w:rPr>
          <w:rFonts w:ascii="Arial" w:eastAsia="Times New Roman" w:hAnsi="Arial" w:cs="Arial"/>
          <w:color w:val="000000" w:themeColor="text1"/>
          <w:kern w:val="0"/>
          <w:sz w:val="22"/>
          <w:szCs w:val="22"/>
          <w14:ligatures w14:val="none"/>
        </w:rPr>
        <w:t>). The plan highlights the importance of integrating services and increasing access to interventions, including digital and community-based programmes, to improve health outcomes.</w:t>
      </w:r>
    </w:p>
    <w:p w14:paraId="60938E86" w14:textId="1A49460A" w:rsidR="00E9447C" w:rsidRPr="005B7ABE" w:rsidRDefault="00E9447C"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 xml:space="preserve">Similarly, national clinical guidance from the </w:t>
      </w:r>
      <w:r w:rsidR="00765024" w:rsidRPr="005B7ABE">
        <w:rPr>
          <w:rFonts w:ascii="Arial" w:hAnsi="Arial" w:cs="Arial"/>
          <w:color w:val="000000" w:themeColor="text1"/>
          <w:kern w:val="0"/>
          <w:sz w:val="22"/>
          <w:szCs w:val="22"/>
          <w14:ligatures w14:val="none"/>
        </w:rPr>
        <w:t>NG</w:t>
      </w:r>
      <w:r w:rsidR="00EA77C1" w:rsidRPr="005B7ABE">
        <w:rPr>
          <w:rFonts w:ascii="Arial" w:hAnsi="Arial" w:cs="Arial"/>
          <w:color w:val="000000" w:themeColor="text1"/>
          <w:kern w:val="0"/>
          <w:sz w:val="22"/>
          <w:szCs w:val="22"/>
          <w14:ligatures w14:val="none"/>
        </w:rPr>
        <w:t xml:space="preserve">246 </w:t>
      </w:r>
      <w:r w:rsidRPr="005B7ABE">
        <w:rPr>
          <w:rFonts w:ascii="Arial" w:hAnsi="Arial" w:cs="Arial"/>
          <w:color w:val="000000" w:themeColor="text1"/>
          <w:kern w:val="0"/>
          <w:sz w:val="22"/>
          <w:szCs w:val="22"/>
          <w14:ligatures w14:val="none"/>
        </w:rPr>
        <w:t>(NICE, 2026) recommends a combination of behavioural, pharmacological, and surgical interventions for obesity management. These guidelines promote a multidisciplinary and patient-centred approach, incorporating lifestyle modification alongside medical treatment.</w:t>
      </w:r>
    </w:p>
    <w:p w14:paraId="124C0F43" w14:textId="010D0055" w:rsidR="00E9447C" w:rsidRPr="00B63D5E" w:rsidRDefault="00E9447C" w:rsidP="00B63D5E">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However, despite the existence of comprehensive policy frameworks, evidence suggests that implementation remains inconsistent. Research indicates that integrated clinical pathways for obesity management are not uniformly developed across the NHS, limiting the effectiveness of policy recommendations in practice (Hazlehurst et al., 2020). This highlights a gap between policy intentions and real-world service delivery.</w:t>
      </w:r>
    </w:p>
    <w:p w14:paraId="0AF24340" w14:textId="77777777" w:rsidR="00E9447C" w:rsidRPr="00B63D5E" w:rsidRDefault="00E9447C" w:rsidP="0020706C">
      <w:pPr>
        <w:spacing w:before="100" w:beforeAutospacing="1" w:after="100" w:afterAutospacing="1" w:line="360" w:lineRule="auto"/>
        <w:jc w:val="both"/>
        <w:outlineLvl w:val="1"/>
        <w:rPr>
          <w:rFonts w:ascii="Arial" w:hAnsi="Arial" w:cs="Arial"/>
          <w:b/>
          <w:bCs/>
          <w:color w:val="000000" w:themeColor="text1"/>
          <w:kern w:val="0"/>
          <w:sz w:val="22"/>
          <w:szCs w:val="22"/>
          <w14:ligatures w14:val="none"/>
        </w:rPr>
      </w:pPr>
      <w:r w:rsidRPr="00B63D5E">
        <w:rPr>
          <w:rFonts w:ascii="Arial" w:eastAsia="Times New Roman" w:hAnsi="Arial" w:cs="Arial"/>
          <w:b/>
          <w:bCs/>
          <w:color w:val="000000" w:themeColor="text1"/>
          <w:kern w:val="0"/>
          <w:sz w:val="22"/>
          <w:szCs w:val="22"/>
          <w14:ligatures w14:val="none"/>
        </w:rPr>
        <w:t>Existing Services and Practice</w:t>
      </w:r>
    </w:p>
    <w:p w14:paraId="0B0AB3C9" w14:textId="77777777" w:rsidR="00E9447C" w:rsidRPr="005B7ABE" w:rsidRDefault="00E9447C" w:rsidP="0020706C">
      <w:pPr>
        <w:spacing w:before="100" w:beforeAutospacing="1" w:after="100" w:afterAutospacing="1" w:line="360" w:lineRule="auto"/>
        <w:jc w:val="both"/>
        <w:rPr>
          <w:rFonts w:ascii="Arial" w:hAnsi="Arial" w:cs="Arial"/>
          <w:color w:val="000000" w:themeColor="text1"/>
          <w:kern w:val="0"/>
          <w:sz w:val="22"/>
          <w:szCs w:val="22"/>
          <w14:ligatures w14:val="none"/>
        </w:rPr>
      </w:pPr>
    </w:p>
    <w:p w14:paraId="668AA7B7" w14:textId="6AD25F6B" w:rsidR="00421DEB" w:rsidRPr="005B7ABE" w:rsidRDefault="00421DEB"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 xml:space="preserve">Obesity management in England is delivered through a tiered system of care, including primary care, community-based programmes, and specialist services (BOMSS, 2024; Hazlehurst et al., 2020). Behavioural interventions, such as structured diet and physical activity programmes, remain the first-line approach, while pharmacological therapies and bariatric surgery are typically reserved for individuals with more severe obesity or related </w:t>
      </w:r>
      <w:proofErr w:type="spellStart"/>
      <w:r w:rsidRPr="005B7ABE">
        <w:rPr>
          <w:rFonts w:ascii="Arial" w:hAnsi="Arial" w:cs="Arial"/>
          <w:color w:val="000000" w:themeColor="text1"/>
          <w:kern w:val="0"/>
          <w:sz w:val="22"/>
          <w:szCs w:val="22"/>
          <w14:ligatures w14:val="none"/>
        </w:rPr>
        <w:t>comorbidities</w:t>
      </w:r>
      <w:proofErr w:type="spellEnd"/>
      <w:r w:rsidRPr="005B7ABE">
        <w:rPr>
          <w:rFonts w:ascii="Arial" w:hAnsi="Arial" w:cs="Arial"/>
          <w:color w:val="000000" w:themeColor="text1"/>
          <w:kern w:val="0"/>
          <w:sz w:val="22"/>
          <w:szCs w:val="22"/>
          <w14:ligatures w14:val="none"/>
        </w:rPr>
        <w:t xml:space="preserve"> (NICE, 2026). This reflects a stepped-care model; however, it assumes clear progression between service levels, which is not consistently evident in practice.</w:t>
      </w:r>
    </w:p>
    <w:p w14:paraId="6F9C620C" w14:textId="23A381F6" w:rsidR="00421DEB" w:rsidRPr="005B7ABE" w:rsidRDefault="00421DEB"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Recent developments indicate a shift towards expanding digital and pharmacological approaches. The NHS Digital Weight Management Programme aims to improve accessibility through remote behavioural support (NHS England, 2026), while policy developments increasingly position weight-loss medications as a key component of obesity care (UK Parliament, 2025). Nevertheless, access to these interventions remains restricted by eligibility criteria, service capacity, and cost considerations, raising concerns regarding equitable implementation across different population groups (UK Parliament, 2025).</w:t>
      </w:r>
    </w:p>
    <w:p w14:paraId="6DB82265" w14:textId="4B6D63A3" w:rsidR="00E9447C" w:rsidRPr="00B63D5E" w:rsidRDefault="00421DEB" w:rsidP="00B63D5E">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 xml:space="preserve">Despite these advancements, treatment effectiveness remains variable and context-dependent. Evidence suggests that outcomes are shaped not only by intervention type but by behavioural, environmental, and systemic factors (Martins et al., 2020; </w:t>
      </w:r>
      <w:proofErr w:type="spellStart"/>
      <w:r w:rsidRPr="005B7ABE">
        <w:rPr>
          <w:rFonts w:ascii="Arial" w:hAnsi="Arial" w:cs="Arial"/>
          <w:color w:val="000000" w:themeColor="text1"/>
          <w:kern w:val="0"/>
          <w:sz w:val="22"/>
          <w:szCs w:val="22"/>
          <w14:ligatures w14:val="none"/>
        </w:rPr>
        <w:t>Coulman</w:t>
      </w:r>
      <w:proofErr w:type="spellEnd"/>
      <w:r w:rsidRPr="005B7ABE">
        <w:rPr>
          <w:rFonts w:ascii="Arial" w:hAnsi="Arial" w:cs="Arial"/>
          <w:color w:val="000000" w:themeColor="text1"/>
          <w:kern w:val="0"/>
          <w:sz w:val="22"/>
          <w:szCs w:val="22"/>
          <w14:ligatures w14:val="none"/>
        </w:rPr>
        <w:t xml:space="preserve"> et al., 2023; </w:t>
      </w:r>
      <w:r w:rsidRPr="005B7ABE">
        <w:rPr>
          <w:rFonts w:ascii="Arial" w:hAnsi="Arial" w:cs="Arial"/>
          <w:color w:val="000000" w:themeColor="text1"/>
          <w:kern w:val="0"/>
          <w:sz w:val="22"/>
          <w:szCs w:val="22"/>
          <w14:ligatures w14:val="none"/>
        </w:rPr>
        <w:lastRenderedPageBreak/>
        <w:t xml:space="preserve">Sutcliffe et al., 2018). Furthermore, stigma and negative healthcare experiences can act as significant barriers to engagement, limiting both uptake and sustained participation in treatment (Flint et al., 2021; </w:t>
      </w:r>
      <w:proofErr w:type="spellStart"/>
      <w:r w:rsidRPr="005B7ABE">
        <w:rPr>
          <w:rFonts w:ascii="Arial" w:hAnsi="Arial" w:cs="Arial"/>
          <w:color w:val="000000" w:themeColor="text1"/>
          <w:kern w:val="0"/>
          <w:sz w:val="22"/>
          <w:szCs w:val="22"/>
          <w14:ligatures w14:val="none"/>
        </w:rPr>
        <w:t>Coulman</w:t>
      </w:r>
      <w:proofErr w:type="spellEnd"/>
      <w:r w:rsidRPr="005B7ABE">
        <w:rPr>
          <w:rFonts w:ascii="Arial" w:hAnsi="Arial" w:cs="Arial"/>
          <w:color w:val="000000" w:themeColor="text1"/>
          <w:kern w:val="0"/>
          <w:sz w:val="22"/>
          <w:szCs w:val="22"/>
          <w14:ligatures w14:val="none"/>
        </w:rPr>
        <w:t xml:space="preserve"> et al., 2023; </w:t>
      </w:r>
      <w:proofErr w:type="spellStart"/>
      <w:r w:rsidRPr="005B7ABE">
        <w:rPr>
          <w:rFonts w:ascii="Arial" w:hAnsi="Arial" w:cs="Arial"/>
          <w:color w:val="000000" w:themeColor="text1"/>
          <w:kern w:val="0"/>
          <w:sz w:val="22"/>
          <w:szCs w:val="22"/>
          <w14:ligatures w14:val="none"/>
        </w:rPr>
        <w:t>Lulia</w:t>
      </w:r>
      <w:proofErr w:type="spellEnd"/>
      <w:r w:rsidRPr="005B7ABE">
        <w:rPr>
          <w:rFonts w:ascii="Arial" w:hAnsi="Arial" w:cs="Arial"/>
          <w:color w:val="000000" w:themeColor="text1"/>
          <w:kern w:val="0"/>
          <w:sz w:val="22"/>
          <w:szCs w:val="22"/>
          <w14:ligatures w14:val="none"/>
        </w:rPr>
        <w:t xml:space="preserve"> et al., 2023; Sutcliffe et al., 2018). Consequently, while service provision has expanded, its impact is constrained by inconsistencies in access, delivery, and patient experience.</w:t>
      </w:r>
    </w:p>
    <w:p w14:paraId="4C0C5C39" w14:textId="77777777" w:rsidR="00E9447C" w:rsidRPr="00B63D5E" w:rsidRDefault="00E9447C" w:rsidP="0020706C">
      <w:pPr>
        <w:spacing w:before="100" w:beforeAutospacing="1" w:after="100" w:afterAutospacing="1" w:line="360" w:lineRule="auto"/>
        <w:jc w:val="both"/>
        <w:outlineLvl w:val="1"/>
        <w:rPr>
          <w:rFonts w:ascii="Arial" w:hAnsi="Arial" w:cs="Arial"/>
          <w:b/>
          <w:bCs/>
          <w:color w:val="000000" w:themeColor="text1"/>
          <w:kern w:val="0"/>
          <w:sz w:val="22"/>
          <w:szCs w:val="22"/>
          <w14:ligatures w14:val="none"/>
        </w:rPr>
      </w:pPr>
      <w:r w:rsidRPr="00B63D5E">
        <w:rPr>
          <w:rFonts w:ascii="Arial" w:eastAsia="Times New Roman" w:hAnsi="Arial" w:cs="Arial"/>
          <w:b/>
          <w:bCs/>
          <w:color w:val="000000" w:themeColor="text1"/>
          <w:kern w:val="0"/>
          <w:sz w:val="22"/>
          <w:szCs w:val="22"/>
          <w14:ligatures w14:val="none"/>
        </w:rPr>
        <w:t>Key Challenges and Gaps</w:t>
      </w:r>
    </w:p>
    <w:p w14:paraId="113AE754" w14:textId="77777777" w:rsidR="00E9447C" w:rsidRPr="005B7ABE" w:rsidRDefault="00E9447C" w:rsidP="0020706C">
      <w:pPr>
        <w:spacing w:before="100" w:beforeAutospacing="1" w:after="100" w:afterAutospacing="1" w:line="360" w:lineRule="auto"/>
        <w:jc w:val="both"/>
        <w:rPr>
          <w:rFonts w:ascii="Arial" w:hAnsi="Arial" w:cs="Arial"/>
          <w:color w:val="000000" w:themeColor="text1"/>
          <w:kern w:val="0"/>
          <w:sz w:val="22"/>
          <w:szCs w:val="22"/>
          <w14:ligatures w14:val="none"/>
        </w:rPr>
      </w:pPr>
    </w:p>
    <w:p w14:paraId="52B31825" w14:textId="3E9437C3" w:rsidR="00FF3559" w:rsidRPr="005B7ABE" w:rsidRDefault="00FF3559"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Despite developments in policy and service provision, significant challenges remain in addressing obesity effectively. Structural inequalities continue to shape both the prevalence of obesity and access to treatment, with individuals in more deprived areas experiencing higher rates of obesity while being less likely to engage with or benefit from available services (The Health Foundation, 2025; Martins et al., 2020). These disparities are reinforced by broader patterns of health behaviour, including lower levels of physical activity and poorer dietary intake in disadvantaged populations (Office for Health Improvement and Disparities, 2024).</w:t>
      </w:r>
    </w:p>
    <w:p w14:paraId="3B8A3FC9" w14:textId="572BFB9F" w:rsidR="00FF3559" w:rsidRPr="005B7ABE" w:rsidRDefault="00FF3559"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Obesity likewise places a substantial economic burden on healthcare systems, with long-term costs driven by obesity-related conditions and healthcare utilisation (</w:t>
      </w:r>
      <w:proofErr w:type="spellStart"/>
      <w:r w:rsidRPr="005B7ABE">
        <w:rPr>
          <w:rFonts w:ascii="Arial" w:hAnsi="Arial" w:cs="Arial"/>
          <w:color w:val="000000" w:themeColor="text1"/>
          <w:kern w:val="0"/>
          <w:sz w:val="22"/>
          <w:szCs w:val="22"/>
          <w14:ligatures w14:val="none"/>
        </w:rPr>
        <w:t>Heald</w:t>
      </w:r>
      <w:proofErr w:type="spellEnd"/>
      <w:r w:rsidRPr="005B7ABE">
        <w:rPr>
          <w:rFonts w:ascii="Arial" w:hAnsi="Arial" w:cs="Arial"/>
          <w:color w:val="000000" w:themeColor="text1"/>
          <w:kern w:val="0"/>
          <w:sz w:val="22"/>
          <w:szCs w:val="22"/>
          <w14:ligatures w14:val="none"/>
        </w:rPr>
        <w:t xml:space="preserve"> et al., 2024). This underscores the importance of interventions that are not only effective, but also accessible and sustainable at a population level.</w:t>
      </w:r>
    </w:p>
    <w:p w14:paraId="2A8045EA" w14:textId="4D60DD0D" w:rsidR="00FF3559" w:rsidRPr="005B7ABE" w:rsidRDefault="00FF3559"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 xml:space="preserve">However, important gaps remain within the evidence base. Service-user perspectives are often underrepresented, despite their central role in shaping engagement and treatment outcomes (Sutcliffe et al., 2018). Furthermore, longitudinal evidence indicates that obesity is associated with progressive increases in </w:t>
      </w:r>
      <w:proofErr w:type="spellStart"/>
      <w:r w:rsidRPr="005B7ABE">
        <w:rPr>
          <w:rFonts w:ascii="Arial" w:hAnsi="Arial" w:cs="Arial"/>
          <w:color w:val="000000" w:themeColor="text1"/>
          <w:kern w:val="0"/>
          <w:sz w:val="22"/>
          <w:szCs w:val="22"/>
          <w14:ligatures w14:val="none"/>
        </w:rPr>
        <w:t>multimorbidity</w:t>
      </w:r>
      <w:proofErr w:type="spellEnd"/>
      <w:r w:rsidRPr="005B7ABE">
        <w:rPr>
          <w:rFonts w:ascii="Arial" w:hAnsi="Arial" w:cs="Arial"/>
          <w:color w:val="000000" w:themeColor="text1"/>
          <w:kern w:val="0"/>
          <w:sz w:val="22"/>
          <w:szCs w:val="22"/>
          <w14:ligatures w14:val="none"/>
        </w:rPr>
        <w:t xml:space="preserve"> and health complications over time, highlighting the need for earlier and more effective intervention (</w:t>
      </w:r>
      <w:proofErr w:type="spellStart"/>
      <w:r w:rsidRPr="005B7ABE">
        <w:rPr>
          <w:rFonts w:ascii="Arial" w:hAnsi="Arial" w:cs="Arial"/>
          <w:color w:val="000000" w:themeColor="text1"/>
          <w:kern w:val="0"/>
          <w:sz w:val="22"/>
          <w:szCs w:val="22"/>
          <w14:ligatures w14:val="none"/>
        </w:rPr>
        <w:t>Pearson-Stuttard</w:t>
      </w:r>
      <w:proofErr w:type="spellEnd"/>
      <w:r w:rsidRPr="005B7ABE">
        <w:rPr>
          <w:rFonts w:ascii="Arial" w:hAnsi="Arial" w:cs="Arial"/>
          <w:color w:val="000000" w:themeColor="text1"/>
          <w:kern w:val="0"/>
          <w:sz w:val="22"/>
          <w:szCs w:val="22"/>
          <w14:ligatures w14:val="none"/>
        </w:rPr>
        <w:t xml:space="preserve"> et al., 2024). Together, these gaps suggest that current approaches insufficiently capture both the lived experience of obesity and its long-term trajectory.</w:t>
      </w:r>
    </w:p>
    <w:p w14:paraId="25462204" w14:textId="180D10D8" w:rsidR="00FF3559" w:rsidRPr="005B7ABE" w:rsidRDefault="00FF3559"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Research further indicates that obesity is experienced unevenly across population groups. Evidence shows that health outcomes, wellbeing, and access to care vary according to age, ethnicity, and area-level deprivation (Ghosh, Khan and Vohra, 2023; Higgins, 2022; The Health Foundation, 2025). However, existing studies often examine these factors in isolation, with limited intersectional analysis of how multiple forms of disadvantage interact to shape obesity risk and access to care.</w:t>
      </w:r>
    </w:p>
    <w:p w14:paraId="0E93AA4E" w14:textId="77777777" w:rsidR="00FF3559" w:rsidRPr="005B7ABE" w:rsidRDefault="00FF3559"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lastRenderedPageBreak/>
        <w:t>Overall, despite increasing policy attention and a growing range of interventions, there remains limited synthesis of evidence integrating treatment effectiveness with structural barriers to access. This gap highlights the need for a scoping review to provide a more comprehensive understanding of obesity management and to inform future research, policy, and practice within the UK context.</w:t>
      </w:r>
    </w:p>
    <w:p w14:paraId="09D1B2CC" w14:textId="77777777" w:rsidR="00F67C06" w:rsidRPr="00B63D5E" w:rsidRDefault="00F67C06" w:rsidP="0020706C">
      <w:pPr>
        <w:spacing w:before="100" w:beforeAutospacing="1" w:after="100" w:afterAutospacing="1" w:line="360" w:lineRule="auto"/>
        <w:jc w:val="both"/>
        <w:outlineLvl w:val="1"/>
        <w:rPr>
          <w:rFonts w:ascii="Arial" w:eastAsia="Times New Roman" w:hAnsi="Arial" w:cs="Arial"/>
          <w:b/>
          <w:bCs/>
          <w:color w:val="000000" w:themeColor="text1"/>
          <w:kern w:val="0"/>
          <w:sz w:val="22"/>
          <w:szCs w:val="22"/>
          <w14:ligatures w14:val="none"/>
        </w:rPr>
      </w:pPr>
      <w:r w:rsidRPr="00B63D5E">
        <w:rPr>
          <w:rFonts w:ascii="Arial" w:eastAsia="Times New Roman" w:hAnsi="Arial" w:cs="Arial"/>
          <w:b/>
          <w:bCs/>
          <w:color w:val="000000" w:themeColor="text1"/>
          <w:kern w:val="0"/>
          <w:sz w:val="22"/>
          <w:szCs w:val="22"/>
          <w14:ligatures w14:val="none"/>
        </w:rPr>
        <w:t>METHODS</w:t>
      </w:r>
    </w:p>
    <w:p w14:paraId="4CC4E372" w14:textId="77777777" w:rsidR="00F67C06" w:rsidRPr="005B7ABE" w:rsidRDefault="00F67C06" w:rsidP="0020706C">
      <w:pPr>
        <w:spacing w:before="100" w:beforeAutospacing="1" w:after="100" w:afterAutospacing="1" w:line="360" w:lineRule="auto"/>
        <w:jc w:val="both"/>
        <w:rPr>
          <w:rFonts w:ascii="Arial" w:hAnsi="Arial" w:cs="Arial"/>
          <w:color w:val="000000" w:themeColor="text1"/>
          <w:kern w:val="0"/>
          <w:sz w:val="22"/>
          <w:szCs w:val="22"/>
          <w14:ligatures w14:val="none"/>
        </w:rPr>
      </w:pPr>
    </w:p>
    <w:p w14:paraId="3856741E" w14:textId="77777777" w:rsidR="00F67C06" w:rsidRPr="005B7ABE" w:rsidRDefault="00F67C0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This study employed a scoping review methodology to examine the effectiveness of obesity treatments and the structural factors affecting access to these interventions among working-age adults (18–65) in the United Kingdom (UK). Scoping reviews are particularly useful for exploring complex health issues, as they allow for the mapping of existing research, identification of key themes, and recognition of gaps within the literature (</w:t>
      </w:r>
      <w:proofErr w:type="spellStart"/>
      <w:r w:rsidRPr="005B7ABE">
        <w:rPr>
          <w:rFonts w:ascii="Arial" w:hAnsi="Arial" w:cs="Arial"/>
          <w:color w:val="000000" w:themeColor="text1"/>
          <w:kern w:val="0"/>
          <w:sz w:val="22"/>
          <w:szCs w:val="22"/>
          <w14:ligatures w14:val="none"/>
        </w:rPr>
        <w:t>Arksey</w:t>
      </w:r>
      <w:proofErr w:type="spellEnd"/>
      <w:r w:rsidRPr="005B7ABE">
        <w:rPr>
          <w:rFonts w:ascii="Arial" w:hAnsi="Arial" w:cs="Arial"/>
          <w:color w:val="000000" w:themeColor="text1"/>
          <w:kern w:val="0"/>
          <w:sz w:val="22"/>
          <w:szCs w:val="22"/>
          <w14:ligatures w14:val="none"/>
        </w:rPr>
        <w:t xml:space="preserve"> and O’Malley, 2005; </w:t>
      </w:r>
      <w:proofErr w:type="spellStart"/>
      <w:r w:rsidRPr="005B7ABE">
        <w:rPr>
          <w:rFonts w:ascii="Arial" w:hAnsi="Arial" w:cs="Arial"/>
          <w:color w:val="000000" w:themeColor="text1"/>
          <w:kern w:val="0"/>
          <w:sz w:val="22"/>
          <w:szCs w:val="22"/>
          <w14:ligatures w14:val="none"/>
        </w:rPr>
        <w:t>Aveyard</w:t>
      </w:r>
      <w:proofErr w:type="spellEnd"/>
      <w:r w:rsidRPr="005B7ABE">
        <w:rPr>
          <w:rFonts w:ascii="Arial" w:hAnsi="Arial" w:cs="Arial"/>
          <w:color w:val="000000" w:themeColor="text1"/>
          <w:kern w:val="0"/>
          <w:sz w:val="22"/>
          <w:szCs w:val="22"/>
          <w14:ligatures w14:val="none"/>
        </w:rPr>
        <w:t>, 2014).</w:t>
      </w:r>
    </w:p>
    <w:p w14:paraId="67B1655C" w14:textId="77777777" w:rsidR="00F67C06" w:rsidRPr="005B7ABE" w:rsidRDefault="00F67C06" w:rsidP="0020706C">
      <w:pPr>
        <w:spacing w:before="100" w:beforeAutospacing="1" w:after="100" w:afterAutospacing="1" w:line="360" w:lineRule="auto"/>
        <w:jc w:val="both"/>
        <w:rPr>
          <w:rFonts w:ascii="Arial" w:hAnsi="Arial" w:cs="Arial"/>
          <w:color w:val="000000" w:themeColor="text1"/>
          <w:kern w:val="0"/>
          <w:sz w:val="22"/>
          <w:szCs w:val="22"/>
          <w14:ligatures w14:val="none"/>
        </w:rPr>
      </w:pPr>
    </w:p>
    <w:p w14:paraId="2578F862" w14:textId="2421BBD4" w:rsidR="00F67C06" w:rsidRPr="00B63D5E" w:rsidRDefault="00F67C06" w:rsidP="00B63D5E">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 xml:space="preserve">The review followed a structured process based on </w:t>
      </w:r>
      <w:proofErr w:type="spellStart"/>
      <w:r w:rsidRPr="005B7ABE">
        <w:rPr>
          <w:rFonts w:ascii="Arial" w:hAnsi="Arial" w:cs="Arial"/>
          <w:color w:val="000000" w:themeColor="text1"/>
          <w:kern w:val="0"/>
          <w:sz w:val="22"/>
          <w:szCs w:val="22"/>
          <w14:ligatures w14:val="none"/>
        </w:rPr>
        <w:t>Arksey</w:t>
      </w:r>
      <w:proofErr w:type="spellEnd"/>
      <w:r w:rsidRPr="005B7ABE">
        <w:rPr>
          <w:rFonts w:ascii="Arial" w:hAnsi="Arial" w:cs="Arial"/>
          <w:color w:val="000000" w:themeColor="text1"/>
          <w:kern w:val="0"/>
          <w:sz w:val="22"/>
          <w:szCs w:val="22"/>
          <w14:ligatures w14:val="none"/>
        </w:rPr>
        <w:t xml:space="preserve"> and O’Malley’s</w:t>
      </w:r>
      <w:r w:rsidR="000A223D" w:rsidRPr="005B7ABE">
        <w:rPr>
          <w:rFonts w:ascii="Arial" w:hAnsi="Arial" w:cs="Arial"/>
          <w:color w:val="000000" w:themeColor="text1"/>
          <w:kern w:val="0"/>
          <w:sz w:val="22"/>
          <w:szCs w:val="22"/>
          <w14:ligatures w14:val="none"/>
        </w:rPr>
        <w:t xml:space="preserve"> (2005)</w:t>
      </w:r>
      <w:r w:rsidRPr="005B7ABE">
        <w:rPr>
          <w:rFonts w:ascii="Arial" w:hAnsi="Arial" w:cs="Arial"/>
          <w:color w:val="000000" w:themeColor="text1"/>
          <w:kern w:val="0"/>
          <w:sz w:val="22"/>
          <w:szCs w:val="22"/>
          <w14:ligatures w14:val="none"/>
        </w:rPr>
        <w:t xml:space="preserve"> framework, which includes defining the research question, identifying relevant studies, applying inclusion and exclusion criteria, organising the data,</w:t>
      </w:r>
      <w:r w:rsidR="00573061" w:rsidRPr="005B7ABE">
        <w:rPr>
          <w:rFonts w:ascii="Arial" w:hAnsi="Arial" w:cs="Arial"/>
          <w:color w:val="000000" w:themeColor="text1"/>
          <w:kern w:val="0"/>
          <w:sz w:val="22"/>
          <w:szCs w:val="22"/>
          <w14:ligatures w14:val="none"/>
        </w:rPr>
        <w:t xml:space="preserve"> attributing themes </w:t>
      </w:r>
      <w:r w:rsidRPr="005B7ABE">
        <w:rPr>
          <w:rFonts w:ascii="Arial" w:hAnsi="Arial" w:cs="Arial"/>
          <w:color w:val="000000" w:themeColor="text1"/>
          <w:kern w:val="0"/>
          <w:sz w:val="22"/>
          <w:szCs w:val="22"/>
          <w14:ligatures w14:val="none"/>
        </w:rPr>
        <w:t>and summarising the findings. This approach ensured that the review was conducted in a systematic and transparent manner.</w:t>
      </w:r>
    </w:p>
    <w:p w14:paraId="4B84B4DF" w14:textId="3D2F6AA4" w:rsidR="00F67C06" w:rsidRPr="00B63D5E" w:rsidRDefault="00F67C06" w:rsidP="00B63D5E">
      <w:pPr>
        <w:spacing w:before="100" w:beforeAutospacing="1" w:after="100" w:afterAutospacing="1" w:line="360" w:lineRule="auto"/>
        <w:jc w:val="both"/>
        <w:outlineLvl w:val="1"/>
        <w:rPr>
          <w:rFonts w:ascii="Arial" w:hAnsi="Arial" w:cs="Arial"/>
          <w:b/>
          <w:bCs/>
          <w:color w:val="000000" w:themeColor="text1"/>
          <w:kern w:val="0"/>
          <w:sz w:val="22"/>
          <w:szCs w:val="22"/>
          <w14:ligatures w14:val="none"/>
        </w:rPr>
      </w:pPr>
      <w:r w:rsidRPr="00B63D5E">
        <w:rPr>
          <w:rFonts w:ascii="Arial" w:eastAsia="Times New Roman" w:hAnsi="Arial" w:cs="Arial"/>
          <w:b/>
          <w:bCs/>
          <w:color w:val="000000" w:themeColor="text1"/>
          <w:kern w:val="0"/>
          <w:sz w:val="22"/>
          <w:szCs w:val="22"/>
          <w14:ligatures w14:val="none"/>
        </w:rPr>
        <w:t>Data Collection Approach</w:t>
      </w:r>
    </w:p>
    <w:p w14:paraId="3D1BB12B" w14:textId="1C011878" w:rsidR="00F67C06" w:rsidRPr="005B7ABE" w:rsidRDefault="00F67C0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A systematic search of the literature was conducted to identify relevant peer-reviewed studies published between 201</w:t>
      </w:r>
      <w:r w:rsidR="00C40BE6" w:rsidRPr="005B7ABE">
        <w:rPr>
          <w:rFonts w:ascii="Arial" w:hAnsi="Arial" w:cs="Arial"/>
          <w:color w:val="000000" w:themeColor="text1"/>
          <w:kern w:val="0"/>
          <w:sz w:val="22"/>
          <w:szCs w:val="22"/>
          <w14:ligatures w14:val="none"/>
        </w:rPr>
        <w:t>6</w:t>
      </w:r>
      <w:r w:rsidRPr="005B7ABE">
        <w:rPr>
          <w:rFonts w:ascii="Arial" w:hAnsi="Arial" w:cs="Arial"/>
          <w:color w:val="000000" w:themeColor="text1"/>
          <w:kern w:val="0"/>
          <w:sz w:val="22"/>
          <w:szCs w:val="22"/>
          <w14:ligatures w14:val="none"/>
        </w:rPr>
        <w:t xml:space="preserve"> and 2026. The following academic databases were used:</w:t>
      </w:r>
    </w:p>
    <w:p w14:paraId="6A689682" w14:textId="77777777" w:rsidR="00F67C06" w:rsidRPr="005B7ABE" w:rsidRDefault="00F67C06" w:rsidP="0020706C">
      <w:pPr>
        <w:numPr>
          <w:ilvl w:val="0"/>
          <w:numId w:val="3"/>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PubMed</w:t>
      </w:r>
    </w:p>
    <w:p w14:paraId="7CD640A1" w14:textId="0105D749" w:rsidR="00F67C06" w:rsidRPr="005B7ABE" w:rsidRDefault="00AA4586" w:rsidP="0020706C">
      <w:pPr>
        <w:numPr>
          <w:ilvl w:val="0"/>
          <w:numId w:val="3"/>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Wiley</w:t>
      </w:r>
    </w:p>
    <w:p w14:paraId="6BF8F6C0" w14:textId="678DF1C6" w:rsidR="00F67C06" w:rsidRPr="00B63D5E" w:rsidRDefault="00F67C06" w:rsidP="0020706C">
      <w:pPr>
        <w:numPr>
          <w:ilvl w:val="0"/>
          <w:numId w:val="3"/>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UWTSD Library Database</w:t>
      </w:r>
    </w:p>
    <w:p w14:paraId="4B3FF2FA" w14:textId="32CAF4F4" w:rsidR="00F67C06" w:rsidRPr="00B63D5E" w:rsidRDefault="00F67C06" w:rsidP="00B63D5E">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These databases were selected due to their comprehensive coverage of research related to healthcare, public health, and behavioural sciences.</w:t>
      </w:r>
    </w:p>
    <w:p w14:paraId="4B96E94D" w14:textId="2F24062A" w:rsidR="00F67C06" w:rsidRPr="00B63D5E" w:rsidRDefault="00F67C06" w:rsidP="00B63D5E">
      <w:pPr>
        <w:spacing w:before="100" w:beforeAutospacing="1" w:after="100" w:afterAutospacing="1" w:line="360" w:lineRule="auto"/>
        <w:jc w:val="both"/>
        <w:outlineLvl w:val="1"/>
        <w:rPr>
          <w:rFonts w:ascii="Arial" w:hAnsi="Arial" w:cs="Arial"/>
          <w:b/>
          <w:bCs/>
          <w:color w:val="000000" w:themeColor="text1"/>
          <w:kern w:val="0"/>
          <w:sz w:val="22"/>
          <w:szCs w:val="22"/>
          <w14:ligatures w14:val="none"/>
        </w:rPr>
      </w:pPr>
      <w:r w:rsidRPr="00B63D5E">
        <w:rPr>
          <w:rFonts w:ascii="Arial" w:eastAsia="Times New Roman" w:hAnsi="Arial" w:cs="Arial"/>
          <w:b/>
          <w:bCs/>
          <w:color w:val="000000" w:themeColor="text1"/>
          <w:kern w:val="0"/>
          <w:sz w:val="22"/>
          <w:szCs w:val="22"/>
          <w14:ligatures w14:val="none"/>
        </w:rPr>
        <w:t>Search Strategy</w:t>
      </w:r>
    </w:p>
    <w:p w14:paraId="77810E0E" w14:textId="77777777" w:rsidR="00F67C06" w:rsidRPr="005B7ABE" w:rsidRDefault="00F67C0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lastRenderedPageBreak/>
        <w:t>A range of keywords was developed in line with the research question. These terms were combined using Boolean operators to improve the accuracy and relevance of search results. The search strategy included combinations such as:</w:t>
      </w:r>
    </w:p>
    <w:p w14:paraId="42F34409" w14:textId="77777777" w:rsidR="00B34765" w:rsidRPr="005B7ABE" w:rsidRDefault="00B34765" w:rsidP="0020706C">
      <w:pPr>
        <w:numPr>
          <w:ilvl w:val="0"/>
          <w:numId w:val="10"/>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(“obesity” OR “overweight”) AND (“treatment” OR “interventions”) AND (“adults” OR “working-age adults”)</w:t>
      </w:r>
    </w:p>
    <w:p w14:paraId="0985D55B" w14:textId="77777777" w:rsidR="00B34765" w:rsidRPr="005B7ABE" w:rsidRDefault="00B34765" w:rsidP="0020706C">
      <w:pPr>
        <w:numPr>
          <w:ilvl w:val="0"/>
          <w:numId w:val="10"/>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(“obesity” AND “UK” AND “access to healthcare” AND “adults”)</w:t>
      </w:r>
    </w:p>
    <w:p w14:paraId="6E56AD7E" w14:textId="77777777" w:rsidR="00B34765" w:rsidRPr="005B7ABE" w:rsidRDefault="00B34765" w:rsidP="0020706C">
      <w:pPr>
        <w:numPr>
          <w:ilvl w:val="0"/>
          <w:numId w:val="10"/>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(“weight management” AND “barriers” AND “adults”)</w:t>
      </w:r>
    </w:p>
    <w:p w14:paraId="0E4AA5C6" w14:textId="77777777" w:rsidR="00B34765" w:rsidRPr="005B7ABE" w:rsidRDefault="00B34765" w:rsidP="0020706C">
      <w:pPr>
        <w:numPr>
          <w:ilvl w:val="0"/>
          <w:numId w:val="10"/>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(“obesity” AND (“inequalities” OR “socioeconomic factors”) AND “adults”)</w:t>
      </w:r>
    </w:p>
    <w:p w14:paraId="60C65F17" w14:textId="77777777" w:rsidR="00B34765" w:rsidRPr="005B7ABE" w:rsidRDefault="00B34765" w:rsidP="0020706C">
      <w:pPr>
        <w:numPr>
          <w:ilvl w:val="0"/>
          <w:numId w:val="10"/>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(“weight loss programmes” OR “obesity interventions”) AND (“engagement” OR “access”) AND “adults”</w:t>
      </w:r>
    </w:p>
    <w:p w14:paraId="5F57A515" w14:textId="5C11D095" w:rsidR="00F67C06" w:rsidRPr="00B63D5E" w:rsidRDefault="00F67C06" w:rsidP="00B63D5E">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Boolean operators such as AND, OR, and NOT were applied to refine the results and focus on studies relevant to the research aim.</w:t>
      </w:r>
    </w:p>
    <w:p w14:paraId="7F77AE93" w14:textId="327BD57F" w:rsidR="00F67C06" w:rsidRPr="00B63D5E" w:rsidRDefault="00F67C06" w:rsidP="00B63D5E">
      <w:pPr>
        <w:spacing w:before="100" w:beforeAutospacing="1" w:after="100" w:afterAutospacing="1" w:line="360" w:lineRule="auto"/>
        <w:jc w:val="both"/>
        <w:outlineLvl w:val="1"/>
        <w:rPr>
          <w:rFonts w:ascii="Arial" w:hAnsi="Arial" w:cs="Arial"/>
          <w:b/>
          <w:bCs/>
          <w:color w:val="000000" w:themeColor="text1"/>
          <w:kern w:val="0"/>
          <w:sz w:val="22"/>
          <w:szCs w:val="22"/>
          <w14:ligatures w14:val="none"/>
        </w:rPr>
      </w:pPr>
      <w:r w:rsidRPr="00B63D5E">
        <w:rPr>
          <w:rFonts w:ascii="Arial" w:eastAsia="Times New Roman" w:hAnsi="Arial" w:cs="Arial"/>
          <w:b/>
          <w:bCs/>
          <w:color w:val="000000" w:themeColor="text1"/>
          <w:kern w:val="0"/>
          <w:sz w:val="22"/>
          <w:szCs w:val="22"/>
          <w14:ligatures w14:val="none"/>
        </w:rPr>
        <w:t>Inclusion and Exclusion Criteria</w:t>
      </w:r>
    </w:p>
    <w:p w14:paraId="6D88C724" w14:textId="53BA3C28" w:rsidR="00F67C06" w:rsidRPr="005B7ABE" w:rsidRDefault="00F67C0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To ensure that the selected studies were relevant and of sufficient quality, clear inclusion and exclusion criteria were applied.</w:t>
      </w:r>
    </w:p>
    <w:p w14:paraId="334C9CE0" w14:textId="77777777" w:rsidR="00F67C06" w:rsidRPr="005B7ABE" w:rsidRDefault="00F67C06" w:rsidP="0020706C">
      <w:pPr>
        <w:spacing w:before="100" w:beforeAutospacing="1" w:after="100" w:afterAutospacing="1" w:line="360" w:lineRule="auto"/>
        <w:jc w:val="both"/>
        <w:outlineLvl w:val="2"/>
        <w:rPr>
          <w:rFonts w:ascii="Arial" w:eastAsia="Times New Roman" w:hAnsi="Arial" w:cs="Arial"/>
          <w:color w:val="000000" w:themeColor="text1"/>
          <w:kern w:val="0"/>
          <w:sz w:val="22"/>
          <w:szCs w:val="22"/>
          <w14:ligatures w14:val="none"/>
        </w:rPr>
      </w:pPr>
      <w:r w:rsidRPr="005B7ABE">
        <w:rPr>
          <w:rFonts w:ascii="Arial" w:eastAsia="Times New Roman" w:hAnsi="Arial" w:cs="Arial"/>
          <w:color w:val="000000" w:themeColor="text1"/>
          <w:kern w:val="0"/>
          <w:sz w:val="22"/>
          <w:szCs w:val="22"/>
          <w14:ligatures w14:val="none"/>
        </w:rPr>
        <w:t>Inclusion criteria:</w:t>
      </w:r>
    </w:p>
    <w:p w14:paraId="1D2B0D53" w14:textId="77777777" w:rsidR="00F67C06" w:rsidRPr="005B7ABE" w:rsidRDefault="00F67C06" w:rsidP="0020706C">
      <w:pPr>
        <w:numPr>
          <w:ilvl w:val="0"/>
          <w:numId w:val="5"/>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Peer-reviewed journal articles</w:t>
      </w:r>
    </w:p>
    <w:p w14:paraId="17AAFBBA" w14:textId="2A7DCD0C" w:rsidR="00F67C06" w:rsidRPr="005B7ABE" w:rsidRDefault="00F67C06" w:rsidP="0020706C">
      <w:pPr>
        <w:numPr>
          <w:ilvl w:val="0"/>
          <w:numId w:val="5"/>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Published between 201</w:t>
      </w:r>
      <w:r w:rsidR="003758AA" w:rsidRPr="005B7ABE">
        <w:rPr>
          <w:rFonts w:ascii="Arial" w:hAnsi="Arial" w:cs="Arial"/>
          <w:color w:val="000000" w:themeColor="text1"/>
          <w:kern w:val="0"/>
          <w:sz w:val="22"/>
          <w:szCs w:val="22"/>
          <w14:ligatures w14:val="none"/>
        </w:rPr>
        <w:t xml:space="preserve">6 </w:t>
      </w:r>
      <w:r w:rsidRPr="005B7ABE">
        <w:rPr>
          <w:rFonts w:ascii="Arial" w:hAnsi="Arial" w:cs="Arial"/>
          <w:color w:val="000000" w:themeColor="text1"/>
          <w:kern w:val="0"/>
          <w:sz w:val="22"/>
          <w:szCs w:val="22"/>
          <w14:ligatures w14:val="none"/>
        </w:rPr>
        <w:t xml:space="preserve"> and 2026</w:t>
      </w:r>
    </w:p>
    <w:p w14:paraId="1587C87E" w14:textId="77777777" w:rsidR="00F67C06" w:rsidRPr="005B7ABE" w:rsidRDefault="00F67C06" w:rsidP="0020706C">
      <w:pPr>
        <w:numPr>
          <w:ilvl w:val="0"/>
          <w:numId w:val="5"/>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Studies focusing on obesity treatment and/or access to services</w:t>
      </w:r>
    </w:p>
    <w:p w14:paraId="15234CEA" w14:textId="77777777" w:rsidR="00F67C06" w:rsidRPr="005B7ABE" w:rsidRDefault="00F67C06" w:rsidP="0020706C">
      <w:pPr>
        <w:numPr>
          <w:ilvl w:val="0"/>
          <w:numId w:val="5"/>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Adult populations aged 18–65</w:t>
      </w:r>
    </w:p>
    <w:p w14:paraId="064A56E6" w14:textId="77777777" w:rsidR="00F67C06" w:rsidRPr="005B7ABE" w:rsidRDefault="00F67C06" w:rsidP="0020706C">
      <w:pPr>
        <w:numPr>
          <w:ilvl w:val="0"/>
          <w:numId w:val="5"/>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Research conducted within the UK or comparable healthcare systems</w:t>
      </w:r>
    </w:p>
    <w:p w14:paraId="6CF45745" w14:textId="77777777" w:rsidR="00F67C06" w:rsidRPr="005B7ABE" w:rsidRDefault="00F67C06" w:rsidP="0020706C">
      <w:pPr>
        <w:numPr>
          <w:ilvl w:val="0"/>
          <w:numId w:val="5"/>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Qualitative, quantitative, or mixed-method studies</w:t>
      </w:r>
    </w:p>
    <w:p w14:paraId="410DE425" w14:textId="24962420" w:rsidR="00F67C06" w:rsidRPr="00B63D5E" w:rsidRDefault="00F67C06" w:rsidP="0020706C">
      <w:pPr>
        <w:numPr>
          <w:ilvl w:val="0"/>
          <w:numId w:val="5"/>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Full-text articles available</w:t>
      </w:r>
    </w:p>
    <w:p w14:paraId="4CF628A5" w14:textId="77777777" w:rsidR="00F67C06" w:rsidRPr="00B63D5E" w:rsidRDefault="00F67C06" w:rsidP="0020706C">
      <w:pPr>
        <w:spacing w:before="100" w:beforeAutospacing="1" w:after="100" w:afterAutospacing="1" w:line="360" w:lineRule="auto"/>
        <w:jc w:val="both"/>
        <w:outlineLvl w:val="2"/>
        <w:rPr>
          <w:rFonts w:ascii="Arial" w:eastAsia="Times New Roman" w:hAnsi="Arial" w:cs="Arial"/>
          <w:b/>
          <w:bCs/>
          <w:color w:val="000000" w:themeColor="text1"/>
          <w:kern w:val="0"/>
          <w:sz w:val="22"/>
          <w:szCs w:val="22"/>
          <w14:ligatures w14:val="none"/>
        </w:rPr>
      </w:pPr>
      <w:r w:rsidRPr="00B63D5E">
        <w:rPr>
          <w:rFonts w:ascii="Arial" w:eastAsia="Times New Roman" w:hAnsi="Arial" w:cs="Arial"/>
          <w:b/>
          <w:bCs/>
          <w:color w:val="000000" w:themeColor="text1"/>
          <w:kern w:val="0"/>
          <w:sz w:val="22"/>
          <w:szCs w:val="22"/>
          <w14:ligatures w14:val="none"/>
        </w:rPr>
        <w:t>Exclusion criteria:</w:t>
      </w:r>
    </w:p>
    <w:p w14:paraId="1A822D8B" w14:textId="77777777" w:rsidR="00F67C06" w:rsidRPr="005B7ABE" w:rsidRDefault="00F67C06" w:rsidP="0020706C">
      <w:pPr>
        <w:numPr>
          <w:ilvl w:val="0"/>
          <w:numId w:val="6"/>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Studies conducted outside relevant healthcare contexts</w:t>
      </w:r>
    </w:p>
    <w:p w14:paraId="0F19DAAE" w14:textId="77777777" w:rsidR="00F67C06" w:rsidRPr="005B7ABE" w:rsidRDefault="00F67C06" w:rsidP="0020706C">
      <w:pPr>
        <w:numPr>
          <w:ilvl w:val="0"/>
          <w:numId w:val="6"/>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Research focusing solely on children or adolescents</w:t>
      </w:r>
    </w:p>
    <w:p w14:paraId="6DE70CFD" w14:textId="77777777" w:rsidR="00F67C06" w:rsidRPr="005B7ABE" w:rsidRDefault="00F67C06" w:rsidP="0020706C">
      <w:pPr>
        <w:numPr>
          <w:ilvl w:val="0"/>
          <w:numId w:val="6"/>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Non-peer-reviewed sources such as opinion pieces or blogs</w:t>
      </w:r>
    </w:p>
    <w:p w14:paraId="53EA4690" w14:textId="77777777" w:rsidR="00F67C06" w:rsidRPr="005B7ABE" w:rsidRDefault="00F67C06" w:rsidP="0020706C">
      <w:pPr>
        <w:numPr>
          <w:ilvl w:val="0"/>
          <w:numId w:val="6"/>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Studies not addressing treatment outcomes or access issues</w:t>
      </w:r>
    </w:p>
    <w:p w14:paraId="24D55DDC" w14:textId="7CE132E6" w:rsidR="00F67C06" w:rsidRPr="00B63D5E" w:rsidRDefault="00F67C06" w:rsidP="0020706C">
      <w:pPr>
        <w:numPr>
          <w:ilvl w:val="0"/>
          <w:numId w:val="6"/>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Duplicate articles or studies without full-text access</w:t>
      </w:r>
    </w:p>
    <w:p w14:paraId="19FE93CB" w14:textId="24E6148D" w:rsidR="00F67C06" w:rsidRPr="00B63D5E" w:rsidRDefault="00F67C06" w:rsidP="00B63D5E">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lastRenderedPageBreak/>
        <w:t>Following the application of these criteria, relevant studies were selected for detailed review and analysis.</w:t>
      </w:r>
    </w:p>
    <w:p w14:paraId="6A9F34E9" w14:textId="29AF315A" w:rsidR="00F67C06" w:rsidRPr="00B63D5E" w:rsidRDefault="00F67C06" w:rsidP="00B63D5E">
      <w:pPr>
        <w:spacing w:before="100" w:beforeAutospacing="1" w:after="100" w:afterAutospacing="1" w:line="360" w:lineRule="auto"/>
        <w:jc w:val="both"/>
        <w:outlineLvl w:val="1"/>
        <w:rPr>
          <w:rFonts w:ascii="Arial" w:hAnsi="Arial" w:cs="Arial"/>
          <w:b/>
          <w:bCs/>
          <w:color w:val="000000" w:themeColor="text1"/>
          <w:kern w:val="0"/>
          <w:sz w:val="22"/>
          <w:szCs w:val="22"/>
          <w14:ligatures w14:val="none"/>
        </w:rPr>
      </w:pPr>
      <w:r w:rsidRPr="00B63D5E">
        <w:rPr>
          <w:rFonts w:ascii="Arial" w:eastAsia="Times New Roman" w:hAnsi="Arial" w:cs="Arial"/>
          <w:b/>
          <w:bCs/>
          <w:color w:val="000000" w:themeColor="text1"/>
          <w:kern w:val="0"/>
          <w:sz w:val="22"/>
          <w:szCs w:val="22"/>
          <w14:ligatures w14:val="none"/>
        </w:rPr>
        <w:t>Data Analysis Approach</w:t>
      </w:r>
    </w:p>
    <w:p w14:paraId="1FDB6460" w14:textId="41051227" w:rsidR="00F67C06" w:rsidRPr="005B7ABE" w:rsidRDefault="00F67C0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 xml:space="preserve">The selected studies were analysed using thematic analysis, as outlined by </w:t>
      </w:r>
      <w:proofErr w:type="spellStart"/>
      <w:r w:rsidRPr="005B7ABE">
        <w:rPr>
          <w:rFonts w:ascii="Arial" w:hAnsi="Arial" w:cs="Arial"/>
          <w:color w:val="000000" w:themeColor="text1"/>
          <w:kern w:val="0"/>
          <w:sz w:val="22"/>
          <w:szCs w:val="22"/>
          <w14:ligatures w14:val="none"/>
        </w:rPr>
        <w:t>Aveyard</w:t>
      </w:r>
      <w:proofErr w:type="spellEnd"/>
      <w:r w:rsidRPr="005B7ABE">
        <w:rPr>
          <w:rFonts w:ascii="Arial" w:hAnsi="Arial" w:cs="Arial"/>
          <w:color w:val="000000" w:themeColor="text1"/>
          <w:kern w:val="0"/>
          <w:sz w:val="22"/>
          <w:szCs w:val="22"/>
          <w14:ligatures w14:val="none"/>
        </w:rPr>
        <w:t xml:space="preserve"> (2014). This method was chosen because it allows for the identification of recurring patterns and themes across diverse types of research.</w:t>
      </w:r>
    </w:p>
    <w:p w14:paraId="138F763F" w14:textId="7A962E71" w:rsidR="00F67C06" w:rsidRPr="005B7ABE" w:rsidRDefault="00F67C0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The analysis was carried out in several stages. Initially, all studies were read thoroughly to gain familiarity with the data. Key ideas and concepts were then identified and coded. These codes were grouped into broader themes reflecting common patterns across the literature.</w:t>
      </w:r>
    </w:p>
    <w:p w14:paraId="01B80D75" w14:textId="77777777" w:rsidR="00F67C06" w:rsidRPr="00B63D5E" w:rsidRDefault="00F67C06" w:rsidP="0020706C">
      <w:pPr>
        <w:spacing w:before="100" w:beforeAutospacing="1" w:after="100" w:afterAutospacing="1" w:line="360" w:lineRule="auto"/>
        <w:jc w:val="both"/>
        <w:rPr>
          <w:rFonts w:ascii="Arial" w:hAnsi="Arial" w:cs="Arial"/>
          <w:b/>
          <w:bCs/>
          <w:color w:val="000000" w:themeColor="text1"/>
          <w:kern w:val="0"/>
          <w:sz w:val="22"/>
          <w:szCs w:val="22"/>
          <w14:ligatures w14:val="none"/>
        </w:rPr>
      </w:pPr>
      <w:r w:rsidRPr="00B63D5E">
        <w:rPr>
          <w:rFonts w:ascii="Arial" w:hAnsi="Arial" w:cs="Arial"/>
          <w:b/>
          <w:bCs/>
          <w:color w:val="000000" w:themeColor="text1"/>
          <w:kern w:val="0"/>
          <w:sz w:val="22"/>
          <w:szCs w:val="22"/>
          <w14:ligatures w14:val="none"/>
        </w:rPr>
        <w:t>The main themes identified included:</w:t>
      </w:r>
    </w:p>
    <w:p w14:paraId="0CE8E852" w14:textId="77777777" w:rsidR="00F67C06" w:rsidRPr="00B63D5E" w:rsidRDefault="00F67C06" w:rsidP="0020706C">
      <w:pPr>
        <w:numPr>
          <w:ilvl w:val="0"/>
          <w:numId w:val="7"/>
        </w:numPr>
        <w:spacing w:before="100" w:beforeAutospacing="1" w:after="100" w:afterAutospacing="1" w:line="360" w:lineRule="auto"/>
        <w:jc w:val="both"/>
        <w:rPr>
          <w:rFonts w:ascii="Arial" w:hAnsi="Arial" w:cs="Arial"/>
          <w:b/>
          <w:bCs/>
          <w:color w:val="000000" w:themeColor="text1"/>
          <w:kern w:val="0"/>
          <w:sz w:val="22"/>
          <w:szCs w:val="22"/>
          <w14:ligatures w14:val="none"/>
        </w:rPr>
      </w:pPr>
      <w:r w:rsidRPr="00B63D5E">
        <w:rPr>
          <w:rFonts w:ascii="Arial" w:hAnsi="Arial" w:cs="Arial"/>
          <w:b/>
          <w:bCs/>
          <w:color w:val="000000" w:themeColor="text1"/>
          <w:kern w:val="0"/>
          <w:sz w:val="22"/>
          <w:szCs w:val="22"/>
          <w14:ligatures w14:val="none"/>
        </w:rPr>
        <w:t>Effectiveness of obesity treatments</w:t>
      </w:r>
    </w:p>
    <w:p w14:paraId="5E2548B6" w14:textId="77777777" w:rsidR="00F67C06" w:rsidRPr="00B63D5E" w:rsidRDefault="00F67C06" w:rsidP="0020706C">
      <w:pPr>
        <w:numPr>
          <w:ilvl w:val="0"/>
          <w:numId w:val="7"/>
        </w:numPr>
        <w:spacing w:before="100" w:beforeAutospacing="1" w:after="100" w:afterAutospacing="1" w:line="360" w:lineRule="auto"/>
        <w:jc w:val="both"/>
        <w:rPr>
          <w:rFonts w:ascii="Arial" w:hAnsi="Arial" w:cs="Arial"/>
          <w:b/>
          <w:bCs/>
          <w:color w:val="000000" w:themeColor="text1"/>
          <w:kern w:val="0"/>
          <w:sz w:val="22"/>
          <w:szCs w:val="22"/>
          <w14:ligatures w14:val="none"/>
        </w:rPr>
      </w:pPr>
      <w:r w:rsidRPr="00B63D5E">
        <w:rPr>
          <w:rFonts w:ascii="Arial" w:hAnsi="Arial" w:cs="Arial"/>
          <w:b/>
          <w:bCs/>
          <w:color w:val="000000" w:themeColor="text1"/>
          <w:kern w:val="0"/>
          <w:sz w:val="22"/>
          <w:szCs w:val="22"/>
          <w14:ligatures w14:val="none"/>
        </w:rPr>
        <w:t>Access to weight management services</w:t>
      </w:r>
    </w:p>
    <w:p w14:paraId="5763646B" w14:textId="77777777" w:rsidR="00F67C06" w:rsidRPr="00B63D5E" w:rsidRDefault="00F67C06" w:rsidP="0020706C">
      <w:pPr>
        <w:numPr>
          <w:ilvl w:val="0"/>
          <w:numId w:val="7"/>
        </w:numPr>
        <w:spacing w:before="100" w:beforeAutospacing="1" w:after="100" w:afterAutospacing="1" w:line="360" w:lineRule="auto"/>
        <w:jc w:val="both"/>
        <w:rPr>
          <w:rFonts w:ascii="Arial" w:hAnsi="Arial" w:cs="Arial"/>
          <w:b/>
          <w:bCs/>
          <w:color w:val="000000" w:themeColor="text1"/>
          <w:kern w:val="0"/>
          <w:sz w:val="22"/>
          <w:szCs w:val="22"/>
          <w14:ligatures w14:val="none"/>
        </w:rPr>
      </w:pPr>
      <w:r w:rsidRPr="00B63D5E">
        <w:rPr>
          <w:rFonts w:ascii="Arial" w:hAnsi="Arial" w:cs="Arial"/>
          <w:b/>
          <w:bCs/>
          <w:color w:val="000000" w:themeColor="text1"/>
          <w:kern w:val="0"/>
          <w:sz w:val="22"/>
          <w:szCs w:val="22"/>
          <w14:ligatures w14:val="none"/>
        </w:rPr>
        <w:t>Socioeconomic and structural barriers</w:t>
      </w:r>
    </w:p>
    <w:p w14:paraId="1B104686" w14:textId="77777777" w:rsidR="00F67C06" w:rsidRPr="00B63D5E" w:rsidRDefault="00F67C06" w:rsidP="0020706C">
      <w:pPr>
        <w:numPr>
          <w:ilvl w:val="0"/>
          <w:numId w:val="7"/>
        </w:numPr>
        <w:spacing w:before="100" w:beforeAutospacing="1" w:after="100" w:afterAutospacing="1" w:line="360" w:lineRule="auto"/>
        <w:jc w:val="both"/>
        <w:rPr>
          <w:rFonts w:ascii="Arial" w:hAnsi="Arial" w:cs="Arial"/>
          <w:b/>
          <w:bCs/>
          <w:color w:val="000000" w:themeColor="text1"/>
          <w:kern w:val="0"/>
          <w:sz w:val="22"/>
          <w:szCs w:val="22"/>
          <w14:ligatures w14:val="none"/>
        </w:rPr>
      </w:pPr>
      <w:r w:rsidRPr="00B63D5E">
        <w:rPr>
          <w:rFonts w:ascii="Arial" w:hAnsi="Arial" w:cs="Arial"/>
          <w:b/>
          <w:bCs/>
          <w:color w:val="000000" w:themeColor="text1"/>
          <w:kern w:val="0"/>
          <w:sz w:val="22"/>
          <w:szCs w:val="22"/>
          <w14:ligatures w14:val="none"/>
        </w:rPr>
        <w:t>Digital and pharmacological interventions</w:t>
      </w:r>
    </w:p>
    <w:p w14:paraId="5A6E3A80" w14:textId="77777777" w:rsidR="00F67C06" w:rsidRPr="005B7ABE" w:rsidRDefault="00F67C06" w:rsidP="0020706C">
      <w:pPr>
        <w:spacing w:before="100" w:beforeAutospacing="1" w:after="100" w:afterAutospacing="1" w:line="360" w:lineRule="auto"/>
        <w:jc w:val="both"/>
        <w:rPr>
          <w:rFonts w:ascii="Arial" w:hAnsi="Arial" w:cs="Arial"/>
          <w:color w:val="000000" w:themeColor="text1"/>
          <w:kern w:val="0"/>
          <w:sz w:val="22"/>
          <w:szCs w:val="22"/>
          <w14:ligatures w14:val="none"/>
        </w:rPr>
      </w:pPr>
    </w:p>
    <w:p w14:paraId="51C726B4" w14:textId="77777777" w:rsidR="00F67C06" w:rsidRPr="005B7ABE" w:rsidRDefault="00F67C0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These themes were reviewed and refined to ensure consistency and alignment with the research question. The final themes were then used to organise and present the findings.</w:t>
      </w:r>
    </w:p>
    <w:p w14:paraId="6D293EDC" w14:textId="77777777" w:rsidR="00E9447C" w:rsidRPr="005B7ABE" w:rsidRDefault="00E9447C" w:rsidP="0020706C">
      <w:pPr>
        <w:spacing w:line="360" w:lineRule="auto"/>
        <w:jc w:val="both"/>
        <w:rPr>
          <w:rFonts w:ascii="Arial" w:hAnsi="Arial" w:cs="Arial"/>
          <w:color w:val="000000" w:themeColor="text1"/>
          <w:sz w:val="22"/>
          <w:szCs w:val="22"/>
        </w:rPr>
      </w:pPr>
    </w:p>
    <w:p w14:paraId="2047C4B6" w14:textId="6E80A1CE" w:rsidR="00BC04CE" w:rsidRPr="00B63D5E" w:rsidRDefault="00BC04CE" w:rsidP="00B63D5E">
      <w:pPr>
        <w:spacing w:before="100" w:beforeAutospacing="1" w:after="100" w:afterAutospacing="1" w:line="360" w:lineRule="auto"/>
        <w:jc w:val="both"/>
        <w:outlineLvl w:val="1"/>
        <w:rPr>
          <w:rFonts w:ascii="Arial" w:eastAsia="Times New Roman" w:hAnsi="Arial" w:cs="Arial"/>
          <w:b/>
          <w:bCs/>
          <w:color w:val="000000" w:themeColor="text1"/>
          <w:kern w:val="0"/>
          <w:sz w:val="22"/>
          <w:szCs w:val="22"/>
          <w14:ligatures w14:val="none"/>
        </w:rPr>
      </w:pPr>
      <w:r w:rsidRPr="00B63D5E">
        <w:rPr>
          <w:rFonts w:ascii="Arial" w:eastAsia="Times New Roman" w:hAnsi="Arial" w:cs="Arial"/>
          <w:b/>
          <w:bCs/>
          <w:color w:val="000000" w:themeColor="text1"/>
          <w:kern w:val="0"/>
          <w:sz w:val="22"/>
          <w:szCs w:val="22"/>
          <w14:ligatures w14:val="none"/>
        </w:rPr>
        <w:t>Ethical Considerations</w:t>
      </w:r>
    </w:p>
    <w:p w14:paraId="77C010FB" w14:textId="57CC464F" w:rsidR="00BC04CE" w:rsidRPr="005B7ABE" w:rsidRDefault="00BC04CE"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As this study involved a scoping review of secondary data from publicly available peer-reviewed literature, no direct interaction with human participants occurred, and formal ethical approval was not required.</w:t>
      </w:r>
    </w:p>
    <w:p w14:paraId="1E587688" w14:textId="77777777" w:rsidR="00BC04CE" w:rsidRPr="005B7ABE" w:rsidRDefault="00BC04CE"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However, ethical principles were carefully maintained throughout the research process to ensure academic integrity and transparency. The following measures were applied:</w:t>
      </w:r>
    </w:p>
    <w:p w14:paraId="42C7F0EF" w14:textId="77777777" w:rsidR="00BC04CE" w:rsidRPr="005B7ABE" w:rsidRDefault="00BC04CE" w:rsidP="0020706C">
      <w:pPr>
        <w:numPr>
          <w:ilvl w:val="0"/>
          <w:numId w:val="8"/>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Only studies from reputable, peer-reviewed journals and academic sources were included to ensure the credibility and reliability of the evidence.</w:t>
      </w:r>
    </w:p>
    <w:p w14:paraId="0B72DD24" w14:textId="77777777" w:rsidR="00BC04CE" w:rsidRPr="005B7ABE" w:rsidRDefault="00BC04CE" w:rsidP="0020706C">
      <w:pPr>
        <w:numPr>
          <w:ilvl w:val="0"/>
          <w:numId w:val="8"/>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A clear and structured inclusion and exclusion process was followed to minimise selection bias.</w:t>
      </w:r>
    </w:p>
    <w:p w14:paraId="509A5929" w14:textId="239BC8FD" w:rsidR="00BC04CE" w:rsidRPr="005B7ABE" w:rsidRDefault="00BC04CE" w:rsidP="0020706C">
      <w:pPr>
        <w:numPr>
          <w:ilvl w:val="0"/>
          <w:numId w:val="8"/>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lastRenderedPageBreak/>
        <w:t>All sources were accurately referenced using Harvard referencing, ensuring appropriate acknowledgment of original authors</w:t>
      </w:r>
      <w:r w:rsidR="00A21A37" w:rsidRPr="005B7ABE">
        <w:rPr>
          <w:rFonts w:ascii="Arial" w:hAnsi="Arial" w:cs="Arial"/>
          <w:color w:val="000000" w:themeColor="text1"/>
          <w:kern w:val="0"/>
          <w:sz w:val="22"/>
          <w:szCs w:val="22"/>
          <w14:ligatures w14:val="none"/>
        </w:rPr>
        <w:t>.</w:t>
      </w:r>
    </w:p>
    <w:p w14:paraId="4C5B64BE" w14:textId="77777777" w:rsidR="00BC04CE" w:rsidRPr="005B7ABE" w:rsidRDefault="00BC04CE" w:rsidP="0020706C">
      <w:pPr>
        <w:numPr>
          <w:ilvl w:val="0"/>
          <w:numId w:val="8"/>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Findings were presented objectively, including both effective and ineffective interventions, as well as barriers to access, to provide a balanced representation of the evidence.</w:t>
      </w:r>
    </w:p>
    <w:p w14:paraId="6934A79C" w14:textId="77777777" w:rsidR="00BC04CE" w:rsidRPr="005B7ABE" w:rsidRDefault="00BC04CE" w:rsidP="0020706C">
      <w:pPr>
        <w:numPr>
          <w:ilvl w:val="0"/>
          <w:numId w:val="8"/>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No personal or sensitive data were accessed, ensuring that participant confidentiality from the original studies was respected.</w:t>
      </w:r>
    </w:p>
    <w:p w14:paraId="1FFCF144" w14:textId="79504E13" w:rsidR="0089052F" w:rsidRPr="005B7ABE" w:rsidRDefault="0089052F" w:rsidP="0020706C">
      <w:pPr>
        <w:numPr>
          <w:ilvl w:val="0"/>
          <w:numId w:val="8"/>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Consideration was given to potential conflicts of interest within the included studies.</w:t>
      </w:r>
    </w:p>
    <w:p w14:paraId="240EFCAA" w14:textId="77777777" w:rsidR="00BC04CE" w:rsidRPr="005B7ABE" w:rsidRDefault="00BC04CE" w:rsidP="0020706C">
      <w:pPr>
        <w:spacing w:before="100" w:beforeAutospacing="1" w:after="100" w:afterAutospacing="1" w:line="360" w:lineRule="auto"/>
        <w:jc w:val="both"/>
        <w:rPr>
          <w:rFonts w:ascii="Arial" w:hAnsi="Arial" w:cs="Arial"/>
          <w:color w:val="000000" w:themeColor="text1"/>
          <w:kern w:val="0"/>
          <w:sz w:val="22"/>
          <w:szCs w:val="22"/>
          <w14:ligatures w14:val="none"/>
        </w:rPr>
      </w:pPr>
    </w:p>
    <w:p w14:paraId="6DFFDC4C" w14:textId="77777777" w:rsidR="00BC04CE" w:rsidRPr="005B7ABE" w:rsidRDefault="00BC04CE"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This approach ensured that the review was conducted in a transparent, ethical, and academically rigorous manner.</w:t>
      </w:r>
    </w:p>
    <w:p w14:paraId="34DE8083" w14:textId="52B222E2" w:rsidR="00F67C06" w:rsidRPr="00B63D5E" w:rsidRDefault="00775C11" w:rsidP="00B63D5E">
      <w:pPr>
        <w:spacing w:after="0" w:line="360" w:lineRule="auto"/>
        <w:jc w:val="both"/>
        <w:rPr>
          <w:rFonts w:ascii="Arial" w:eastAsia="Times New Roman" w:hAnsi="Arial" w:cs="Arial"/>
          <w:color w:val="000000" w:themeColor="text1"/>
          <w:kern w:val="0"/>
          <w:sz w:val="22"/>
          <w:szCs w:val="22"/>
          <w14:ligatures w14:val="none"/>
        </w:rPr>
      </w:pPr>
      <w:r w:rsidRPr="005B7ABE">
        <w:rPr>
          <w:rFonts w:ascii="Arial" w:eastAsia="Times New Roman" w:hAnsi="Arial" w:cs="Arial"/>
          <w:color w:val="000000" w:themeColor="text1"/>
          <w:kern w:val="0"/>
          <w:sz w:val="22"/>
          <w:szCs w:val="22"/>
          <w14:ligatures w14:val="none"/>
        </w:rPr>
        <w:t>Additionally, efforts were made to present findings in a balanced and respectful manner, acknowledging barriers such as stigma</w:t>
      </w:r>
      <w:r w:rsidR="00282D5D" w:rsidRPr="005B7ABE">
        <w:rPr>
          <w:rFonts w:ascii="Arial" w:eastAsia="Times New Roman" w:hAnsi="Arial" w:cs="Arial"/>
          <w:color w:val="000000" w:themeColor="text1"/>
          <w:kern w:val="0"/>
          <w:sz w:val="22"/>
          <w:szCs w:val="22"/>
          <w14:ligatures w14:val="none"/>
        </w:rPr>
        <w:t xml:space="preserve"> </w:t>
      </w:r>
      <w:r w:rsidRPr="005B7ABE">
        <w:rPr>
          <w:rFonts w:ascii="Arial" w:eastAsia="Times New Roman" w:hAnsi="Arial" w:cs="Arial"/>
          <w:color w:val="000000" w:themeColor="text1"/>
          <w:kern w:val="0"/>
          <w:sz w:val="22"/>
          <w:szCs w:val="22"/>
          <w14:ligatures w14:val="none"/>
        </w:rPr>
        <w:t>and limited access to services. The review aims to contribute constructively to understanding obesity</w:t>
      </w:r>
      <w:r w:rsidR="00F50E53" w:rsidRPr="005B7ABE">
        <w:rPr>
          <w:rFonts w:ascii="Arial" w:eastAsia="Times New Roman" w:hAnsi="Arial" w:cs="Arial"/>
          <w:color w:val="000000" w:themeColor="text1"/>
          <w:kern w:val="0"/>
          <w:sz w:val="22"/>
          <w:szCs w:val="22"/>
          <w14:ligatures w14:val="none"/>
        </w:rPr>
        <w:t xml:space="preserve"> for adults in the UK </w:t>
      </w:r>
      <w:r w:rsidRPr="005B7ABE">
        <w:rPr>
          <w:rFonts w:ascii="Arial" w:eastAsia="Times New Roman" w:hAnsi="Arial" w:cs="Arial"/>
          <w:color w:val="000000" w:themeColor="text1"/>
          <w:kern w:val="0"/>
          <w:sz w:val="22"/>
          <w:szCs w:val="22"/>
          <w14:ligatures w14:val="none"/>
        </w:rPr>
        <w:t xml:space="preserve"> and informing future research and practice.</w:t>
      </w:r>
    </w:p>
    <w:p w14:paraId="449F9EC5" w14:textId="77777777" w:rsidR="008D05D8" w:rsidRPr="005B7ABE" w:rsidRDefault="008D05D8" w:rsidP="0020706C">
      <w:pPr>
        <w:spacing w:line="360" w:lineRule="auto"/>
        <w:jc w:val="both"/>
        <w:rPr>
          <w:rFonts w:ascii="Arial" w:hAnsi="Arial" w:cs="Arial"/>
          <w:color w:val="000000" w:themeColor="text1"/>
          <w:sz w:val="22"/>
          <w:szCs w:val="22"/>
        </w:rPr>
      </w:pPr>
    </w:p>
    <w:p w14:paraId="5DBC6227" w14:textId="4A13C00E" w:rsidR="008D05D8" w:rsidRPr="00B63D5E" w:rsidRDefault="00E957AB" w:rsidP="0020706C">
      <w:pPr>
        <w:spacing w:line="360" w:lineRule="auto"/>
        <w:jc w:val="both"/>
        <w:rPr>
          <w:rFonts w:ascii="Arial" w:hAnsi="Arial" w:cs="Arial"/>
          <w:b/>
          <w:bCs/>
          <w:color w:val="000000" w:themeColor="text1"/>
          <w:sz w:val="22"/>
          <w:szCs w:val="22"/>
        </w:rPr>
      </w:pPr>
      <w:r w:rsidRPr="00B63D5E">
        <w:rPr>
          <w:rFonts w:ascii="Arial" w:hAnsi="Arial" w:cs="Arial"/>
          <w:b/>
          <w:bCs/>
          <w:color w:val="000000" w:themeColor="text1"/>
          <w:sz w:val="22"/>
          <w:szCs w:val="22"/>
        </w:rPr>
        <w:t>Results Table</w:t>
      </w:r>
    </w:p>
    <w:p w14:paraId="23847A06" w14:textId="77777777" w:rsidR="00E957AB" w:rsidRPr="005B7ABE" w:rsidRDefault="00E957AB" w:rsidP="0020706C">
      <w:pPr>
        <w:spacing w:line="360" w:lineRule="auto"/>
        <w:jc w:val="both"/>
        <w:rPr>
          <w:rFonts w:ascii="Arial" w:hAnsi="Arial" w:cs="Arial"/>
          <w:color w:val="000000" w:themeColor="text1"/>
          <w:sz w:val="22"/>
          <w:szCs w:val="22"/>
        </w:rPr>
      </w:pPr>
    </w:p>
    <w:tbl>
      <w:tblPr>
        <w:tblStyle w:val="TableGrid"/>
        <w:tblW w:w="0" w:type="auto"/>
        <w:tblLook w:val="04A0" w:firstRow="1" w:lastRow="0" w:firstColumn="1" w:lastColumn="0" w:noHBand="0" w:noVBand="1"/>
      </w:tblPr>
      <w:tblGrid>
        <w:gridCol w:w="1602"/>
        <w:gridCol w:w="1753"/>
        <w:gridCol w:w="2039"/>
        <w:gridCol w:w="1880"/>
        <w:gridCol w:w="1742"/>
      </w:tblGrid>
      <w:tr w:rsidR="003F66D7" w:rsidRPr="005B7ABE" w14:paraId="6332ADB5" w14:textId="77777777" w:rsidTr="003F66D7">
        <w:tc>
          <w:tcPr>
            <w:tcW w:w="1803" w:type="dxa"/>
          </w:tcPr>
          <w:p w14:paraId="6B239330" w14:textId="578EB274" w:rsidR="003F66D7" w:rsidRPr="005B7ABE" w:rsidRDefault="00BB6913"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Author(s), year</w:t>
            </w:r>
          </w:p>
        </w:tc>
        <w:tc>
          <w:tcPr>
            <w:tcW w:w="1803" w:type="dxa"/>
          </w:tcPr>
          <w:p w14:paraId="4ED286F5" w14:textId="786FDE6D" w:rsidR="003F66D7" w:rsidRPr="005B7ABE" w:rsidRDefault="00BB6913"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Research Objective</w:t>
            </w:r>
            <w:r w:rsidR="00DA6AF8" w:rsidRPr="005B7ABE">
              <w:rPr>
                <w:rFonts w:ascii="Arial" w:hAnsi="Arial" w:cs="Arial"/>
                <w:color w:val="000000" w:themeColor="text1"/>
                <w:sz w:val="22"/>
                <w:szCs w:val="22"/>
              </w:rPr>
              <w:t>s</w:t>
            </w:r>
          </w:p>
        </w:tc>
        <w:tc>
          <w:tcPr>
            <w:tcW w:w="1803" w:type="dxa"/>
          </w:tcPr>
          <w:p w14:paraId="7D903BD8" w14:textId="318A00BC" w:rsidR="003F66D7" w:rsidRPr="005B7ABE" w:rsidRDefault="00DA6AF8"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Methods</w:t>
            </w:r>
          </w:p>
        </w:tc>
        <w:tc>
          <w:tcPr>
            <w:tcW w:w="1803" w:type="dxa"/>
          </w:tcPr>
          <w:p w14:paraId="2154BB51" w14:textId="1CF03785" w:rsidR="003F66D7" w:rsidRPr="005B7ABE" w:rsidRDefault="00DA6AF8"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Key Findings</w:t>
            </w:r>
          </w:p>
        </w:tc>
        <w:tc>
          <w:tcPr>
            <w:tcW w:w="1804" w:type="dxa"/>
          </w:tcPr>
          <w:p w14:paraId="4AA2D0D7" w14:textId="0391DBB3" w:rsidR="003F66D7" w:rsidRPr="005B7ABE" w:rsidRDefault="00DA6AF8"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 xml:space="preserve">Relevance to </w:t>
            </w:r>
            <w:r w:rsidR="00FB60A6" w:rsidRPr="005B7ABE">
              <w:rPr>
                <w:rFonts w:ascii="Arial" w:hAnsi="Arial" w:cs="Arial"/>
                <w:color w:val="000000" w:themeColor="text1"/>
                <w:sz w:val="22"/>
                <w:szCs w:val="22"/>
              </w:rPr>
              <w:t>Review Question</w:t>
            </w:r>
          </w:p>
        </w:tc>
      </w:tr>
      <w:tr w:rsidR="003F66D7" w:rsidRPr="005B7ABE" w14:paraId="75CD5133" w14:textId="77777777" w:rsidTr="003F66D7">
        <w:tc>
          <w:tcPr>
            <w:tcW w:w="1803" w:type="dxa"/>
          </w:tcPr>
          <w:p w14:paraId="2A3EDE49" w14:textId="6682E388" w:rsidR="003F66D7" w:rsidRPr="005B7ABE" w:rsidRDefault="00053262"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Martins et al. (2020)</w:t>
            </w:r>
          </w:p>
        </w:tc>
        <w:tc>
          <w:tcPr>
            <w:tcW w:w="1803" w:type="dxa"/>
          </w:tcPr>
          <w:p w14:paraId="48E24EB7" w14:textId="61642D82" w:rsidR="003F66D7" w:rsidRPr="005B7ABE" w:rsidRDefault="00453AFD"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Evaluate effectiveness of long-term weight management services for adults with severe obesity in the UK</w:t>
            </w:r>
          </w:p>
        </w:tc>
        <w:tc>
          <w:tcPr>
            <w:tcW w:w="1803" w:type="dxa"/>
          </w:tcPr>
          <w:p w14:paraId="2CF2A52A" w14:textId="595323F0" w:rsidR="003F66D7" w:rsidRPr="005B7ABE" w:rsidRDefault="005F5654"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Systematic review (20 studies; NHS primary care, secondary care, and commercial settings)</w:t>
            </w:r>
          </w:p>
        </w:tc>
        <w:tc>
          <w:tcPr>
            <w:tcW w:w="1803" w:type="dxa"/>
          </w:tcPr>
          <w:p w14:paraId="32AC4EBB" w14:textId="77777777" w:rsidR="006F5110" w:rsidRPr="005B7ABE" w:rsidRDefault="006F5110"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 xml:space="preserve">Low-energy diet programmes showed the greatest weight loss (–12.4 kg at 12 months), but high dropout rates and inconsistent reporting limited comparisons; overall </w:t>
            </w:r>
            <w:r w:rsidRPr="005B7ABE">
              <w:rPr>
                <w:rStyle w:val="s1"/>
                <w:rFonts w:ascii="Arial" w:hAnsi="Arial" w:cs="Arial"/>
                <w:color w:val="000000" w:themeColor="text1"/>
                <w:sz w:val="22"/>
                <w:szCs w:val="22"/>
              </w:rPr>
              <w:lastRenderedPageBreak/>
              <w:t>effectiveness varied across services</w:t>
            </w:r>
          </w:p>
          <w:p w14:paraId="73B6F833" w14:textId="77777777" w:rsidR="003F66D7" w:rsidRPr="005B7ABE" w:rsidRDefault="003F66D7" w:rsidP="0020706C">
            <w:pPr>
              <w:spacing w:line="360" w:lineRule="auto"/>
              <w:jc w:val="both"/>
              <w:rPr>
                <w:rFonts w:ascii="Arial" w:hAnsi="Arial" w:cs="Arial"/>
                <w:color w:val="000000" w:themeColor="text1"/>
                <w:sz w:val="22"/>
                <w:szCs w:val="22"/>
              </w:rPr>
            </w:pPr>
          </w:p>
        </w:tc>
        <w:tc>
          <w:tcPr>
            <w:tcW w:w="1804" w:type="dxa"/>
          </w:tcPr>
          <w:p w14:paraId="1F6F23E4" w14:textId="77777777" w:rsidR="00424B4E" w:rsidRPr="005B7ABE" w:rsidRDefault="00424B4E"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lastRenderedPageBreak/>
              <w:t>Demonstrates that behavioural interventions can be effective but highlights limitations in consistency, adherence, and service delivery</w:t>
            </w:r>
          </w:p>
          <w:p w14:paraId="4D5CA25B" w14:textId="77777777" w:rsidR="003F66D7" w:rsidRPr="005B7ABE" w:rsidRDefault="003F66D7" w:rsidP="0020706C">
            <w:pPr>
              <w:spacing w:line="360" w:lineRule="auto"/>
              <w:jc w:val="both"/>
              <w:rPr>
                <w:rFonts w:ascii="Arial" w:hAnsi="Arial" w:cs="Arial"/>
                <w:color w:val="000000" w:themeColor="text1"/>
                <w:sz w:val="22"/>
                <w:szCs w:val="22"/>
              </w:rPr>
            </w:pPr>
          </w:p>
        </w:tc>
      </w:tr>
      <w:tr w:rsidR="003F66D7" w:rsidRPr="005B7ABE" w14:paraId="66D338D6" w14:textId="77777777" w:rsidTr="003F66D7">
        <w:tc>
          <w:tcPr>
            <w:tcW w:w="1803" w:type="dxa"/>
          </w:tcPr>
          <w:p w14:paraId="1AA2E178" w14:textId="77777777" w:rsidR="000234B3" w:rsidRPr="005B7ABE" w:rsidRDefault="000234B3"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Ahmed and Mohammed (2025)</w:t>
            </w:r>
          </w:p>
          <w:p w14:paraId="60B1110E" w14:textId="77777777" w:rsidR="003F66D7" w:rsidRPr="005B7ABE" w:rsidRDefault="003F66D7" w:rsidP="0020706C">
            <w:pPr>
              <w:spacing w:line="360" w:lineRule="auto"/>
              <w:jc w:val="both"/>
              <w:rPr>
                <w:rFonts w:ascii="Arial" w:hAnsi="Arial" w:cs="Arial"/>
                <w:color w:val="000000" w:themeColor="text1"/>
                <w:sz w:val="22"/>
                <w:szCs w:val="22"/>
              </w:rPr>
            </w:pPr>
          </w:p>
        </w:tc>
        <w:tc>
          <w:tcPr>
            <w:tcW w:w="1803" w:type="dxa"/>
          </w:tcPr>
          <w:p w14:paraId="03E825C6" w14:textId="39F42DE8" w:rsidR="003F66D7" w:rsidRPr="005B7ABE" w:rsidRDefault="00447771"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Review the prevalence, causes, consequences, management, preventive strategies, and future directions of obesity</w:t>
            </w:r>
          </w:p>
        </w:tc>
        <w:tc>
          <w:tcPr>
            <w:tcW w:w="180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1595"/>
              <w:gridCol w:w="81"/>
            </w:tblGrid>
            <w:tr w:rsidR="002B0CC8" w:rsidRPr="005B7ABE" w14:paraId="287C4F67" w14:textId="77777777">
              <w:trPr>
                <w:tblCellSpacing w:w="15" w:type="dxa"/>
              </w:trPr>
              <w:tc>
                <w:tcPr>
                  <w:tcW w:w="0" w:type="auto"/>
                  <w:vAlign w:val="center"/>
                  <w:hideMark/>
                </w:tcPr>
                <w:p w14:paraId="0E510629" w14:textId="77777777" w:rsidR="002B0CC8" w:rsidRPr="005B7ABE" w:rsidRDefault="002B0CC8" w:rsidP="0020706C">
                  <w:pPr>
                    <w:spacing w:after="0" w:line="360" w:lineRule="auto"/>
                    <w:jc w:val="both"/>
                    <w:rPr>
                      <w:rFonts w:ascii="Arial" w:hAnsi="Arial" w:cs="Arial"/>
                      <w:color w:val="000000" w:themeColor="text1"/>
                      <w:kern w:val="0"/>
                      <w:sz w:val="22"/>
                      <w:szCs w:val="22"/>
                      <w14:ligatures w14:val="none"/>
                    </w:rPr>
                  </w:pPr>
                </w:p>
              </w:tc>
              <w:tc>
                <w:tcPr>
                  <w:tcW w:w="0" w:type="auto"/>
                  <w:vAlign w:val="center"/>
                  <w:hideMark/>
                </w:tcPr>
                <w:p w14:paraId="556604DF" w14:textId="77777777" w:rsidR="002B0CC8" w:rsidRPr="005B7ABE" w:rsidRDefault="002B0CC8" w:rsidP="0020706C">
                  <w:pPr>
                    <w:spacing w:after="0" w:line="360" w:lineRule="auto"/>
                    <w:jc w:val="both"/>
                    <w:rPr>
                      <w:rFonts w:ascii="Arial" w:eastAsia="Times New Roman" w:hAnsi="Arial" w:cs="Arial"/>
                      <w:color w:val="000000" w:themeColor="text1"/>
                      <w:kern w:val="0"/>
                      <w:sz w:val="22"/>
                      <w:szCs w:val="22"/>
                      <w14:ligatures w14:val="none"/>
                    </w:rPr>
                  </w:pPr>
                </w:p>
              </w:tc>
              <w:tc>
                <w:tcPr>
                  <w:tcW w:w="0" w:type="auto"/>
                  <w:vAlign w:val="center"/>
                  <w:hideMark/>
                </w:tcPr>
                <w:p w14:paraId="45D5BEC5" w14:textId="77777777" w:rsidR="002B0CC8" w:rsidRPr="005B7ABE" w:rsidRDefault="002B0CC8"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Narrative review</w:t>
                  </w:r>
                </w:p>
              </w:tc>
              <w:tc>
                <w:tcPr>
                  <w:tcW w:w="0" w:type="auto"/>
                  <w:vAlign w:val="center"/>
                  <w:hideMark/>
                </w:tcPr>
                <w:p w14:paraId="34046AA7" w14:textId="77777777" w:rsidR="002B0CC8" w:rsidRPr="005B7ABE" w:rsidRDefault="002B0CC8" w:rsidP="0020706C">
                  <w:pPr>
                    <w:spacing w:after="0" w:line="360" w:lineRule="auto"/>
                    <w:jc w:val="both"/>
                    <w:rPr>
                      <w:rFonts w:ascii="Arial" w:hAnsi="Arial" w:cs="Arial"/>
                      <w:color w:val="000000" w:themeColor="text1"/>
                      <w:kern w:val="0"/>
                      <w:sz w:val="22"/>
                      <w:szCs w:val="22"/>
                      <w14:ligatures w14:val="none"/>
                    </w:rPr>
                  </w:pPr>
                </w:p>
              </w:tc>
            </w:tr>
          </w:tbl>
          <w:p w14:paraId="7BFDCEAE" w14:textId="77777777" w:rsidR="003F66D7" w:rsidRPr="005B7ABE" w:rsidRDefault="003F66D7" w:rsidP="0020706C">
            <w:pPr>
              <w:spacing w:line="360" w:lineRule="auto"/>
              <w:jc w:val="both"/>
              <w:rPr>
                <w:rFonts w:ascii="Arial" w:hAnsi="Arial" w:cs="Arial"/>
                <w:color w:val="000000" w:themeColor="text1"/>
                <w:sz w:val="22"/>
                <w:szCs w:val="22"/>
              </w:rPr>
            </w:pPr>
          </w:p>
        </w:tc>
        <w:tc>
          <w:tcPr>
            <w:tcW w:w="1803" w:type="dxa"/>
          </w:tcPr>
          <w:p w14:paraId="52EEDA6D" w14:textId="593DC0B1" w:rsidR="003F66D7" w:rsidRPr="005B7ABE" w:rsidRDefault="00442172"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Obesity is driven by interacting biological, behavioural, environmental, and socioeconomic factors; behavioural, pharmacological, and surgical interventions all have roles in management, but long-term prevention and sustained support are essential</w:t>
            </w:r>
          </w:p>
        </w:tc>
        <w:tc>
          <w:tcPr>
            <w:tcW w:w="1804" w:type="dxa"/>
          </w:tcPr>
          <w:p w14:paraId="65EBFFF5" w14:textId="77777777" w:rsidR="00016593" w:rsidRPr="005B7ABE" w:rsidRDefault="00016593"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Supports the need for multi-component obesity treatment and highlights broader structural factors shaping obesity management</w:t>
            </w:r>
          </w:p>
          <w:p w14:paraId="303E731F" w14:textId="77777777" w:rsidR="003F66D7" w:rsidRPr="005B7ABE" w:rsidRDefault="003F66D7" w:rsidP="0020706C">
            <w:pPr>
              <w:spacing w:line="360" w:lineRule="auto"/>
              <w:jc w:val="both"/>
              <w:rPr>
                <w:rFonts w:ascii="Arial" w:hAnsi="Arial" w:cs="Arial"/>
                <w:color w:val="000000" w:themeColor="text1"/>
                <w:sz w:val="22"/>
                <w:szCs w:val="22"/>
              </w:rPr>
            </w:pPr>
          </w:p>
        </w:tc>
      </w:tr>
      <w:tr w:rsidR="003F66D7" w:rsidRPr="005B7ABE" w14:paraId="69932572" w14:textId="77777777" w:rsidTr="003F66D7">
        <w:tc>
          <w:tcPr>
            <w:tcW w:w="1803" w:type="dxa"/>
          </w:tcPr>
          <w:p w14:paraId="50385C02" w14:textId="3110FE3B" w:rsidR="003F66D7" w:rsidRPr="005B7ABE" w:rsidRDefault="00DB0BCE"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Sutcliffe et al. (2018)</w:t>
            </w:r>
          </w:p>
        </w:tc>
        <w:tc>
          <w:tcPr>
            <w:tcW w:w="1803" w:type="dxa"/>
          </w:tcPr>
          <w:p w14:paraId="1D2E92A5" w14:textId="0D25987E" w:rsidR="003F66D7" w:rsidRPr="005B7ABE" w:rsidRDefault="002345E3"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To explore service-user perspectives on weight management programmes (WMPs) and identify key features influencing effectiveness</w:t>
            </w:r>
          </w:p>
        </w:tc>
        <w:tc>
          <w:tcPr>
            <w:tcW w:w="1803" w:type="dxa"/>
          </w:tcPr>
          <w:p w14:paraId="1EBC7638" w14:textId="365F2678" w:rsidR="003F66D7" w:rsidRPr="005B7ABE" w:rsidRDefault="00E42A57"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Systematic review of qualitative UK studies with thematic analysis</w:t>
            </w:r>
          </w:p>
        </w:tc>
        <w:tc>
          <w:tcPr>
            <w:tcW w:w="1803" w:type="dxa"/>
          </w:tcPr>
          <w:p w14:paraId="3F10179D" w14:textId="2226A853" w:rsidR="003F66D7" w:rsidRPr="005B7ABE" w:rsidRDefault="00C60C9C"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 xml:space="preserve">Supportive relationships with providers and peers were the most critical factor for engagement and success; educational components (diet/exercise advice) were less influential </w:t>
            </w:r>
            <w:r w:rsidRPr="005B7ABE">
              <w:rPr>
                <w:rStyle w:val="s1"/>
                <w:rFonts w:ascii="Arial" w:hAnsi="Arial" w:cs="Arial"/>
                <w:color w:val="000000" w:themeColor="text1"/>
                <w:sz w:val="22"/>
                <w:szCs w:val="22"/>
              </w:rPr>
              <w:lastRenderedPageBreak/>
              <w:t>than motivation and social support</w:t>
            </w:r>
          </w:p>
        </w:tc>
        <w:tc>
          <w:tcPr>
            <w:tcW w:w="1804" w:type="dxa"/>
          </w:tcPr>
          <w:p w14:paraId="6766B0A2" w14:textId="0ED1BD15" w:rsidR="003F66D7" w:rsidRPr="005B7ABE" w:rsidRDefault="000F1F89"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lastRenderedPageBreak/>
              <w:t>Highlights service-level barriers and facilitators to engagement, showing that psychosocial factors strongly influence treatment effectiveness</w:t>
            </w:r>
          </w:p>
        </w:tc>
      </w:tr>
      <w:tr w:rsidR="003F66D7" w:rsidRPr="005B7ABE" w14:paraId="5E286450" w14:textId="77777777" w:rsidTr="003F66D7">
        <w:tc>
          <w:tcPr>
            <w:tcW w:w="1803" w:type="dxa"/>
          </w:tcPr>
          <w:p w14:paraId="4D106426" w14:textId="10965EC3" w:rsidR="003F66D7" w:rsidRPr="005B7ABE" w:rsidRDefault="00DB3FD9"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Ghosh, Khan and Vohra (2023)</w:t>
            </w:r>
          </w:p>
        </w:tc>
        <w:tc>
          <w:tcPr>
            <w:tcW w:w="1803" w:type="dxa"/>
          </w:tcPr>
          <w:p w14:paraId="08DEE890" w14:textId="17638B91" w:rsidR="003F66D7" w:rsidRPr="005B7ABE" w:rsidRDefault="00DB34D8"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To explore the relationship between obesity, health status, and wellbeing in older adults in England</w:t>
            </w:r>
          </w:p>
        </w:tc>
        <w:tc>
          <w:tcPr>
            <w:tcW w:w="1803" w:type="dxa"/>
          </w:tcPr>
          <w:p w14:paraId="6A8C9F39" w14:textId="3923C2F1" w:rsidR="003F66D7" w:rsidRPr="005B7ABE" w:rsidRDefault="00005204"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Cross-sectional analysis using Wave 8 of the English Longitudinal Study of Ageing (n = 5,640)</w:t>
            </w:r>
          </w:p>
        </w:tc>
        <w:tc>
          <w:tcPr>
            <w:tcW w:w="1803" w:type="dxa"/>
          </w:tcPr>
          <w:p w14:paraId="2FC52F6A" w14:textId="4FBC3E61" w:rsidR="003F66D7" w:rsidRPr="005B7ABE" w:rsidRDefault="00907CBF"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 xml:space="preserve">Obesity was associated with poorer subjective health, increased comorbidity and </w:t>
            </w:r>
            <w:proofErr w:type="spellStart"/>
            <w:r w:rsidRPr="005B7ABE">
              <w:rPr>
                <w:rStyle w:val="s1"/>
                <w:rFonts w:ascii="Arial" w:hAnsi="Arial" w:cs="Arial"/>
                <w:color w:val="000000" w:themeColor="text1"/>
                <w:sz w:val="22"/>
                <w:szCs w:val="22"/>
              </w:rPr>
              <w:t>multimorbidity</w:t>
            </w:r>
            <w:proofErr w:type="spellEnd"/>
            <w:r w:rsidRPr="005B7ABE">
              <w:rPr>
                <w:rStyle w:val="s1"/>
                <w:rFonts w:ascii="Arial" w:hAnsi="Arial" w:cs="Arial"/>
                <w:color w:val="000000" w:themeColor="text1"/>
                <w:sz w:val="22"/>
                <w:szCs w:val="22"/>
              </w:rPr>
              <w:t>, and lower wellbeing, showing that obesity has significant health consequences beyond weight alone</w:t>
            </w:r>
          </w:p>
        </w:tc>
        <w:tc>
          <w:tcPr>
            <w:tcW w:w="1804" w:type="dxa"/>
          </w:tcPr>
          <w:p w14:paraId="3AB8C9F4" w14:textId="34BDE1C1" w:rsidR="003F66D7" w:rsidRPr="005B7ABE" w:rsidRDefault="008A58A2"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Supports the argument that obesity outcomes differ across demographic groups and reinforces the need for effective and accessible interventions</w:t>
            </w:r>
          </w:p>
        </w:tc>
      </w:tr>
      <w:tr w:rsidR="003F66D7" w:rsidRPr="005B7ABE" w14:paraId="079C9CAC" w14:textId="77777777" w:rsidTr="003F66D7">
        <w:tc>
          <w:tcPr>
            <w:tcW w:w="1803" w:type="dxa"/>
          </w:tcPr>
          <w:p w14:paraId="4E9D46A0" w14:textId="31682EA7" w:rsidR="003F66D7" w:rsidRPr="005B7ABE" w:rsidRDefault="00AE0731" w:rsidP="0020706C">
            <w:pPr>
              <w:pStyle w:val="p1"/>
              <w:spacing w:line="360" w:lineRule="auto"/>
              <w:jc w:val="both"/>
              <w:rPr>
                <w:rFonts w:ascii="Arial" w:hAnsi="Arial" w:cs="Arial"/>
                <w:color w:val="000000" w:themeColor="text1"/>
                <w:sz w:val="22"/>
                <w:szCs w:val="22"/>
              </w:rPr>
            </w:pPr>
            <w:proofErr w:type="spellStart"/>
            <w:r w:rsidRPr="005B7ABE">
              <w:rPr>
                <w:rStyle w:val="s1"/>
                <w:rFonts w:ascii="Arial" w:hAnsi="Arial" w:cs="Arial"/>
                <w:color w:val="000000" w:themeColor="text1"/>
                <w:sz w:val="22"/>
                <w:szCs w:val="22"/>
              </w:rPr>
              <w:t>Heald</w:t>
            </w:r>
            <w:proofErr w:type="spellEnd"/>
            <w:r w:rsidRPr="005B7ABE">
              <w:rPr>
                <w:rStyle w:val="s1"/>
                <w:rFonts w:ascii="Arial" w:hAnsi="Arial" w:cs="Arial"/>
                <w:color w:val="000000" w:themeColor="text1"/>
                <w:sz w:val="22"/>
                <w:szCs w:val="22"/>
              </w:rPr>
              <w:t xml:space="preserve"> et al. (2024)</w:t>
            </w:r>
          </w:p>
        </w:tc>
        <w:tc>
          <w:tcPr>
            <w:tcW w:w="1803" w:type="dxa"/>
          </w:tcPr>
          <w:p w14:paraId="02AB41BE" w14:textId="1FE7BEBD" w:rsidR="003F66D7" w:rsidRPr="005B7ABE" w:rsidRDefault="00E61133"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To estimate the lifetime economic cost of obesity in England by age, sex, deprivation, and region</w:t>
            </w:r>
          </w:p>
        </w:tc>
        <w:tc>
          <w:tcPr>
            <w:tcW w:w="1803" w:type="dxa"/>
          </w:tcPr>
          <w:p w14:paraId="7F05D2C9" w14:textId="45A5F0D7" w:rsidR="003F66D7" w:rsidRPr="005B7ABE" w:rsidRDefault="00377D95"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Quantitative modelling study using national England data for 45.5 million adults aged over 16</w:t>
            </w:r>
          </w:p>
        </w:tc>
        <w:tc>
          <w:tcPr>
            <w:tcW w:w="1803" w:type="dxa"/>
          </w:tcPr>
          <w:p w14:paraId="1D747524" w14:textId="49ACFA88" w:rsidR="003F66D7" w:rsidRPr="005B7ABE" w:rsidRDefault="00A10F8B"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Obesity was associated with substantial excess mortality, reduced life expectancy, higher healthcare resource use, and major economic costs, with the greatest burden seen in more deprived areas and some regions of northern England and the Midlands</w:t>
            </w:r>
          </w:p>
        </w:tc>
        <w:tc>
          <w:tcPr>
            <w:tcW w:w="1804" w:type="dxa"/>
          </w:tcPr>
          <w:p w14:paraId="17BEA3BF" w14:textId="2FC79DC5" w:rsidR="003F66D7" w:rsidRPr="005B7ABE" w:rsidRDefault="00A42D17"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Demonstrates the wider health and economic impact of obesity and highlights regional and socioeconomic inequalities relevant to access and service planning</w:t>
            </w:r>
          </w:p>
        </w:tc>
      </w:tr>
      <w:tr w:rsidR="003F66D7" w:rsidRPr="005B7ABE" w14:paraId="0349811A" w14:textId="77777777" w:rsidTr="003F66D7">
        <w:tc>
          <w:tcPr>
            <w:tcW w:w="1803" w:type="dxa"/>
          </w:tcPr>
          <w:p w14:paraId="1E333480" w14:textId="054D62B8" w:rsidR="003F66D7" w:rsidRPr="005B7ABE" w:rsidRDefault="00810B56" w:rsidP="0020706C">
            <w:pPr>
              <w:pStyle w:val="p1"/>
              <w:spacing w:line="360" w:lineRule="auto"/>
              <w:jc w:val="both"/>
              <w:rPr>
                <w:rFonts w:ascii="Arial" w:hAnsi="Arial" w:cs="Arial"/>
                <w:color w:val="000000" w:themeColor="text1"/>
                <w:sz w:val="22"/>
                <w:szCs w:val="22"/>
              </w:rPr>
            </w:pPr>
            <w:proofErr w:type="spellStart"/>
            <w:r w:rsidRPr="005B7ABE">
              <w:rPr>
                <w:rStyle w:val="s1"/>
                <w:rFonts w:ascii="Arial" w:hAnsi="Arial" w:cs="Arial"/>
                <w:color w:val="000000" w:themeColor="text1"/>
                <w:sz w:val="22"/>
                <w:szCs w:val="22"/>
              </w:rPr>
              <w:lastRenderedPageBreak/>
              <w:t>Haase</w:t>
            </w:r>
            <w:proofErr w:type="spellEnd"/>
            <w:r w:rsidRPr="005B7ABE">
              <w:rPr>
                <w:rStyle w:val="s1"/>
                <w:rFonts w:ascii="Arial" w:hAnsi="Arial" w:cs="Arial"/>
                <w:color w:val="000000" w:themeColor="text1"/>
                <w:sz w:val="22"/>
                <w:szCs w:val="22"/>
              </w:rPr>
              <w:t xml:space="preserve"> et al. (2021)</w:t>
            </w:r>
          </w:p>
        </w:tc>
        <w:tc>
          <w:tcPr>
            <w:tcW w:w="1803" w:type="dxa"/>
          </w:tcPr>
          <w:p w14:paraId="2D71C6F4" w14:textId="706FB15D" w:rsidR="003F66D7" w:rsidRPr="005B7ABE" w:rsidRDefault="00DE1DEA"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To examine the association between BMI and a wide range of obesity-related health conditions in a large UK population</w:t>
            </w:r>
          </w:p>
        </w:tc>
        <w:tc>
          <w:tcPr>
            <w:tcW w:w="1803" w:type="dxa"/>
          </w:tcPr>
          <w:p w14:paraId="00EA37D1" w14:textId="6E88927F" w:rsidR="003F66D7" w:rsidRPr="005B7ABE" w:rsidRDefault="001134CB"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Retrospective longitudinal cohort study using UK primary care data (CPRD) including 2.9 million adults followed for a median of 11.4 years</w:t>
            </w:r>
          </w:p>
        </w:tc>
        <w:tc>
          <w:tcPr>
            <w:tcW w:w="1803" w:type="dxa"/>
          </w:tcPr>
          <w:p w14:paraId="346BF0BE" w14:textId="061C134A" w:rsidR="003F66D7" w:rsidRPr="005B7ABE" w:rsidRDefault="00C0569B"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Higher BMI was associated with a stepwise increase in risk of multiple conditions including type 2 diabetes, sleep apnoea, hypertension, heart failure and cardiovascular disease, with particularly high risks at BMI ≥40</w:t>
            </w:r>
          </w:p>
        </w:tc>
        <w:tc>
          <w:tcPr>
            <w:tcW w:w="1804" w:type="dxa"/>
          </w:tcPr>
          <w:p w14:paraId="2BFF7C1F" w14:textId="3B6F0DC4" w:rsidR="003F66D7" w:rsidRPr="005B7ABE" w:rsidRDefault="00E53604"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 xml:space="preserve">Demonstrates the substantial clinical burden of obesity and its link to multiple </w:t>
            </w:r>
            <w:proofErr w:type="spellStart"/>
            <w:r w:rsidRPr="005B7ABE">
              <w:rPr>
                <w:rStyle w:val="s1"/>
                <w:rFonts w:ascii="Arial" w:hAnsi="Arial" w:cs="Arial"/>
                <w:color w:val="000000" w:themeColor="text1"/>
                <w:sz w:val="22"/>
                <w:szCs w:val="22"/>
              </w:rPr>
              <w:t>comorbidities</w:t>
            </w:r>
            <w:proofErr w:type="spellEnd"/>
            <w:r w:rsidRPr="005B7ABE">
              <w:rPr>
                <w:rStyle w:val="s1"/>
                <w:rFonts w:ascii="Arial" w:hAnsi="Arial" w:cs="Arial"/>
                <w:color w:val="000000" w:themeColor="text1"/>
                <w:sz w:val="22"/>
                <w:szCs w:val="22"/>
              </w:rPr>
              <w:t>, highlighting the importance of effective weight management interventions</w:t>
            </w:r>
          </w:p>
        </w:tc>
      </w:tr>
      <w:tr w:rsidR="003F66D7" w:rsidRPr="005B7ABE" w14:paraId="2D5AF934" w14:textId="77777777" w:rsidTr="003F66D7">
        <w:tc>
          <w:tcPr>
            <w:tcW w:w="1803" w:type="dxa"/>
          </w:tcPr>
          <w:p w14:paraId="35EA7762" w14:textId="3ED5BFE7" w:rsidR="003F66D7" w:rsidRPr="005B7ABE" w:rsidRDefault="000D1D53"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Higgins (2022)</w:t>
            </w:r>
          </w:p>
        </w:tc>
        <w:tc>
          <w:tcPr>
            <w:tcW w:w="1803" w:type="dxa"/>
          </w:tcPr>
          <w:p w14:paraId="7EF2BDE2" w14:textId="1971F192" w:rsidR="003F66D7" w:rsidRPr="005B7ABE" w:rsidRDefault="002D5EC4"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To examine whether co-ethnic density and area deprivation are associated with central obesity across ethnic groups in England</w:t>
            </w:r>
          </w:p>
        </w:tc>
        <w:tc>
          <w:tcPr>
            <w:tcW w:w="1803" w:type="dxa"/>
          </w:tcPr>
          <w:p w14:paraId="416B8701" w14:textId="70FF3BA3" w:rsidR="003F66D7" w:rsidRPr="005B7ABE" w:rsidRDefault="00517B08"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Cross-sectional multi-level analysis using Health Survey for England and 2001 Census data; 27,892 adults aged 16–74</w:t>
            </w:r>
          </w:p>
        </w:tc>
        <w:tc>
          <w:tcPr>
            <w:tcW w:w="1803" w:type="dxa"/>
          </w:tcPr>
          <w:p w14:paraId="55270D99" w14:textId="4C32BB82" w:rsidR="003F66D7" w:rsidRPr="005B7ABE" w:rsidRDefault="00BD1960"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Central obesity varied by ethnicity, deprivation, and area context. Bangladeshi and Pakistani groups were more likely to live in the most deprived areas, and some ethnic groups showed different waist circumference patterns depending on co-ethnic density and deprivation</w:t>
            </w:r>
          </w:p>
        </w:tc>
        <w:tc>
          <w:tcPr>
            <w:tcW w:w="1804" w:type="dxa"/>
          </w:tcPr>
          <w:p w14:paraId="5641976C" w14:textId="6167401A" w:rsidR="003F66D7" w:rsidRPr="005B7ABE" w:rsidRDefault="007C5996"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Highlights how ethnicity and socioeconomic environment shape obesity risk, supporting the inequalities and structural barriers themes</w:t>
            </w:r>
          </w:p>
        </w:tc>
      </w:tr>
      <w:tr w:rsidR="003F66D7" w:rsidRPr="005B7ABE" w14:paraId="29BD69A9" w14:textId="77777777" w:rsidTr="003F66D7">
        <w:tc>
          <w:tcPr>
            <w:tcW w:w="1803" w:type="dxa"/>
          </w:tcPr>
          <w:p w14:paraId="16171A1B" w14:textId="3530E359" w:rsidR="003F66D7" w:rsidRPr="005B7ABE" w:rsidRDefault="007C1D2F" w:rsidP="0020706C">
            <w:pPr>
              <w:spacing w:line="360" w:lineRule="auto"/>
              <w:jc w:val="both"/>
              <w:rPr>
                <w:rFonts w:ascii="Arial" w:hAnsi="Arial" w:cs="Arial"/>
                <w:color w:val="000000" w:themeColor="text1"/>
                <w:sz w:val="22"/>
                <w:szCs w:val="22"/>
              </w:rPr>
            </w:pPr>
            <w:proofErr w:type="spellStart"/>
            <w:r w:rsidRPr="005B7ABE">
              <w:rPr>
                <w:rFonts w:ascii="Arial" w:hAnsi="Arial" w:cs="Arial"/>
                <w:color w:val="000000" w:themeColor="text1"/>
                <w:sz w:val="22"/>
                <w:szCs w:val="22"/>
              </w:rPr>
              <w:t>Coulman</w:t>
            </w:r>
            <w:proofErr w:type="spellEnd"/>
            <w:r w:rsidRPr="005B7ABE">
              <w:rPr>
                <w:rFonts w:ascii="Arial" w:hAnsi="Arial" w:cs="Arial"/>
                <w:color w:val="000000" w:themeColor="text1"/>
                <w:sz w:val="22"/>
                <w:szCs w:val="22"/>
              </w:rPr>
              <w:t xml:space="preserve"> et al. (2023)</w:t>
            </w:r>
          </w:p>
        </w:tc>
        <w:tc>
          <w:tcPr>
            <w:tcW w:w="1803" w:type="dxa"/>
          </w:tcPr>
          <w:p w14:paraId="0F514BF6" w14:textId="1A7F6051" w:rsidR="00C110D8" w:rsidRPr="005B7ABE" w:rsidRDefault="00C110D8"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 xml:space="preserve">To examine access to publicly funded </w:t>
            </w:r>
            <w:r w:rsidRPr="005B7ABE">
              <w:rPr>
                <w:rStyle w:val="s1"/>
                <w:rFonts w:ascii="Arial" w:hAnsi="Arial" w:cs="Arial"/>
                <w:color w:val="000000" w:themeColor="text1"/>
                <w:sz w:val="22"/>
                <w:szCs w:val="22"/>
              </w:rPr>
              <w:lastRenderedPageBreak/>
              <w:t>weight management (WM) services and bariatric surgery in England and identify factors associated with access</w:t>
            </w:r>
          </w:p>
        </w:tc>
        <w:tc>
          <w:tcPr>
            <w:tcW w:w="1803" w:type="dxa"/>
          </w:tcPr>
          <w:p w14:paraId="3CDBE127" w14:textId="0D83F655" w:rsidR="003F66D7" w:rsidRPr="005B7ABE" w:rsidRDefault="00EF069F"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lastRenderedPageBreak/>
              <w:t xml:space="preserve">Observational cohort study using CPRD primary </w:t>
            </w:r>
            <w:r w:rsidRPr="005B7ABE">
              <w:rPr>
                <w:rStyle w:val="s1"/>
                <w:rFonts w:ascii="Arial" w:hAnsi="Arial" w:cs="Arial"/>
                <w:color w:val="000000" w:themeColor="text1"/>
                <w:sz w:val="22"/>
                <w:szCs w:val="22"/>
              </w:rPr>
              <w:lastRenderedPageBreak/>
              <w:t>care data linked with Hospital Episode Statistics (2007–2020); n = 1,811,587 adults with overweight/obesity</w:t>
            </w:r>
          </w:p>
        </w:tc>
        <w:tc>
          <w:tcPr>
            <w:tcW w:w="1803" w:type="dxa"/>
          </w:tcPr>
          <w:p w14:paraId="5A596544" w14:textId="58BF5FDE" w:rsidR="003F66D7" w:rsidRPr="005B7ABE" w:rsidRDefault="00D6594B"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lastRenderedPageBreak/>
              <w:t xml:space="preserve">Very low access to services: only 3.13% received </w:t>
            </w:r>
            <w:r w:rsidRPr="005B7ABE">
              <w:rPr>
                <w:rStyle w:val="s1"/>
                <w:rFonts w:ascii="Arial" w:hAnsi="Arial" w:cs="Arial"/>
                <w:color w:val="000000" w:themeColor="text1"/>
                <w:sz w:val="22"/>
                <w:szCs w:val="22"/>
              </w:rPr>
              <w:lastRenderedPageBreak/>
              <w:t>WM referrals and ~1% of eligible patients underwent bariatric surgery. Higher BMI and GP practice region were the strongest predictors. Significant regional inequalities existed, with large variation in referral and surgery rates across England</w:t>
            </w:r>
          </w:p>
        </w:tc>
        <w:tc>
          <w:tcPr>
            <w:tcW w:w="1804" w:type="dxa"/>
          </w:tcPr>
          <w:p w14:paraId="328EC236" w14:textId="4E2D5B92" w:rsidR="003F66D7" w:rsidRPr="005B7ABE" w:rsidRDefault="000F7017"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lastRenderedPageBreak/>
              <w:t xml:space="preserve">Demonstrates major gaps in access to </w:t>
            </w:r>
            <w:r w:rsidRPr="005B7ABE">
              <w:rPr>
                <w:rStyle w:val="s1"/>
                <w:rFonts w:ascii="Arial" w:hAnsi="Arial" w:cs="Arial"/>
                <w:color w:val="000000" w:themeColor="text1"/>
                <w:sz w:val="22"/>
                <w:szCs w:val="22"/>
              </w:rPr>
              <w:lastRenderedPageBreak/>
              <w:t>obesity treatment and highlights structural and geographical inequalities in healthcare provision</w:t>
            </w:r>
          </w:p>
        </w:tc>
      </w:tr>
      <w:tr w:rsidR="003F66D7" w:rsidRPr="005B7ABE" w14:paraId="2C7892F7" w14:textId="77777777" w:rsidTr="003F66D7">
        <w:tc>
          <w:tcPr>
            <w:tcW w:w="1803" w:type="dxa"/>
          </w:tcPr>
          <w:p w14:paraId="628B3C47" w14:textId="2A55E588" w:rsidR="003F66D7" w:rsidRPr="005B7ABE" w:rsidRDefault="00B87333" w:rsidP="0020706C">
            <w:pPr>
              <w:pStyle w:val="p1"/>
              <w:spacing w:line="360" w:lineRule="auto"/>
              <w:jc w:val="both"/>
              <w:rPr>
                <w:rFonts w:ascii="Arial" w:hAnsi="Arial" w:cs="Arial"/>
                <w:color w:val="000000" w:themeColor="text1"/>
                <w:sz w:val="22"/>
                <w:szCs w:val="22"/>
              </w:rPr>
            </w:pPr>
            <w:proofErr w:type="spellStart"/>
            <w:r w:rsidRPr="005B7ABE">
              <w:rPr>
                <w:rStyle w:val="s1"/>
                <w:rFonts w:ascii="Arial" w:hAnsi="Arial" w:cs="Arial"/>
                <w:color w:val="000000" w:themeColor="text1"/>
                <w:sz w:val="22"/>
                <w:szCs w:val="22"/>
              </w:rPr>
              <w:lastRenderedPageBreak/>
              <w:t>Pearson-Stuttard</w:t>
            </w:r>
            <w:proofErr w:type="spellEnd"/>
            <w:r w:rsidRPr="005B7ABE">
              <w:rPr>
                <w:rStyle w:val="s1"/>
                <w:rFonts w:ascii="Arial" w:hAnsi="Arial" w:cs="Arial"/>
                <w:color w:val="000000" w:themeColor="text1"/>
                <w:sz w:val="22"/>
                <w:szCs w:val="22"/>
              </w:rPr>
              <w:t xml:space="preserve"> et al. (202</w:t>
            </w:r>
            <w:r w:rsidR="00B421B5" w:rsidRPr="005B7ABE">
              <w:rPr>
                <w:rStyle w:val="s1"/>
                <w:rFonts w:ascii="Arial" w:hAnsi="Arial" w:cs="Arial"/>
                <w:color w:val="000000" w:themeColor="text1"/>
                <w:sz w:val="22"/>
                <w:szCs w:val="22"/>
              </w:rPr>
              <w:t>4</w:t>
            </w:r>
            <w:r w:rsidRPr="005B7ABE">
              <w:rPr>
                <w:rStyle w:val="s1"/>
                <w:rFonts w:ascii="Arial" w:hAnsi="Arial" w:cs="Arial"/>
                <w:color w:val="000000" w:themeColor="text1"/>
                <w:sz w:val="22"/>
                <w:szCs w:val="22"/>
              </w:rPr>
              <w:t>)</w:t>
            </w:r>
          </w:p>
        </w:tc>
        <w:tc>
          <w:tcPr>
            <w:tcW w:w="1803" w:type="dxa"/>
          </w:tcPr>
          <w:p w14:paraId="12945F5D" w14:textId="45CDD730" w:rsidR="003F66D7" w:rsidRPr="005B7ABE" w:rsidRDefault="00881AA1"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To examine progression of obesity-related complications over 10 years</w:t>
            </w:r>
          </w:p>
        </w:tc>
        <w:tc>
          <w:tcPr>
            <w:tcW w:w="1803" w:type="dxa"/>
          </w:tcPr>
          <w:p w14:paraId="611B3804" w14:textId="5C8B3AFC" w:rsidR="003F66D7" w:rsidRPr="005B7ABE" w:rsidRDefault="00BC6EF8"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Retrospective cohort study using UK linked health records (n = 1,410,146)</w:t>
            </w:r>
          </w:p>
        </w:tc>
        <w:tc>
          <w:tcPr>
            <w:tcW w:w="1803" w:type="dxa"/>
          </w:tcPr>
          <w:p w14:paraId="6C40EB5C" w14:textId="04AAC68E" w:rsidR="003F66D7" w:rsidRPr="005B7ABE" w:rsidRDefault="00F33BBC"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 xml:space="preserve">Higher BMI was linked to more complications, greater </w:t>
            </w:r>
            <w:proofErr w:type="spellStart"/>
            <w:r w:rsidRPr="005B7ABE">
              <w:rPr>
                <w:rStyle w:val="s1"/>
                <w:rFonts w:ascii="Arial" w:hAnsi="Arial" w:cs="Arial"/>
                <w:color w:val="000000" w:themeColor="text1"/>
                <w:sz w:val="22"/>
                <w:szCs w:val="22"/>
              </w:rPr>
              <w:t>multimorbidity</w:t>
            </w:r>
            <w:proofErr w:type="spellEnd"/>
            <w:r w:rsidRPr="005B7ABE">
              <w:rPr>
                <w:rStyle w:val="s1"/>
                <w:rFonts w:ascii="Arial" w:hAnsi="Arial" w:cs="Arial"/>
                <w:color w:val="000000" w:themeColor="text1"/>
                <w:sz w:val="22"/>
                <w:szCs w:val="22"/>
              </w:rPr>
              <w:t>, and higher healthcare costs over time</w:t>
            </w:r>
          </w:p>
        </w:tc>
        <w:tc>
          <w:tcPr>
            <w:tcW w:w="1804" w:type="dxa"/>
          </w:tcPr>
          <w:p w14:paraId="11921692" w14:textId="47AEBEF7" w:rsidR="003F66D7" w:rsidRPr="005B7ABE" w:rsidRDefault="004825B9"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Supports the importance of early and effective obesity management</w:t>
            </w:r>
          </w:p>
        </w:tc>
      </w:tr>
    </w:tbl>
    <w:p w14:paraId="2F7728F1" w14:textId="77777777" w:rsidR="00E957AB" w:rsidRPr="005B7ABE" w:rsidRDefault="00E957AB" w:rsidP="0020706C">
      <w:pPr>
        <w:spacing w:line="360" w:lineRule="auto"/>
        <w:jc w:val="both"/>
        <w:rPr>
          <w:rFonts w:ascii="Arial" w:hAnsi="Arial" w:cs="Arial"/>
          <w:color w:val="000000" w:themeColor="text1"/>
          <w:sz w:val="22"/>
          <w:szCs w:val="22"/>
        </w:rPr>
      </w:pPr>
    </w:p>
    <w:p w14:paraId="38A7F0E5" w14:textId="4E8F76D0" w:rsidR="00D74419" w:rsidRPr="00862343" w:rsidRDefault="00BA5361" w:rsidP="0020706C">
      <w:pPr>
        <w:spacing w:line="360" w:lineRule="auto"/>
        <w:jc w:val="both"/>
        <w:rPr>
          <w:rFonts w:ascii="Arial" w:hAnsi="Arial" w:cs="Arial"/>
          <w:b/>
          <w:bCs/>
          <w:color w:val="000000" w:themeColor="text1"/>
          <w:sz w:val="22"/>
          <w:szCs w:val="22"/>
        </w:rPr>
      </w:pPr>
      <w:r w:rsidRPr="00862343">
        <w:rPr>
          <w:rFonts w:ascii="Arial" w:hAnsi="Arial" w:cs="Arial"/>
          <w:b/>
          <w:bCs/>
          <w:color w:val="000000" w:themeColor="text1"/>
          <w:sz w:val="22"/>
          <w:szCs w:val="22"/>
        </w:rPr>
        <w:t xml:space="preserve">Thematic Analysis </w:t>
      </w:r>
    </w:p>
    <w:p w14:paraId="34DF49AA" w14:textId="77777777" w:rsidR="00A76886" w:rsidRPr="00862343" w:rsidRDefault="00A76886" w:rsidP="0020706C">
      <w:pPr>
        <w:spacing w:before="100" w:beforeAutospacing="1" w:after="100" w:afterAutospacing="1" w:line="360" w:lineRule="auto"/>
        <w:jc w:val="both"/>
        <w:outlineLvl w:val="1"/>
        <w:rPr>
          <w:rFonts w:ascii="Arial" w:eastAsia="Times New Roman" w:hAnsi="Arial" w:cs="Arial"/>
          <w:b/>
          <w:bCs/>
          <w:color w:val="000000" w:themeColor="text1"/>
          <w:kern w:val="0"/>
          <w:sz w:val="22"/>
          <w:szCs w:val="22"/>
          <w14:ligatures w14:val="none"/>
        </w:rPr>
      </w:pPr>
      <w:r w:rsidRPr="00862343">
        <w:rPr>
          <w:rFonts w:ascii="Arial" w:eastAsia="Times New Roman" w:hAnsi="Arial" w:cs="Arial"/>
          <w:b/>
          <w:bCs/>
          <w:color w:val="000000" w:themeColor="text1"/>
          <w:kern w:val="0"/>
          <w:sz w:val="22"/>
          <w:szCs w:val="22"/>
          <w14:ligatures w14:val="none"/>
        </w:rPr>
        <w:t>Theme 1: Effectiveness of Obesity Treatments</w:t>
      </w:r>
    </w:p>
    <w:p w14:paraId="7519D24D" w14:textId="77777777" w:rsidR="00A76886" w:rsidRPr="005B7ABE" w:rsidRDefault="00A76886" w:rsidP="0020706C">
      <w:pPr>
        <w:spacing w:before="100" w:beforeAutospacing="1" w:after="100" w:afterAutospacing="1" w:line="360" w:lineRule="auto"/>
        <w:jc w:val="both"/>
        <w:rPr>
          <w:rFonts w:ascii="Arial" w:hAnsi="Arial" w:cs="Arial"/>
          <w:color w:val="000000" w:themeColor="text1"/>
          <w:kern w:val="0"/>
          <w:sz w:val="22"/>
          <w:szCs w:val="22"/>
          <w14:ligatures w14:val="none"/>
        </w:rPr>
      </w:pPr>
    </w:p>
    <w:p w14:paraId="45CE0F5F" w14:textId="01E509E1" w:rsidR="00A76886" w:rsidRPr="005B7ABE" w:rsidRDefault="00A7688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 xml:space="preserve">The evidence suggests that obesity treatments can achieve short-term weight loss, but they are not consistently effective in the long term, particularly at a population level (Martins et al., 2020; </w:t>
      </w:r>
      <w:proofErr w:type="spellStart"/>
      <w:r w:rsidRPr="005B7ABE">
        <w:rPr>
          <w:rFonts w:ascii="Arial" w:hAnsi="Arial" w:cs="Arial"/>
          <w:color w:val="000000" w:themeColor="text1"/>
          <w:kern w:val="0"/>
          <w:sz w:val="22"/>
          <w:szCs w:val="22"/>
          <w14:ligatures w14:val="none"/>
        </w:rPr>
        <w:t>Haase</w:t>
      </w:r>
      <w:proofErr w:type="spellEnd"/>
      <w:r w:rsidRPr="005B7ABE">
        <w:rPr>
          <w:rFonts w:ascii="Arial" w:hAnsi="Arial" w:cs="Arial"/>
          <w:color w:val="000000" w:themeColor="text1"/>
          <w:kern w:val="0"/>
          <w:sz w:val="22"/>
          <w:szCs w:val="22"/>
          <w14:ligatures w14:val="none"/>
        </w:rPr>
        <w:t xml:space="preserve"> et al., 2021; </w:t>
      </w:r>
      <w:proofErr w:type="spellStart"/>
      <w:r w:rsidRPr="005B7ABE">
        <w:rPr>
          <w:rFonts w:ascii="Arial" w:hAnsi="Arial" w:cs="Arial"/>
          <w:color w:val="000000" w:themeColor="text1"/>
          <w:kern w:val="0"/>
          <w:sz w:val="22"/>
          <w:szCs w:val="22"/>
          <w14:ligatures w14:val="none"/>
        </w:rPr>
        <w:t>Pearson-Stuttard</w:t>
      </w:r>
      <w:proofErr w:type="spellEnd"/>
      <w:r w:rsidRPr="005B7ABE">
        <w:rPr>
          <w:rFonts w:ascii="Arial" w:hAnsi="Arial" w:cs="Arial"/>
          <w:color w:val="000000" w:themeColor="text1"/>
          <w:kern w:val="0"/>
          <w:sz w:val="22"/>
          <w:szCs w:val="22"/>
          <w14:ligatures w14:val="none"/>
        </w:rPr>
        <w:t xml:space="preserve"> et al., 2024). Although interventions show clinical </w:t>
      </w:r>
      <w:r w:rsidRPr="005B7ABE">
        <w:rPr>
          <w:rFonts w:ascii="Arial" w:hAnsi="Arial" w:cs="Arial"/>
          <w:color w:val="000000" w:themeColor="text1"/>
          <w:kern w:val="0"/>
          <w:sz w:val="22"/>
          <w:szCs w:val="22"/>
          <w14:ligatures w14:val="none"/>
        </w:rPr>
        <w:lastRenderedPageBreak/>
        <w:t>potential, their impact is often weakened by poor sustainability, limited engagement, and structural constraints (Ahmed and Mohammed, 2025).</w:t>
      </w:r>
    </w:p>
    <w:p w14:paraId="1CD5338E" w14:textId="4AB8A3ED" w:rsidR="00A76886" w:rsidRPr="005B7ABE" w:rsidRDefault="00A7688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Martins et al. (2020) found that behavioural interventions, especially low-energy diet programmes, can produce significant weight loss at 12 months. However, high dropout rates and inconsistent service delivery reduced the reliability of these outcomes, suggesting that effectiveness depends heavily on retention rather than intervention design alone. This implies that apparent success may be difficult to sustain in routine practice. This is consistent with broader evidence that long-term weight management remains difficult to maintain (</w:t>
      </w:r>
      <w:proofErr w:type="spellStart"/>
      <w:r w:rsidRPr="005B7ABE">
        <w:rPr>
          <w:rFonts w:ascii="Arial" w:hAnsi="Arial" w:cs="Arial"/>
          <w:color w:val="000000" w:themeColor="text1"/>
          <w:kern w:val="0"/>
          <w:sz w:val="22"/>
          <w:szCs w:val="22"/>
          <w14:ligatures w14:val="none"/>
        </w:rPr>
        <w:t>Fruh</w:t>
      </w:r>
      <w:proofErr w:type="spellEnd"/>
      <w:r w:rsidRPr="005B7ABE">
        <w:rPr>
          <w:rFonts w:ascii="Arial" w:hAnsi="Arial" w:cs="Arial"/>
          <w:color w:val="000000" w:themeColor="text1"/>
          <w:kern w:val="0"/>
          <w:sz w:val="22"/>
          <w:szCs w:val="22"/>
          <w14:ligatures w14:val="none"/>
        </w:rPr>
        <w:t>, 2017).</w:t>
      </w:r>
    </w:p>
    <w:p w14:paraId="1BF14C3E" w14:textId="287594DE" w:rsidR="00A76886" w:rsidRPr="005B7ABE" w:rsidRDefault="00A7688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 xml:space="preserve">Longitudinal evidence further challenges sustained effectiveness. </w:t>
      </w:r>
      <w:proofErr w:type="spellStart"/>
      <w:r w:rsidRPr="005B7ABE">
        <w:rPr>
          <w:rFonts w:ascii="Arial" w:hAnsi="Arial" w:cs="Arial"/>
          <w:color w:val="000000" w:themeColor="text1"/>
          <w:kern w:val="0"/>
          <w:sz w:val="22"/>
          <w:szCs w:val="22"/>
          <w14:ligatures w14:val="none"/>
        </w:rPr>
        <w:t>Haase</w:t>
      </w:r>
      <w:proofErr w:type="spellEnd"/>
      <w:r w:rsidRPr="005B7ABE">
        <w:rPr>
          <w:rFonts w:ascii="Arial" w:hAnsi="Arial" w:cs="Arial"/>
          <w:color w:val="000000" w:themeColor="text1"/>
          <w:kern w:val="0"/>
          <w:sz w:val="22"/>
          <w:szCs w:val="22"/>
          <w14:ligatures w14:val="none"/>
        </w:rPr>
        <w:t xml:space="preserve"> et al. (2021) demonstrated that higher BMI is associated with rising risk of multiple chronic conditions, while </w:t>
      </w:r>
      <w:proofErr w:type="spellStart"/>
      <w:r w:rsidRPr="005B7ABE">
        <w:rPr>
          <w:rFonts w:ascii="Arial" w:hAnsi="Arial" w:cs="Arial"/>
          <w:color w:val="000000" w:themeColor="text1"/>
          <w:kern w:val="0"/>
          <w:sz w:val="22"/>
          <w:szCs w:val="22"/>
          <w14:ligatures w14:val="none"/>
        </w:rPr>
        <w:t>Pearson-Stuttard</w:t>
      </w:r>
      <w:proofErr w:type="spellEnd"/>
      <w:r w:rsidRPr="005B7ABE">
        <w:rPr>
          <w:rFonts w:ascii="Arial" w:hAnsi="Arial" w:cs="Arial"/>
          <w:color w:val="000000" w:themeColor="text1"/>
          <w:kern w:val="0"/>
          <w:sz w:val="22"/>
          <w:szCs w:val="22"/>
          <w14:ligatures w14:val="none"/>
        </w:rPr>
        <w:t xml:space="preserve"> et al. (2024) showed that obesity-related complications and </w:t>
      </w:r>
      <w:proofErr w:type="spellStart"/>
      <w:r w:rsidRPr="005B7ABE">
        <w:rPr>
          <w:rFonts w:ascii="Arial" w:hAnsi="Arial" w:cs="Arial"/>
          <w:color w:val="000000" w:themeColor="text1"/>
          <w:kern w:val="0"/>
          <w:sz w:val="22"/>
          <w:szCs w:val="22"/>
          <w14:ligatures w14:val="none"/>
        </w:rPr>
        <w:t>multimorbidity</w:t>
      </w:r>
      <w:proofErr w:type="spellEnd"/>
      <w:r w:rsidRPr="005B7ABE">
        <w:rPr>
          <w:rFonts w:ascii="Arial" w:hAnsi="Arial" w:cs="Arial"/>
          <w:color w:val="000000" w:themeColor="text1"/>
          <w:kern w:val="0"/>
          <w:sz w:val="22"/>
          <w:szCs w:val="22"/>
          <w14:ligatures w14:val="none"/>
        </w:rPr>
        <w:t xml:space="preserve"> continue to increase over time. Together, these findings indicate that, despite available treatments, obesity often continues to progress, suggesting that current interventions do not substantially alter long-term disease trajectories.</w:t>
      </w:r>
    </w:p>
    <w:p w14:paraId="7F99804E" w14:textId="41DCC3FE" w:rsidR="00A76886" w:rsidRPr="005B7ABE" w:rsidRDefault="00A7688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Ahmed and Mohammed (2025) argue that effective obesity management requires multi-component approaches combining behavioural, pharmacological, and surgical interventions. However, the need for increasingly intensive treatment may itself reflect the limited effectiveness of first-line interventions in achieving sustained outcomes. Qualitative evidence adds further complexity. Sutcliffe et al. (2018) found that engagement depends more on supportive relationships than educational content, while Hughes et al. (2021) showed that stigma and negative healthcare interactions can reduce willingness to engage with services. Thus, effectiveness is not purely clinical, but strongly shaped by how treatment is delivered and experienced.</w:t>
      </w:r>
    </w:p>
    <w:p w14:paraId="3EDC3808" w14:textId="77777777" w:rsidR="00A76886" w:rsidRPr="005B7ABE" w:rsidRDefault="00A7688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 xml:space="preserve">Overall, the literature suggests that obesity treatments are partially effective in the short term but insufficient in the long term. Their impact is constrained by limited sustainability, variable engagement, and failure to address broader structural drivers of obesity (Martins et al., 2020; </w:t>
      </w:r>
      <w:proofErr w:type="spellStart"/>
      <w:r w:rsidRPr="005B7ABE">
        <w:rPr>
          <w:rFonts w:ascii="Arial" w:hAnsi="Arial" w:cs="Arial"/>
          <w:color w:val="000000" w:themeColor="text1"/>
          <w:kern w:val="0"/>
          <w:sz w:val="22"/>
          <w:szCs w:val="22"/>
          <w14:ligatures w14:val="none"/>
        </w:rPr>
        <w:t>Haase</w:t>
      </w:r>
      <w:proofErr w:type="spellEnd"/>
      <w:r w:rsidRPr="005B7ABE">
        <w:rPr>
          <w:rFonts w:ascii="Arial" w:hAnsi="Arial" w:cs="Arial"/>
          <w:color w:val="000000" w:themeColor="text1"/>
          <w:kern w:val="0"/>
          <w:sz w:val="22"/>
          <w:szCs w:val="22"/>
          <w14:ligatures w14:val="none"/>
        </w:rPr>
        <w:t xml:space="preserve"> et al., 2021; </w:t>
      </w:r>
      <w:proofErr w:type="spellStart"/>
      <w:r w:rsidRPr="005B7ABE">
        <w:rPr>
          <w:rFonts w:ascii="Arial" w:hAnsi="Arial" w:cs="Arial"/>
          <w:color w:val="000000" w:themeColor="text1"/>
          <w:kern w:val="0"/>
          <w:sz w:val="22"/>
          <w:szCs w:val="22"/>
          <w14:ligatures w14:val="none"/>
        </w:rPr>
        <w:t>Pearson-Stuttard</w:t>
      </w:r>
      <w:proofErr w:type="spellEnd"/>
      <w:r w:rsidRPr="005B7ABE">
        <w:rPr>
          <w:rFonts w:ascii="Arial" w:hAnsi="Arial" w:cs="Arial"/>
          <w:color w:val="000000" w:themeColor="text1"/>
          <w:kern w:val="0"/>
          <w:sz w:val="22"/>
          <w:szCs w:val="22"/>
          <w14:ligatures w14:val="none"/>
        </w:rPr>
        <w:t xml:space="preserve"> et al., 2024; Ahmed and Mohammed, 2025; Sutcliffe et al., 2018; Hughes et al., 2021).</w:t>
      </w:r>
    </w:p>
    <w:p w14:paraId="215E62F3" w14:textId="4D57BBB8" w:rsidR="00A76886" w:rsidRPr="005B7ABE" w:rsidRDefault="00A76886" w:rsidP="0020706C">
      <w:pPr>
        <w:spacing w:after="0" w:line="360" w:lineRule="auto"/>
        <w:jc w:val="both"/>
        <w:rPr>
          <w:rFonts w:ascii="Arial" w:eastAsia="Times New Roman" w:hAnsi="Arial" w:cs="Arial"/>
          <w:color w:val="000000" w:themeColor="text1"/>
          <w:kern w:val="0"/>
          <w:sz w:val="22"/>
          <w:szCs w:val="22"/>
          <w14:ligatures w14:val="none"/>
        </w:rPr>
      </w:pPr>
    </w:p>
    <w:p w14:paraId="3D06C82A" w14:textId="77777777" w:rsidR="00A76886" w:rsidRPr="00862343" w:rsidRDefault="00A76886" w:rsidP="0020706C">
      <w:pPr>
        <w:spacing w:before="100" w:beforeAutospacing="1" w:after="100" w:afterAutospacing="1" w:line="360" w:lineRule="auto"/>
        <w:jc w:val="both"/>
        <w:outlineLvl w:val="1"/>
        <w:rPr>
          <w:rFonts w:ascii="Arial" w:hAnsi="Arial" w:cs="Arial"/>
          <w:b/>
          <w:bCs/>
          <w:color w:val="000000" w:themeColor="text1"/>
          <w:kern w:val="0"/>
          <w:sz w:val="22"/>
          <w:szCs w:val="22"/>
          <w14:ligatures w14:val="none"/>
        </w:rPr>
      </w:pPr>
      <w:r w:rsidRPr="00862343">
        <w:rPr>
          <w:rFonts w:ascii="Arial" w:eastAsia="Times New Roman" w:hAnsi="Arial" w:cs="Arial"/>
          <w:b/>
          <w:bCs/>
          <w:color w:val="000000" w:themeColor="text1"/>
          <w:kern w:val="0"/>
          <w:sz w:val="22"/>
          <w:szCs w:val="22"/>
          <w14:ligatures w14:val="none"/>
        </w:rPr>
        <w:t>Theme 2: Access to Weight Management Services</w:t>
      </w:r>
    </w:p>
    <w:p w14:paraId="4839BC76" w14:textId="77777777" w:rsidR="00A76886" w:rsidRPr="00862343" w:rsidRDefault="00A76886" w:rsidP="0020706C">
      <w:pPr>
        <w:spacing w:before="100" w:beforeAutospacing="1" w:after="100" w:afterAutospacing="1" w:line="360" w:lineRule="auto"/>
        <w:jc w:val="both"/>
        <w:rPr>
          <w:rFonts w:ascii="Arial" w:hAnsi="Arial" w:cs="Arial"/>
          <w:b/>
          <w:bCs/>
          <w:color w:val="000000" w:themeColor="text1"/>
          <w:kern w:val="0"/>
          <w:sz w:val="22"/>
          <w:szCs w:val="22"/>
          <w14:ligatures w14:val="none"/>
        </w:rPr>
      </w:pPr>
    </w:p>
    <w:p w14:paraId="193936C7" w14:textId="39C95085" w:rsidR="00A76886" w:rsidRPr="005B7ABE" w:rsidRDefault="00A7688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The evidence consistently indicates that access to weight management services in the UK is limited, inconsistent, and structurally constrained, with a clear gap between policy provision and real-world utilisation (</w:t>
      </w:r>
      <w:proofErr w:type="spellStart"/>
      <w:r w:rsidRPr="005B7ABE">
        <w:rPr>
          <w:rFonts w:ascii="Arial" w:hAnsi="Arial" w:cs="Arial"/>
          <w:color w:val="000000" w:themeColor="text1"/>
          <w:kern w:val="0"/>
          <w:sz w:val="22"/>
          <w:szCs w:val="22"/>
          <w14:ligatures w14:val="none"/>
        </w:rPr>
        <w:t>Coulman</w:t>
      </w:r>
      <w:proofErr w:type="spellEnd"/>
      <w:r w:rsidRPr="005B7ABE">
        <w:rPr>
          <w:rFonts w:ascii="Arial" w:hAnsi="Arial" w:cs="Arial"/>
          <w:color w:val="000000" w:themeColor="text1"/>
          <w:kern w:val="0"/>
          <w:sz w:val="22"/>
          <w:szCs w:val="22"/>
          <w14:ligatures w14:val="none"/>
        </w:rPr>
        <w:t xml:space="preserve"> et al., 2023; McLaughlin et al., 2017; </w:t>
      </w:r>
      <w:proofErr w:type="spellStart"/>
      <w:r w:rsidRPr="005B7ABE">
        <w:rPr>
          <w:rFonts w:ascii="Arial" w:hAnsi="Arial" w:cs="Arial"/>
          <w:color w:val="000000" w:themeColor="text1"/>
          <w:kern w:val="0"/>
          <w:sz w:val="22"/>
          <w:szCs w:val="22"/>
          <w14:ligatures w14:val="none"/>
        </w:rPr>
        <w:t>Parretti</w:t>
      </w:r>
      <w:proofErr w:type="spellEnd"/>
      <w:r w:rsidRPr="005B7ABE">
        <w:rPr>
          <w:rFonts w:ascii="Arial" w:hAnsi="Arial" w:cs="Arial"/>
          <w:color w:val="000000" w:themeColor="text1"/>
          <w:kern w:val="0"/>
          <w:sz w:val="22"/>
          <w:szCs w:val="22"/>
          <w14:ligatures w14:val="none"/>
        </w:rPr>
        <w:t xml:space="preserve"> et al., 2026; Kelly et al., 2026). Despite national guidance recommending routine identification and referral, access remains neither systematic nor equitable (McLaughlin et al., 2017; </w:t>
      </w:r>
      <w:proofErr w:type="spellStart"/>
      <w:r w:rsidRPr="005B7ABE">
        <w:rPr>
          <w:rFonts w:ascii="Arial" w:hAnsi="Arial" w:cs="Arial"/>
          <w:color w:val="000000" w:themeColor="text1"/>
          <w:kern w:val="0"/>
          <w:sz w:val="22"/>
          <w:szCs w:val="22"/>
          <w14:ligatures w14:val="none"/>
        </w:rPr>
        <w:t>Parretti</w:t>
      </w:r>
      <w:proofErr w:type="spellEnd"/>
      <w:r w:rsidRPr="005B7ABE">
        <w:rPr>
          <w:rFonts w:ascii="Arial" w:hAnsi="Arial" w:cs="Arial"/>
          <w:color w:val="000000" w:themeColor="text1"/>
          <w:kern w:val="0"/>
          <w:sz w:val="22"/>
          <w:szCs w:val="22"/>
          <w14:ligatures w14:val="none"/>
        </w:rPr>
        <w:t xml:space="preserve"> et al., 2026).</w:t>
      </w:r>
    </w:p>
    <w:p w14:paraId="212F0B31" w14:textId="7B22CD83" w:rsidR="00A76886" w:rsidRPr="005B7ABE" w:rsidRDefault="00A76886" w:rsidP="0020706C">
      <w:pPr>
        <w:spacing w:before="100" w:beforeAutospacing="1" w:after="100" w:afterAutospacing="1" w:line="360" w:lineRule="auto"/>
        <w:jc w:val="both"/>
        <w:rPr>
          <w:rFonts w:ascii="Arial" w:hAnsi="Arial" w:cs="Arial"/>
          <w:color w:val="000000" w:themeColor="text1"/>
          <w:kern w:val="0"/>
          <w:sz w:val="22"/>
          <w:szCs w:val="22"/>
          <w14:ligatures w14:val="none"/>
        </w:rPr>
      </w:pPr>
      <w:proofErr w:type="spellStart"/>
      <w:r w:rsidRPr="005B7ABE">
        <w:rPr>
          <w:rFonts w:ascii="Arial" w:hAnsi="Arial" w:cs="Arial"/>
          <w:color w:val="000000" w:themeColor="text1"/>
          <w:kern w:val="0"/>
          <w:sz w:val="22"/>
          <w:szCs w:val="22"/>
          <w14:ligatures w14:val="none"/>
        </w:rPr>
        <w:t>Coulman</w:t>
      </w:r>
      <w:proofErr w:type="spellEnd"/>
      <w:r w:rsidRPr="005B7ABE">
        <w:rPr>
          <w:rFonts w:ascii="Arial" w:hAnsi="Arial" w:cs="Arial"/>
          <w:color w:val="000000" w:themeColor="text1"/>
          <w:kern w:val="0"/>
          <w:sz w:val="22"/>
          <w:szCs w:val="22"/>
          <w14:ligatures w14:val="none"/>
        </w:rPr>
        <w:t xml:space="preserve"> et al. (2023) provide strong quantitative evidence of restricted access, showing that only 3.13% of individuals with overweight or obesity received a recorded referral to weight management services, while only around 1% of eligible patients underwent bariatric surgery. This suggests that most individuals who could benefit from intervention never enter treatment pathways. McLaughlin et al. (2017) similarly found that BMI recording and intervention offers in primary care are inconsistent, meaning access barriers begin before treatment is even considered. </w:t>
      </w:r>
      <w:proofErr w:type="spellStart"/>
      <w:r w:rsidRPr="005B7ABE">
        <w:rPr>
          <w:rFonts w:ascii="Arial" w:hAnsi="Arial" w:cs="Arial"/>
          <w:color w:val="000000" w:themeColor="text1"/>
          <w:kern w:val="0"/>
          <w:sz w:val="22"/>
          <w:szCs w:val="22"/>
          <w14:ligatures w14:val="none"/>
        </w:rPr>
        <w:t>Parretti</w:t>
      </w:r>
      <w:proofErr w:type="spellEnd"/>
      <w:r w:rsidRPr="005B7ABE">
        <w:rPr>
          <w:rFonts w:ascii="Arial" w:hAnsi="Arial" w:cs="Arial"/>
          <w:color w:val="000000" w:themeColor="text1"/>
          <w:kern w:val="0"/>
          <w:sz w:val="22"/>
          <w:szCs w:val="22"/>
          <w14:ligatures w14:val="none"/>
        </w:rPr>
        <w:t xml:space="preserve"> et al. (2026) further argue that general practice, although central to obesity care, is constrained by limited time, competing priorities, and insufficient resources.</w:t>
      </w:r>
    </w:p>
    <w:p w14:paraId="6E1ABD65" w14:textId="01331A92" w:rsidR="00A76886" w:rsidRPr="005B7ABE" w:rsidRDefault="00A7688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 xml:space="preserve">Access is likewise unevenly distributed. </w:t>
      </w:r>
      <w:proofErr w:type="spellStart"/>
      <w:r w:rsidRPr="005B7ABE">
        <w:rPr>
          <w:rFonts w:ascii="Arial" w:hAnsi="Arial" w:cs="Arial"/>
          <w:color w:val="000000" w:themeColor="text1"/>
          <w:kern w:val="0"/>
          <w:sz w:val="22"/>
          <w:szCs w:val="22"/>
          <w14:ligatures w14:val="none"/>
        </w:rPr>
        <w:t>Coulman</w:t>
      </w:r>
      <w:proofErr w:type="spellEnd"/>
      <w:r w:rsidRPr="005B7ABE">
        <w:rPr>
          <w:rFonts w:ascii="Arial" w:hAnsi="Arial" w:cs="Arial"/>
          <w:color w:val="000000" w:themeColor="text1"/>
          <w:kern w:val="0"/>
          <w:sz w:val="22"/>
          <w:szCs w:val="22"/>
          <w14:ligatures w14:val="none"/>
        </w:rPr>
        <w:t xml:space="preserve"> et al. (2023) identified marked regional variation in referral and treatment rates, suggesting that service availability depends on local commissioning and infrastructure rather than uniform national provision. This indicates that access to obesity care is effectively postcode-dependent. This gap between guideline recommendations and practice is particularly significant given national guidance advocating structured obesity pathways (NICE, 2026; NHS Long Term Plan, 2025; BOMSS, 2024).</w:t>
      </w:r>
    </w:p>
    <w:p w14:paraId="53939207" w14:textId="208F0FCF" w:rsidR="00A76886" w:rsidRPr="005B7ABE" w:rsidRDefault="00A7688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Beyond structural barriers, access is shaped by patient experience. Hughes et al. (2021) showed that stigma and negative interactions with healthcare professionals can discourage help-seeking, while Sutcliffe et al. (2018) emphasised the importance of supportive relationships in sustaining engagement. Flint et al. (2021) similarly found that negative healthcare experiences may deter people living with obesity from accessing services.</w:t>
      </w:r>
    </w:p>
    <w:p w14:paraId="0157F5BB" w14:textId="58877475" w:rsidR="00A76886" w:rsidRPr="00862343" w:rsidRDefault="00A76886" w:rsidP="00862343">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Overall, the literature suggests that access to weight management services in the UK is systemically limited rather than universally available. Barriers occur across the whole pathway, including identification, referral, and engagement, leaving a substantial proportion of individuals untreated despite clinical need (</w:t>
      </w:r>
      <w:proofErr w:type="spellStart"/>
      <w:r w:rsidRPr="005B7ABE">
        <w:rPr>
          <w:rFonts w:ascii="Arial" w:hAnsi="Arial" w:cs="Arial"/>
          <w:color w:val="000000" w:themeColor="text1"/>
          <w:kern w:val="0"/>
          <w:sz w:val="22"/>
          <w:szCs w:val="22"/>
          <w14:ligatures w14:val="none"/>
        </w:rPr>
        <w:t>Coulman</w:t>
      </w:r>
      <w:proofErr w:type="spellEnd"/>
      <w:r w:rsidRPr="005B7ABE">
        <w:rPr>
          <w:rFonts w:ascii="Arial" w:hAnsi="Arial" w:cs="Arial"/>
          <w:color w:val="000000" w:themeColor="text1"/>
          <w:kern w:val="0"/>
          <w:sz w:val="22"/>
          <w:szCs w:val="22"/>
          <w14:ligatures w14:val="none"/>
        </w:rPr>
        <w:t xml:space="preserve"> et al., 2023; McLaughlin et al., 2017; </w:t>
      </w:r>
      <w:proofErr w:type="spellStart"/>
      <w:r w:rsidRPr="005B7ABE">
        <w:rPr>
          <w:rFonts w:ascii="Arial" w:hAnsi="Arial" w:cs="Arial"/>
          <w:color w:val="000000" w:themeColor="text1"/>
          <w:kern w:val="0"/>
          <w:sz w:val="22"/>
          <w:szCs w:val="22"/>
          <w14:ligatures w14:val="none"/>
        </w:rPr>
        <w:t>Parretti</w:t>
      </w:r>
      <w:proofErr w:type="spellEnd"/>
      <w:r w:rsidRPr="005B7ABE">
        <w:rPr>
          <w:rFonts w:ascii="Arial" w:hAnsi="Arial" w:cs="Arial"/>
          <w:color w:val="000000" w:themeColor="text1"/>
          <w:kern w:val="0"/>
          <w:sz w:val="22"/>
          <w:szCs w:val="22"/>
          <w14:ligatures w14:val="none"/>
        </w:rPr>
        <w:t xml:space="preserve"> et al., 2026; Hughes et al., 2021; Sutcliffe et al., 2018).</w:t>
      </w:r>
    </w:p>
    <w:p w14:paraId="267ABE88" w14:textId="77777777" w:rsidR="00A76886" w:rsidRPr="00862343" w:rsidRDefault="00A76886" w:rsidP="0020706C">
      <w:pPr>
        <w:spacing w:before="100" w:beforeAutospacing="1" w:after="100" w:afterAutospacing="1" w:line="360" w:lineRule="auto"/>
        <w:jc w:val="both"/>
        <w:outlineLvl w:val="1"/>
        <w:rPr>
          <w:rFonts w:ascii="Arial" w:hAnsi="Arial" w:cs="Arial"/>
          <w:b/>
          <w:bCs/>
          <w:color w:val="000000" w:themeColor="text1"/>
          <w:kern w:val="0"/>
          <w:sz w:val="22"/>
          <w:szCs w:val="22"/>
          <w14:ligatures w14:val="none"/>
        </w:rPr>
      </w:pPr>
      <w:r w:rsidRPr="00862343">
        <w:rPr>
          <w:rFonts w:ascii="Arial" w:eastAsia="Times New Roman" w:hAnsi="Arial" w:cs="Arial"/>
          <w:b/>
          <w:bCs/>
          <w:color w:val="000000" w:themeColor="text1"/>
          <w:kern w:val="0"/>
          <w:sz w:val="22"/>
          <w:szCs w:val="22"/>
          <w14:ligatures w14:val="none"/>
        </w:rPr>
        <w:t>Theme 3: Socioeconomic and Structural Barriers</w:t>
      </w:r>
    </w:p>
    <w:p w14:paraId="4DEC38B4" w14:textId="77777777" w:rsidR="00A76886" w:rsidRPr="00862343" w:rsidRDefault="00A76886" w:rsidP="0020706C">
      <w:pPr>
        <w:spacing w:before="100" w:beforeAutospacing="1" w:after="100" w:afterAutospacing="1" w:line="360" w:lineRule="auto"/>
        <w:jc w:val="both"/>
        <w:rPr>
          <w:rFonts w:ascii="Arial" w:hAnsi="Arial" w:cs="Arial"/>
          <w:b/>
          <w:bCs/>
          <w:color w:val="000000" w:themeColor="text1"/>
          <w:kern w:val="0"/>
          <w:sz w:val="22"/>
          <w:szCs w:val="22"/>
          <w14:ligatures w14:val="none"/>
        </w:rPr>
      </w:pPr>
    </w:p>
    <w:p w14:paraId="3FDE5EFD" w14:textId="5F8B9178" w:rsidR="00A76886" w:rsidRPr="005B7ABE" w:rsidRDefault="00A7688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The evidence demonstrates that obesity and access to its treatment are shaped by wider socioeconomic and structural inequalities rather than individual behaviour alone (</w:t>
      </w:r>
      <w:proofErr w:type="spellStart"/>
      <w:r w:rsidRPr="005B7ABE">
        <w:rPr>
          <w:rFonts w:ascii="Arial" w:hAnsi="Arial" w:cs="Arial"/>
          <w:color w:val="000000" w:themeColor="text1"/>
          <w:kern w:val="0"/>
          <w:sz w:val="22"/>
          <w:szCs w:val="22"/>
          <w14:ligatures w14:val="none"/>
        </w:rPr>
        <w:t>Heald</w:t>
      </w:r>
      <w:proofErr w:type="spellEnd"/>
      <w:r w:rsidRPr="005B7ABE">
        <w:rPr>
          <w:rFonts w:ascii="Arial" w:hAnsi="Arial" w:cs="Arial"/>
          <w:color w:val="000000" w:themeColor="text1"/>
          <w:kern w:val="0"/>
          <w:sz w:val="22"/>
          <w:szCs w:val="22"/>
          <w14:ligatures w14:val="none"/>
        </w:rPr>
        <w:t xml:space="preserve"> et al., 2024; Higgins, 2022; Briggs et al., 2024; Office for Health Improvement and Disparities, 2024; The Health Foundation, 2025). These inequalities affect both the distribution of obesity and the likelihood of accessing and benefiting from interventions, thereby reinforcing existing health disparities (</w:t>
      </w:r>
      <w:proofErr w:type="spellStart"/>
      <w:r w:rsidRPr="005B7ABE">
        <w:rPr>
          <w:rFonts w:ascii="Arial" w:hAnsi="Arial" w:cs="Arial"/>
          <w:color w:val="000000" w:themeColor="text1"/>
          <w:kern w:val="0"/>
          <w:sz w:val="22"/>
          <w:szCs w:val="22"/>
          <w14:ligatures w14:val="none"/>
        </w:rPr>
        <w:t>Coulman</w:t>
      </w:r>
      <w:proofErr w:type="spellEnd"/>
      <w:r w:rsidRPr="005B7ABE">
        <w:rPr>
          <w:rFonts w:ascii="Arial" w:hAnsi="Arial" w:cs="Arial"/>
          <w:color w:val="000000" w:themeColor="text1"/>
          <w:kern w:val="0"/>
          <w:sz w:val="22"/>
          <w:szCs w:val="22"/>
          <w14:ligatures w14:val="none"/>
        </w:rPr>
        <w:t xml:space="preserve"> et al., 2023; McLaughlin et al., 2017).</w:t>
      </w:r>
    </w:p>
    <w:p w14:paraId="799E3001" w14:textId="08588C7A" w:rsidR="00A76886" w:rsidRPr="005B7ABE" w:rsidRDefault="00A76886" w:rsidP="0020706C">
      <w:pPr>
        <w:spacing w:before="100" w:beforeAutospacing="1" w:after="100" w:afterAutospacing="1" w:line="360" w:lineRule="auto"/>
        <w:jc w:val="both"/>
        <w:rPr>
          <w:rFonts w:ascii="Arial" w:hAnsi="Arial" w:cs="Arial"/>
          <w:color w:val="000000" w:themeColor="text1"/>
          <w:kern w:val="0"/>
          <w:sz w:val="22"/>
          <w:szCs w:val="22"/>
          <w14:ligatures w14:val="none"/>
        </w:rPr>
      </w:pPr>
      <w:proofErr w:type="spellStart"/>
      <w:r w:rsidRPr="005B7ABE">
        <w:rPr>
          <w:rFonts w:ascii="Arial" w:hAnsi="Arial" w:cs="Arial"/>
          <w:color w:val="000000" w:themeColor="text1"/>
          <w:kern w:val="0"/>
          <w:sz w:val="22"/>
          <w:szCs w:val="22"/>
          <w14:ligatures w14:val="none"/>
        </w:rPr>
        <w:t>Heald</w:t>
      </w:r>
      <w:proofErr w:type="spellEnd"/>
      <w:r w:rsidRPr="005B7ABE">
        <w:rPr>
          <w:rFonts w:ascii="Arial" w:hAnsi="Arial" w:cs="Arial"/>
          <w:color w:val="000000" w:themeColor="text1"/>
          <w:kern w:val="0"/>
          <w:sz w:val="22"/>
          <w:szCs w:val="22"/>
          <w14:ligatures w14:val="none"/>
        </w:rPr>
        <w:t xml:space="preserve"> et al. (2024) show that obesity is associated with substantial excess mortality, reduced life expectancy, and increased healthcare costs, with the greatest burden falling on more deprived populations. Similarly, national data indicate that obesity prevalence remains significantly higher in deprived communities, reflecting the influence of broader social determinants such as income, environment, and access to resources (Office for Health Improvement and Disparities, 2024; The Health Foundation, 2025).</w:t>
      </w:r>
    </w:p>
    <w:p w14:paraId="44A48A21" w14:textId="77777777" w:rsidR="00A76886" w:rsidRPr="005B7ABE" w:rsidRDefault="00A7688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Structural inequalities are further shaped by ethnicity and local context. Higgins (2022) found that central obesity varies according to ethnicity, deprivation, and area context, with some ethnic minority groups more likely to live in deprived areas and experience higher obesity risk. Briggs et al. (2024) extend this argument by showing that obesity can coexist with food insecurity, challenging simplistic behavioural explanations and demonstrating that weight-related outcomes are shaped by material deprivation and constrained choice.</w:t>
      </w:r>
    </w:p>
    <w:p w14:paraId="7753DFE3" w14:textId="77777777" w:rsidR="00A76886" w:rsidRPr="005B7ABE" w:rsidRDefault="00A76886" w:rsidP="0020706C">
      <w:pPr>
        <w:spacing w:before="100" w:beforeAutospacing="1" w:after="100" w:afterAutospacing="1" w:line="360" w:lineRule="auto"/>
        <w:jc w:val="both"/>
        <w:rPr>
          <w:rFonts w:ascii="Arial" w:hAnsi="Arial" w:cs="Arial"/>
          <w:color w:val="000000" w:themeColor="text1"/>
          <w:kern w:val="0"/>
          <w:sz w:val="22"/>
          <w:szCs w:val="22"/>
          <w14:ligatures w14:val="none"/>
        </w:rPr>
      </w:pPr>
    </w:p>
    <w:p w14:paraId="7352DCA9" w14:textId="4811DCAB" w:rsidR="00A76886" w:rsidRPr="005B7ABE" w:rsidRDefault="00A7688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However, although the literature consistently identifies structural influences, it often examines them separately. Deprivation, ethnicity, and geography are frequently treated as isolated variables, with limited attention to how these forms of disadvantage interact. This lack of intersectional analysis weakens understanding of how obesity risk and access to care are jointly produced.</w:t>
      </w:r>
    </w:p>
    <w:p w14:paraId="042D4A26" w14:textId="704B565F" w:rsidR="00A76886" w:rsidRPr="005B7ABE" w:rsidRDefault="00A7688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 xml:space="preserve">Emerging longitudinal evidence likewise suggests that current policy priorities may not align with actual risk. </w:t>
      </w:r>
      <w:proofErr w:type="spellStart"/>
      <w:r w:rsidRPr="005B7ABE">
        <w:rPr>
          <w:rFonts w:ascii="Arial" w:hAnsi="Arial" w:cs="Arial"/>
          <w:color w:val="000000" w:themeColor="text1"/>
          <w:kern w:val="0"/>
          <w:sz w:val="22"/>
          <w:szCs w:val="22"/>
          <w14:ligatures w14:val="none"/>
        </w:rPr>
        <w:t>Katsoulis</w:t>
      </w:r>
      <w:proofErr w:type="spellEnd"/>
      <w:r w:rsidRPr="005B7ABE">
        <w:rPr>
          <w:rFonts w:ascii="Arial" w:hAnsi="Arial" w:cs="Arial"/>
          <w:color w:val="000000" w:themeColor="text1"/>
          <w:kern w:val="0"/>
          <w:sz w:val="22"/>
          <w:szCs w:val="22"/>
          <w14:ligatures w14:val="none"/>
        </w:rPr>
        <w:t xml:space="preserve"> et al. (2021) found that young adults are at greatest risk of weight gain and progression to higher BMI categories, despite policy attention often focusing more heavily on older populations. Obesity is increasingly conceptualised as a chronic disease shaped by complex determinants rather than personal choice alone (</w:t>
      </w:r>
      <w:proofErr w:type="spellStart"/>
      <w:r w:rsidRPr="005B7ABE">
        <w:rPr>
          <w:rFonts w:ascii="Arial" w:hAnsi="Arial" w:cs="Arial"/>
          <w:color w:val="000000" w:themeColor="text1"/>
          <w:kern w:val="0"/>
          <w:sz w:val="22"/>
          <w:szCs w:val="22"/>
          <w14:ligatures w14:val="none"/>
        </w:rPr>
        <w:t>Lulia</w:t>
      </w:r>
      <w:proofErr w:type="spellEnd"/>
      <w:r w:rsidRPr="005B7ABE">
        <w:rPr>
          <w:rFonts w:ascii="Arial" w:hAnsi="Arial" w:cs="Arial"/>
          <w:color w:val="000000" w:themeColor="text1"/>
          <w:kern w:val="0"/>
          <w:sz w:val="22"/>
          <w:szCs w:val="22"/>
          <w14:ligatures w14:val="none"/>
        </w:rPr>
        <w:t xml:space="preserve"> et al., 2023), and this is reflected in evidence linking obesity to poorer wellbeing and greater </w:t>
      </w:r>
      <w:proofErr w:type="spellStart"/>
      <w:r w:rsidRPr="005B7ABE">
        <w:rPr>
          <w:rFonts w:ascii="Arial" w:hAnsi="Arial" w:cs="Arial"/>
          <w:color w:val="000000" w:themeColor="text1"/>
          <w:kern w:val="0"/>
          <w:sz w:val="22"/>
          <w:szCs w:val="22"/>
          <w14:ligatures w14:val="none"/>
        </w:rPr>
        <w:t>multimorbidity</w:t>
      </w:r>
      <w:proofErr w:type="spellEnd"/>
      <w:r w:rsidRPr="005B7ABE">
        <w:rPr>
          <w:rFonts w:ascii="Arial" w:hAnsi="Arial" w:cs="Arial"/>
          <w:color w:val="000000" w:themeColor="text1"/>
          <w:kern w:val="0"/>
          <w:sz w:val="22"/>
          <w:szCs w:val="22"/>
          <w14:ligatures w14:val="none"/>
        </w:rPr>
        <w:t xml:space="preserve"> (Ghosh, Khan and Vohra, 2023).</w:t>
      </w:r>
    </w:p>
    <w:p w14:paraId="1651E539" w14:textId="72A22FC3" w:rsidR="00A76886" w:rsidRPr="00862343" w:rsidRDefault="00A76886" w:rsidP="00862343">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lastRenderedPageBreak/>
        <w:t>Overall, the literature suggests that obesity is fundamentally a structural and socially patterned condition. Socioeconomic disadvantage, ethnicity, geography, and food insecurity shape both prevalence and access to treatment, while research and policy remain limited in addressing these overlapping inequalities (</w:t>
      </w:r>
      <w:proofErr w:type="spellStart"/>
      <w:r w:rsidRPr="005B7ABE">
        <w:rPr>
          <w:rFonts w:ascii="Arial" w:hAnsi="Arial" w:cs="Arial"/>
          <w:color w:val="000000" w:themeColor="text1"/>
          <w:kern w:val="0"/>
          <w:sz w:val="22"/>
          <w:szCs w:val="22"/>
          <w14:ligatures w14:val="none"/>
        </w:rPr>
        <w:t>Heald</w:t>
      </w:r>
      <w:proofErr w:type="spellEnd"/>
      <w:r w:rsidRPr="005B7ABE">
        <w:rPr>
          <w:rFonts w:ascii="Arial" w:hAnsi="Arial" w:cs="Arial"/>
          <w:color w:val="000000" w:themeColor="text1"/>
          <w:kern w:val="0"/>
          <w:sz w:val="22"/>
          <w:szCs w:val="22"/>
          <w14:ligatures w14:val="none"/>
        </w:rPr>
        <w:t xml:space="preserve"> et al., 2024; Higgins, 2022; Briggs et al., 2024; </w:t>
      </w:r>
      <w:proofErr w:type="spellStart"/>
      <w:r w:rsidRPr="005B7ABE">
        <w:rPr>
          <w:rFonts w:ascii="Arial" w:hAnsi="Arial" w:cs="Arial"/>
          <w:color w:val="000000" w:themeColor="text1"/>
          <w:kern w:val="0"/>
          <w:sz w:val="22"/>
          <w:szCs w:val="22"/>
          <w14:ligatures w14:val="none"/>
        </w:rPr>
        <w:t>Katsoulis</w:t>
      </w:r>
      <w:proofErr w:type="spellEnd"/>
      <w:r w:rsidRPr="005B7ABE">
        <w:rPr>
          <w:rFonts w:ascii="Arial" w:hAnsi="Arial" w:cs="Arial"/>
          <w:color w:val="000000" w:themeColor="text1"/>
          <w:kern w:val="0"/>
          <w:sz w:val="22"/>
          <w:szCs w:val="22"/>
          <w14:ligatures w14:val="none"/>
        </w:rPr>
        <w:t xml:space="preserve"> et al., 2021; Office for Health Improvement and Disparities, 2024; The Health Foundation, 2025).</w:t>
      </w:r>
    </w:p>
    <w:p w14:paraId="5ED37819" w14:textId="77777777" w:rsidR="00A76886" w:rsidRPr="00862343" w:rsidRDefault="00A76886" w:rsidP="0020706C">
      <w:pPr>
        <w:spacing w:before="100" w:beforeAutospacing="1" w:after="100" w:afterAutospacing="1" w:line="360" w:lineRule="auto"/>
        <w:jc w:val="both"/>
        <w:outlineLvl w:val="1"/>
        <w:rPr>
          <w:rFonts w:ascii="Arial" w:hAnsi="Arial" w:cs="Arial"/>
          <w:b/>
          <w:bCs/>
          <w:color w:val="000000" w:themeColor="text1"/>
          <w:kern w:val="0"/>
          <w:sz w:val="22"/>
          <w:szCs w:val="22"/>
          <w14:ligatures w14:val="none"/>
        </w:rPr>
      </w:pPr>
      <w:r w:rsidRPr="00862343">
        <w:rPr>
          <w:rFonts w:ascii="Arial" w:eastAsia="Times New Roman" w:hAnsi="Arial" w:cs="Arial"/>
          <w:b/>
          <w:bCs/>
          <w:color w:val="000000" w:themeColor="text1"/>
          <w:kern w:val="0"/>
          <w:sz w:val="22"/>
          <w:szCs w:val="22"/>
          <w14:ligatures w14:val="none"/>
        </w:rPr>
        <w:t>Theme 4: Digital and Pharmacological Interventions</w:t>
      </w:r>
    </w:p>
    <w:p w14:paraId="71B3405B" w14:textId="77777777" w:rsidR="00A76886" w:rsidRPr="00862343" w:rsidRDefault="00A76886" w:rsidP="0020706C">
      <w:pPr>
        <w:spacing w:before="100" w:beforeAutospacing="1" w:after="100" w:afterAutospacing="1" w:line="360" w:lineRule="auto"/>
        <w:jc w:val="both"/>
        <w:rPr>
          <w:rFonts w:ascii="Arial" w:hAnsi="Arial" w:cs="Arial"/>
          <w:b/>
          <w:bCs/>
          <w:color w:val="000000" w:themeColor="text1"/>
          <w:kern w:val="0"/>
          <w:sz w:val="22"/>
          <w:szCs w:val="22"/>
          <w14:ligatures w14:val="none"/>
        </w:rPr>
      </w:pPr>
    </w:p>
    <w:p w14:paraId="3F6167A6" w14:textId="530F3F3B" w:rsidR="00A76886" w:rsidRPr="005B7ABE" w:rsidRDefault="00A7688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 xml:space="preserve">The evidence indicates that digital and pharmacological interventions are an expanding component of obesity management in the UK; however, their effectiveness and accessibility remain uneven, with potential both to improve and to reproduce existing inequalities (Ahmed and Mohammed, 2025; </w:t>
      </w:r>
      <w:proofErr w:type="spellStart"/>
      <w:r w:rsidRPr="005B7ABE">
        <w:rPr>
          <w:rFonts w:ascii="Arial" w:hAnsi="Arial" w:cs="Arial"/>
          <w:color w:val="000000" w:themeColor="text1"/>
          <w:kern w:val="0"/>
          <w:sz w:val="22"/>
          <w:szCs w:val="22"/>
          <w14:ligatures w14:val="none"/>
        </w:rPr>
        <w:t>Parretti</w:t>
      </w:r>
      <w:proofErr w:type="spellEnd"/>
      <w:r w:rsidRPr="005B7ABE">
        <w:rPr>
          <w:rFonts w:ascii="Arial" w:hAnsi="Arial" w:cs="Arial"/>
          <w:color w:val="000000" w:themeColor="text1"/>
          <w:kern w:val="0"/>
          <w:sz w:val="22"/>
          <w:szCs w:val="22"/>
          <w14:ligatures w14:val="none"/>
        </w:rPr>
        <w:t xml:space="preserve"> et al., 2026; </w:t>
      </w:r>
      <w:proofErr w:type="spellStart"/>
      <w:r w:rsidRPr="005B7ABE">
        <w:rPr>
          <w:rFonts w:ascii="Arial" w:hAnsi="Arial" w:cs="Arial"/>
          <w:color w:val="000000" w:themeColor="text1"/>
          <w:kern w:val="0"/>
          <w:sz w:val="22"/>
          <w:szCs w:val="22"/>
          <w14:ligatures w14:val="none"/>
        </w:rPr>
        <w:t>Coulman</w:t>
      </w:r>
      <w:proofErr w:type="spellEnd"/>
      <w:r w:rsidRPr="005B7ABE">
        <w:rPr>
          <w:rFonts w:ascii="Arial" w:hAnsi="Arial" w:cs="Arial"/>
          <w:color w:val="000000" w:themeColor="text1"/>
          <w:kern w:val="0"/>
          <w:sz w:val="22"/>
          <w:szCs w:val="22"/>
          <w14:ligatures w14:val="none"/>
        </w:rPr>
        <w:t xml:space="preserve"> et al., 2023; Office for Health Improvement and Disparities, 2024; The Health Foundation, 2025).</w:t>
      </w:r>
    </w:p>
    <w:p w14:paraId="65F9BD24" w14:textId="77777777" w:rsidR="00862343" w:rsidRDefault="00A7688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 xml:space="preserve">Ahmed and Mohammed (2025) highlight the growing role of pharmacological treatments within multi-component obesity management, while </w:t>
      </w:r>
      <w:proofErr w:type="spellStart"/>
      <w:r w:rsidRPr="005B7ABE">
        <w:rPr>
          <w:rFonts w:ascii="Arial" w:hAnsi="Arial" w:cs="Arial"/>
          <w:color w:val="000000" w:themeColor="text1"/>
          <w:kern w:val="0"/>
          <w:sz w:val="22"/>
          <w:szCs w:val="22"/>
          <w14:ligatures w14:val="none"/>
        </w:rPr>
        <w:t>Parretti</w:t>
      </w:r>
      <w:proofErr w:type="spellEnd"/>
      <w:r w:rsidRPr="005B7ABE">
        <w:rPr>
          <w:rFonts w:ascii="Arial" w:hAnsi="Arial" w:cs="Arial"/>
          <w:color w:val="000000" w:themeColor="text1"/>
          <w:kern w:val="0"/>
          <w:sz w:val="22"/>
          <w:szCs w:val="22"/>
          <w14:ligatures w14:val="none"/>
        </w:rPr>
        <w:t xml:space="preserve"> et al. (2026) note that primary care is increasingly expected to integrate pharmacological and digital options into treatment pathways. These developments broaden treatment strategies, but they likewise place new demands on already constrained healthcare systems.</w:t>
      </w:r>
    </w:p>
    <w:p w14:paraId="63612F1C" w14:textId="38D9F495" w:rsidR="00A76886" w:rsidRPr="005B7ABE" w:rsidRDefault="00A7688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Despite their promise, the real-world impact of pharmacological interventions is limited by structural barriers. Given that uptake of intensive obesity treatments remains low even among eligible populations (</w:t>
      </w:r>
      <w:proofErr w:type="spellStart"/>
      <w:r w:rsidRPr="005B7ABE">
        <w:rPr>
          <w:rFonts w:ascii="Arial" w:hAnsi="Arial" w:cs="Arial"/>
          <w:color w:val="000000" w:themeColor="text1"/>
          <w:kern w:val="0"/>
          <w:sz w:val="22"/>
          <w:szCs w:val="22"/>
          <w14:ligatures w14:val="none"/>
        </w:rPr>
        <w:t>Coulman</w:t>
      </w:r>
      <w:proofErr w:type="spellEnd"/>
      <w:r w:rsidRPr="005B7ABE">
        <w:rPr>
          <w:rFonts w:ascii="Arial" w:hAnsi="Arial" w:cs="Arial"/>
          <w:color w:val="000000" w:themeColor="text1"/>
          <w:kern w:val="0"/>
          <w:sz w:val="22"/>
          <w:szCs w:val="22"/>
          <w14:ligatures w14:val="none"/>
        </w:rPr>
        <w:t xml:space="preserve"> et al., 2023), newer pharmacological options are likely to face similar constraints in practice. This indicates that clinical efficacy does not automatically translate into population-level effectiveness.</w:t>
      </w:r>
    </w:p>
    <w:p w14:paraId="51D09333" w14:textId="1C88BE30" w:rsidR="00A76886" w:rsidRPr="005B7ABE" w:rsidRDefault="00A7688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Digital interventions present a similar tension. While programmes such as the NHS Digital Weight Management Programme aim to improve accessibility through remote delivery (NHS England, 2026), their effectiveness depends on sustained engagement and user capability. Sutcliffe et al. (2018) suggest that engagement in weight management depends heavily on social support and interpersonal relationships, raising concerns that digital models may lack key relational components. Hughes et al. (2021) and Flint et al. (2021) likewise suggest that stigma and prior negative healthcare experiences may limit engagement with newer models of care.</w:t>
      </w:r>
    </w:p>
    <w:p w14:paraId="6203FEE6" w14:textId="44F50AE8" w:rsidR="00A76886" w:rsidRPr="005B7ABE" w:rsidRDefault="00A7688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lastRenderedPageBreak/>
        <w:t>Moreover, digital approaches may reproduce inequality. Individuals from more deprived backgrounds, who already experience higher obesity prevalence, may face greater barriers to digital access, health literacy, and sustained engagement (Office for Health Improvement and Disparities, 2024; The Health Foundation, 2025). Thus, digital delivery may increase convenience for some groups while excluding those most in need.</w:t>
      </w:r>
    </w:p>
    <w:p w14:paraId="6B316CE7" w14:textId="07B04D76" w:rsidR="00A76886" w:rsidRPr="005B7ABE" w:rsidRDefault="00A7688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From a policy perspective, these developments align with national emphasis on expanding treatment pathways (NHS Long Term Plan, 2025; NICE, 2026), yet implementation remains uneven. Kelly et al. (2026) found that obesity-related interventions remain concentrated in Tier 1 approaches, with limited specialist and intensive service provision. This suggests that digital and pharmacological innovations are being added to an already fragmented system rather than supported by a sufficiently robust and equitable infrastructure.</w:t>
      </w:r>
    </w:p>
    <w:p w14:paraId="32F1656D" w14:textId="1ECD72C1" w:rsidR="00BA5361" w:rsidRPr="005B7ABE" w:rsidRDefault="00A7688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 xml:space="preserve">Overall, the literature suggests that digital and pharmacological interventions are clinically promising but structurally constrained. Without integration into comprehensive and equitable care pathways, they are unlikely to deliver sustained or population-level improvements in obesity outcomes (Ahmed and Mohammed, 2025; </w:t>
      </w:r>
      <w:proofErr w:type="spellStart"/>
      <w:r w:rsidRPr="005B7ABE">
        <w:rPr>
          <w:rFonts w:ascii="Arial" w:hAnsi="Arial" w:cs="Arial"/>
          <w:color w:val="000000" w:themeColor="text1"/>
          <w:kern w:val="0"/>
          <w:sz w:val="22"/>
          <w:szCs w:val="22"/>
          <w14:ligatures w14:val="none"/>
        </w:rPr>
        <w:t>Parretti</w:t>
      </w:r>
      <w:proofErr w:type="spellEnd"/>
      <w:r w:rsidRPr="005B7ABE">
        <w:rPr>
          <w:rFonts w:ascii="Arial" w:hAnsi="Arial" w:cs="Arial"/>
          <w:color w:val="000000" w:themeColor="text1"/>
          <w:kern w:val="0"/>
          <w:sz w:val="22"/>
          <w:szCs w:val="22"/>
          <w14:ligatures w14:val="none"/>
        </w:rPr>
        <w:t xml:space="preserve"> et al., 2026; </w:t>
      </w:r>
      <w:proofErr w:type="spellStart"/>
      <w:r w:rsidRPr="005B7ABE">
        <w:rPr>
          <w:rFonts w:ascii="Arial" w:hAnsi="Arial" w:cs="Arial"/>
          <w:color w:val="000000" w:themeColor="text1"/>
          <w:kern w:val="0"/>
          <w:sz w:val="22"/>
          <w:szCs w:val="22"/>
          <w14:ligatures w14:val="none"/>
        </w:rPr>
        <w:t>Coulman</w:t>
      </w:r>
      <w:proofErr w:type="spellEnd"/>
      <w:r w:rsidRPr="005B7ABE">
        <w:rPr>
          <w:rFonts w:ascii="Arial" w:hAnsi="Arial" w:cs="Arial"/>
          <w:color w:val="000000" w:themeColor="text1"/>
          <w:kern w:val="0"/>
          <w:sz w:val="22"/>
          <w:szCs w:val="22"/>
          <w14:ligatures w14:val="none"/>
        </w:rPr>
        <w:t xml:space="preserve"> et al., 2023; Sutcliffe et al., 2018; Hughes et al., 2021).</w:t>
      </w:r>
    </w:p>
    <w:p w14:paraId="039E1395" w14:textId="77777777" w:rsidR="00D74419" w:rsidRPr="005B7ABE" w:rsidRDefault="00D74419" w:rsidP="0020706C">
      <w:pPr>
        <w:spacing w:line="360" w:lineRule="auto"/>
        <w:jc w:val="both"/>
        <w:rPr>
          <w:rFonts w:ascii="Arial" w:hAnsi="Arial" w:cs="Arial"/>
          <w:color w:val="000000" w:themeColor="text1"/>
          <w:sz w:val="22"/>
          <w:szCs w:val="22"/>
        </w:rPr>
      </w:pPr>
    </w:p>
    <w:p w14:paraId="61FA42C1" w14:textId="77777777" w:rsidR="00D74419" w:rsidRDefault="00D74419" w:rsidP="0020706C">
      <w:pPr>
        <w:spacing w:line="360" w:lineRule="auto"/>
        <w:jc w:val="both"/>
        <w:rPr>
          <w:rFonts w:ascii="Arial" w:hAnsi="Arial" w:cs="Arial"/>
          <w:color w:val="000000" w:themeColor="text1"/>
          <w:sz w:val="22"/>
          <w:szCs w:val="22"/>
        </w:rPr>
      </w:pPr>
    </w:p>
    <w:p w14:paraId="57698DC3" w14:textId="77777777" w:rsidR="00C6724B" w:rsidRPr="005B7ABE" w:rsidRDefault="00C6724B" w:rsidP="0020706C">
      <w:pPr>
        <w:spacing w:line="360" w:lineRule="auto"/>
        <w:jc w:val="both"/>
        <w:rPr>
          <w:rFonts w:ascii="Arial" w:hAnsi="Arial" w:cs="Arial"/>
          <w:color w:val="000000" w:themeColor="text1"/>
          <w:sz w:val="22"/>
          <w:szCs w:val="22"/>
        </w:rPr>
      </w:pPr>
    </w:p>
    <w:p w14:paraId="2A756461" w14:textId="77777777" w:rsidR="00F41B31" w:rsidRPr="00C6724B" w:rsidRDefault="00F41B31" w:rsidP="0020706C">
      <w:pPr>
        <w:spacing w:line="360" w:lineRule="auto"/>
        <w:jc w:val="both"/>
        <w:rPr>
          <w:rFonts w:ascii="Arial" w:hAnsi="Arial" w:cs="Arial"/>
          <w:b/>
          <w:bCs/>
          <w:color w:val="000000" w:themeColor="text1"/>
          <w:sz w:val="22"/>
          <w:szCs w:val="22"/>
        </w:rPr>
      </w:pPr>
      <w:r w:rsidRPr="00C6724B">
        <w:rPr>
          <w:rFonts w:ascii="Arial" w:hAnsi="Arial" w:cs="Arial"/>
          <w:b/>
          <w:bCs/>
          <w:color w:val="000000" w:themeColor="text1"/>
          <w:sz w:val="22"/>
          <w:szCs w:val="22"/>
        </w:rPr>
        <w:t>Discussion</w:t>
      </w:r>
    </w:p>
    <w:p w14:paraId="47C7D186" w14:textId="2CE81C56" w:rsidR="00B13B5A" w:rsidRPr="005B7ABE" w:rsidRDefault="00F41B31" w:rsidP="0020706C">
      <w:pPr>
        <w:pStyle w:val="Heading2"/>
        <w:spacing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sz w:val="22"/>
          <w:szCs w:val="22"/>
        </w:rPr>
        <w:t xml:space="preserve"> </w:t>
      </w:r>
      <w:r w:rsidR="00803676" w:rsidRPr="005B7ABE">
        <w:rPr>
          <w:rFonts w:ascii="Arial" w:hAnsi="Arial" w:cs="Arial"/>
          <w:color w:val="000000" w:themeColor="text1"/>
          <w:sz w:val="22"/>
          <w:szCs w:val="22"/>
        </w:rPr>
        <w:t xml:space="preserve"> </w:t>
      </w:r>
    </w:p>
    <w:p w14:paraId="08A73462" w14:textId="0770483C" w:rsidR="003415D5" w:rsidRPr="005B7ABE" w:rsidRDefault="003415D5"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This scoping review examined the effectiveness of obesity treatments and the structural factors influencing access to these interventions among working-age adults in the UK. The findings demonstrate that obesity management is not limited by the absence of interventions, but by the conditions under which they are delivered, accessed, and sustained (</w:t>
      </w:r>
      <w:proofErr w:type="spellStart"/>
      <w:r w:rsidRPr="005B7ABE">
        <w:rPr>
          <w:rFonts w:ascii="Arial" w:hAnsi="Arial" w:cs="Arial"/>
          <w:color w:val="000000" w:themeColor="text1"/>
          <w:kern w:val="0"/>
          <w:sz w:val="22"/>
          <w:szCs w:val="22"/>
          <w14:ligatures w14:val="none"/>
        </w:rPr>
        <w:t>Coulman</w:t>
      </w:r>
      <w:proofErr w:type="spellEnd"/>
      <w:r w:rsidRPr="005B7ABE">
        <w:rPr>
          <w:rFonts w:ascii="Arial" w:hAnsi="Arial" w:cs="Arial"/>
          <w:color w:val="000000" w:themeColor="text1"/>
          <w:kern w:val="0"/>
          <w:sz w:val="22"/>
          <w:szCs w:val="22"/>
          <w14:ligatures w14:val="none"/>
        </w:rPr>
        <w:t xml:space="preserve"> et al., 2023; </w:t>
      </w:r>
      <w:proofErr w:type="spellStart"/>
      <w:r w:rsidRPr="005B7ABE">
        <w:rPr>
          <w:rFonts w:ascii="Arial" w:hAnsi="Arial" w:cs="Arial"/>
          <w:color w:val="000000" w:themeColor="text1"/>
          <w:kern w:val="0"/>
          <w:sz w:val="22"/>
          <w:szCs w:val="22"/>
          <w14:ligatures w14:val="none"/>
        </w:rPr>
        <w:t>Parretti</w:t>
      </w:r>
      <w:proofErr w:type="spellEnd"/>
      <w:r w:rsidRPr="005B7ABE">
        <w:rPr>
          <w:rFonts w:ascii="Arial" w:hAnsi="Arial" w:cs="Arial"/>
          <w:color w:val="000000" w:themeColor="text1"/>
          <w:kern w:val="0"/>
          <w:sz w:val="22"/>
          <w:szCs w:val="22"/>
          <w14:ligatures w14:val="none"/>
        </w:rPr>
        <w:t xml:space="preserve"> et al., 2026). Across the four themes, a consistent pattern emerges: interventions show clinical potential, yet their real-world impact is constrained by systemic, structural, and social factors (Martins et al., 2020; </w:t>
      </w:r>
      <w:proofErr w:type="spellStart"/>
      <w:r w:rsidRPr="005B7ABE">
        <w:rPr>
          <w:rFonts w:ascii="Arial" w:hAnsi="Arial" w:cs="Arial"/>
          <w:color w:val="000000" w:themeColor="text1"/>
          <w:kern w:val="0"/>
          <w:sz w:val="22"/>
          <w:szCs w:val="22"/>
          <w14:ligatures w14:val="none"/>
        </w:rPr>
        <w:t>Heald</w:t>
      </w:r>
      <w:proofErr w:type="spellEnd"/>
      <w:r w:rsidRPr="005B7ABE">
        <w:rPr>
          <w:rFonts w:ascii="Arial" w:hAnsi="Arial" w:cs="Arial"/>
          <w:color w:val="000000" w:themeColor="text1"/>
          <w:kern w:val="0"/>
          <w:sz w:val="22"/>
          <w:szCs w:val="22"/>
          <w14:ligatures w14:val="none"/>
        </w:rPr>
        <w:t xml:space="preserve"> et al., 2024; Office for Health Improvement and Disparities, 2024).</w:t>
      </w:r>
    </w:p>
    <w:p w14:paraId="0BAE8F78" w14:textId="798FE9D4" w:rsidR="003415D5" w:rsidRPr="005B7ABE" w:rsidRDefault="003415D5"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 xml:space="preserve">In relation to effectiveness, the evidence indicates that current obesity treatments are conditionally effective rather than consistently successful (Martins et al., 2020; Ahmed and </w:t>
      </w:r>
      <w:r w:rsidRPr="005B7ABE">
        <w:rPr>
          <w:rFonts w:ascii="Arial" w:hAnsi="Arial" w:cs="Arial"/>
          <w:color w:val="000000" w:themeColor="text1"/>
          <w:kern w:val="0"/>
          <w:sz w:val="22"/>
          <w:szCs w:val="22"/>
          <w14:ligatures w14:val="none"/>
        </w:rPr>
        <w:lastRenderedPageBreak/>
        <w:t>Mohammed, 2025). Behavioural interventions can achieve short-term weight loss (Martins et al., 2020), yet longitudinal evidence shows continued progression of obesity-related complications (</w:t>
      </w:r>
      <w:proofErr w:type="spellStart"/>
      <w:r w:rsidRPr="005B7ABE">
        <w:rPr>
          <w:rFonts w:ascii="Arial" w:hAnsi="Arial" w:cs="Arial"/>
          <w:color w:val="000000" w:themeColor="text1"/>
          <w:kern w:val="0"/>
          <w:sz w:val="22"/>
          <w:szCs w:val="22"/>
          <w14:ligatures w14:val="none"/>
        </w:rPr>
        <w:t>Haase</w:t>
      </w:r>
      <w:proofErr w:type="spellEnd"/>
      <w:r w:rsidRPr="005B7ABE">
        <w:rPr>
          <w:rFonts w:ascii="Arial" w:hAnsi="Arial" w:cs="Arial"/>
          <w:color w:val="000000" w:themeColor="text1"/>
          <w:kern w:val="0"/>
          <w:sz w:val="22"/>
          <w:szCs w:val="22"/>
          <w14:ligatures w14:val="none"/>
        </w:rPr>
        <w:t xml:space="preserve"> et al., 2021; </w:t>
      </w:r>
      <w:proofErr w:type="spellStart"/>
      <w:r w:rsidRPr="005B7ABE">
        <w:rPr>
          <w:rFonts w:ascii="Arial" w:hAnsi="Arial" w:cs="Arial"/>
          <w:color w:val="000000" w:themeColor="text1"/>
          <w:kern w:val="0"/>
          <w:sz w:val="22"/>
          <w:szCs w:val="22"/>
          <w14:ligatures w14:val="none"/>
        </w:rPr>
        <w:t>Pearson-Stuttard</w:t>
      </w:r>
      <w:proofErr w:type="spellEnd"/>
      <w:r w:rsidRPr="005B7ABE">
        <w:rPr>
          <w:rFonts w:ascii="Arial" w:hAnsi="Arial" w:cs="Arial"/>
          <w:color w:val="000000" w:themeColor="text1"/>
          <w:kern w:val="0"/>
          <w:sz w:val="22"/>
          <w:szCs w:val="22"/>
          <w14:ligatures w14:val="none"/>
        </w:rPr>
        <w:t xml:space="preserve"> et al., 2024). This suggests that existing approaches do not substantially alter long-term disease trajectories (</w:t>
      </w:r>
      <w:proofErr w:type="spellStart"/>
      <w:r w:rsidRPr="005B7ABE">
        <w:rPr>
          <w:rFonts w:ascii="Arial" w:hAnsi="Arial" w:cs="Arial"/>
          <w:color w:val="000000" w:themeColor="text1"/>
          <w:kern w:val="0"/>
          <w:sz w:val="22"/>
          <w:szCs w:val="22"/>
          <w14:ligatures w14:val="none"/>
        </w:rPr>
        <w:t>Haase</w:t>
      </w:r>
      <w:proofErr w:type="spellEnd"/>
      <w:r w:rsidRPr="005B7ABE">
        <w:rPr>
          <w:rFonts w:ascii="Arial" w:hAnsi="Arial" w:cs="Arial"/>
          <w:color w:val="000000" w:themeColor="text1"/>
          <w:kern w:val="0"/>
          <w:sz w:val="22"/>
          <w:szCs w:val="22"/>
          <w14:ligatures w14:val="none"/>
        </w:rPr>
        <w:t xml:space="preserve"> et al., 2021; </w:t>
      </w:r>
      <w:proofErr w:type="spellStart"/>
      <w:r w:rsidRPr="005B7ABE">
        <w:rPr>
          <w:rFonts w:ascii="Arial" w:hAnsi="Arial" w:cs="Arial"/>
          <w:color w:val="000000" w:themeColor="text1"/>
          <w:kern w:val="0"/>
          <w:sz w:val="22"/>
          <w:szCs w:val="22"/>
          <w14:ligatures w14:val="none"/>
        </w:rPr>
        <w:t>Pearson-Stuttard</w:t>
      </w:r>
      <w:proofErr w:type="spellEnd"/>
      <w:r w:rsidRPr="005B7ABE">
        <w:rPr>
          <w:rFonts w:ascii="Arial" w:hAnsi="Arial" w:cs="Arial"/>
          <w:color w:val="000000" w:themeColor="text1"/>
          <w:kern w:val="0"/>
          <w:sz w:val="22"/>
          <w:szCs w:val="22"/>
          <w14:ligatures w14:val="none"/>
        </w:rPr>
        <w:t xml:space="preserve"> et al., 2024). Furthermore, qualitative findings complicate traditional clinical definitions of effectiveness, demonstrating that engagement depends on relational and experiential factors such as support and stigma (Sutcliffe et al., 2018; Hughes et al., 2021; Flint et al., 2021). Taken together, the literature aligns in recognising that treatment can work, but diverges in explaining why it often fails in practice (Martins et al., 2020; Sutcliffe et al., 2018). This reflects a broader limitation in obesity care, where success is frequently measured in controlled conditions rather than sustained real-world outcomes (</w:t>
      </w:r>
      <w:proofErr w:type="spellStart"/>
      <w:r w:rsidRPr="005B7ABE">
        <w:rPr>
          <w:rFonts w:ascii="Arial" w:hAnsi="Arial" w:cs="Arial"/>
          <w:color w:val="000000" w:themeColor="text1"/>
          <w:kern w:val="0"/>
          <w:sz w:val="22"/>
          <w:szCs w:val="22"/>
          <w14:ligatures w14:val="none"/>
        </w:rPr>
        <w:t>Fruh</w:t>
      </w:r>
      <w:proofErr w:type="spellEnd"/>
      <w:r w:rsidRPr="005B7ABE">
        <w:rPr>
          <w:rFonts w:ascii="Arial" w:hAnsi="Arial" w:cs="Arial"/>
          <w:color w:val="000000" w:themeColor="text1"/>
          <w:kern w:val="0"/>
          <w:sz w:val="22"/>
          <w:szCs w:val="22"/>
          <w14:ligatures w14:val="none"/>
        </w:rPr>
        <w:t>, 2017).</w:t>
      </w:r>
    </w:p>
    <w:p w14:paraId="4103F060" w14:textId="210A6786" w:rsidR="003415D5" w:rsidRPr="005B7ABE" w:rsidRDefault="003415D5"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Access to weight management services emerges as a critical point of failure within the system. Evidence consistently demonstrates under-recognition, under-referral, and low treatment uptake across UK healthcare pathways (</w:t>
      </w:r>
      <w:proofErr w:type="spellStart"/>
      <w:r w:rsidRPr="005B7ABE">
        <w:rPr>
          <w:rFonts w:ascii="Arial" w:hAnsi="Arial" w:cs="Arial"/>
          <w:color w:val="000000" w:themeColor="text1"/>
          <w:kern w:val="0"/>
          <w:sz w:val="22"/>
          <w:szCs w:val="22"/>
          <w14:ligatures w14:val="none"/>
        </w:rPr>
        <w:t>Coulman</w:t>
      </w:r>
      <w:proofErr w:type="spellEnd"/>
      <w:r w:rsidRPr="005B7ABE">
        <w:rPr>
          <w:rFonts w:ascii="Arial" w:hAnsi="Arial" w:cs="Arial"/>
          <w:color w:val="000000" w:themeColor="text1"/>
          <w:kern w:val="0"/>
          <w:sz w:val="22"/>
          <w:szCs w:val="22"/>
          <w14:ligatures w14:val="none"/>
        </w:rPr>
        <w:t xml:space="preserve"> et al., 2023; McLaughlin et al., 2017; </w:t>
      </w:r>
      <w:proofErr w:type="spellStart"/>
      <w:r w:rsidRPr="005B7ABE">
        <w:rPr>
          <w:rFonts w:ascii="Arial" w:hAnsi="Arial" w:cs="Arial"/>
          <w:color w:val="000000" w:themeColor="text1"/>
          <w:kern w:val="0"/>
          <w:sz w:val="22"/>
          <w:szCs w:val="22"/>
          <w14:ligatures w14:val="none"/>
        </w:rPr>
        <w:t>Parretti</w:t>
      </w:r>
      <w:proofErr w:type="spellEnd"/>
      <w:r w:rsidRPr="005B7ABE">
        <w:rPr>
          <w:rFonts w:ascii="Arial" w:hAnsi="Arial" w:cs="Arial"/>
          <w:color w:val="000000" w:themeColor="text1"/>
          <w:kern w:val="0"/>
          <w:sz w:val="22"/>
          <w:szCs w:val="22"/>
          <w14:ligatures w14:val="none"/>
        </w:rPr>
        <w:t xml:space="preserve"> et al., 2026). This challenges the assumption underpinning national policy that primary care functions as an effective gateway to obesity treatment (NICE, 2026; NHS Long Term Plan, 2025). Instead, access appears fragmented and inconsistent, with significant regional variation indicating that service availability is shaped by local infrastructure rather than clinical need (</w:t>
      </w:r>
      <w:proofErr w:type="spellStart"/>
      <w:r w:rsidRPr="005B7ABE">
        <w:rPr>
          <w:rFonts w:ascii="Arial" w:hAnsi="Arial" w:cs="Arial"/>
          <w:color w:val="000000" w:themeColor="text1"/>
          <w:kern w:val="0"/>
          <w:sz w:val="22"/>
          <w:szCs w:val="22"/>
          <w14:ligatures w14:val="none"/>
        </w:rPr>
        <w:t>Coulman</w:t>
      </w:r>
      <w:proofErr w:type="spellEnd"/>
      <w:r w:rsidRPr="005B7ABE">
        <w:rPr>
          <w:rFonts w:ascii="Arial" w:hAnsi="Arial" w:cs="Arial"/>
          <w:color w:val="000000" w:themeColor="text1"/>
          <w:kern w:val="0"/>
          <w:sz w:val="22"/>
          <w:szCs w:val="22"/>
          <w14:ligatures w14:val="none"/>
        </w:rPr>
        <w:t xml:space="preserve"> et al., 2023). Consequently, eligibility does not translate into access, and obesity care operates within a de facto postcode-dependent system (</w:t>
      </w:r>
      <w:proofErr w:type="spellStart"/>
      <w:r w:rsidRPr="005B7ABE">
        <w:rPr>
          <w:rFonts w:ascii="Arial" w:hAnsi="Arial" w:cs="Arial"/>
          <w:color w:val="000000" w:themeColor="text1"/>
          <w:kern w:val="0"/>
          <w:sz w:val="22"/>
          <w:szCs w:val="22"/>
          <w14:ligatures w14:val="none"/>
        </w:rPr>
        <w:t>Coulman</w:t>
      </w:r>
      <w:proofErr w:type="spellEnd"/>
      <w:r w:rsidRPr="005B7ABE">
        <w:rPr>
          <w:rFonts w:ascii="Arial" w:hAnsi="Arial" w:cs="Arial"/>
          <w:color w:val="000000" w:themeColor="text1"/>
          <w:kern w:val="0"/>
          <w:sz w:val="22"/>
          <w:szCs w:val="22"/>
          <w14:ligatures w14:val="none"/>
        </w:rPr>
        <w:t xml:space="preserve"> et al., 2023; McLaughlin et al., 2017). This disconnect highlights a fundamental tension between policy ambition and service reality (Kelly et al., 2026).</w:t>
      </w:r>
    </w:p>
    <w:p w14:paraId="0053FBA7" w14:textId="27323CC0" w:rsidR="003415D5" w:rsidRPr="005B7ABE" w:rsidRDefault="003415D5"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The influence of socioeconomic and structural inequalities represents the most consistent and pervasive finding across the literature. Obesity is disproportionately concentrated among deprived populations, with greater health burden and reduced access to care (</w:t>
      </w:r>
      <w:proofErr w:type="spellStart"/>
      <w:r w:rsidRPr="005B7ABE">
        <w:rPr>
          <w:rFonts w:ascii="Arial" w:hAnsi="Arial" w:cs="Arial"/>
          <w:color w:val="000000" w:themeColor="text1"/>
          <w:kern w:val="0"/>
          <w:sz w:val="22"/>
          <w:szCs w:val="22"/>
          <w14:ligatures w14:val="none"/>
        </w:rPr>
        <w:t>Heald</w:t>
      </w:r>
      <w:proofErr w:type="spellEnd"/>
      <w:r w:rsidRPr="005B7ABE">
        <w:rPr>
          <w:rFonts w:ascii="Arial" w:hAnsi="Arial" w:cs="Arial"/>
          <w:color w:val="000000" w:themeColor="text1"/>
          <w:kern w:val="0"/>
          <w:sz w:val="22"/>
          <w:szCs w:val="22"/>
          <w14:ligatures w14:val="none"/>
        </w:rPr>
        <w:t xml:space="preserve"> et al., 2024; Office for Health Improvement and Disparities, 2024; The Health Foundation, 2025). Importantly, studies such as Briggs et al. (2024) challenge individualised narratives by demonstrating the coexistence of obesity and food insecurity, reframing obesity as a condition shaped by constrained choices rather than excess (Briggs et al., 2024). Furthermore, variation across ethnicity and geographical context (Higgins, 2022) indicates that obesity risk and access to treatment are embedded within wider social and environmental systems (Higgins, 2022; The Health Foundation, 2025). However, a key limitation in the literature is the tendency to examine these factors in isolation. There remains limited intersectional analysis exploring how multiple dimensions of disadvantage combine to shape outcomes (Higgins, 2022; Briggs </w:t>
      </w:r>
      <w:r w:rsidRPr="005B7ABE">
        <w:rPr>
          <w:rFonts w:ascii="Arial" w:hAnsi="Arial" w:cs="Arial"/>
          <w:color w:val="000000" w:themeColor="text1"/>
          <w:kern w:val="0"/>
          <w:sz w:val="22"/>
          <w:szCs w:val="22"/>
          <w14:ligatures w14:val="none"/>
        </w:rPr>
        <w:lastRenderedPageBreak/>
        <w:t>et al., 2024). This restricts the explanatory power of current evidence and limits its application to policy and practice.</w:t>
      </w:r>
    </w:p>
    <w:p w14:paraId="178B2EAA" w14:textId="4D5146A6" w:rsidR="003415D5" w:rsidRPr="005B7ABE" w:rsidRDefault="003415D5"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 xml:space="preserve">The expansion of digital and pharmacological interventions reflects an evolving treatment landscape; however, the findings suggest that innovation alone is insufficient to address existing limitations (Ahmed and Mohammed, 2025; </w:t>
      </w:r>
      <w:proofErr w:type="spellStart"/>
      <w:r w:rsidRPr="005B7ABE">
        <w:rPr>
          <w:rFonts w:ascii="Arial" w:hAnsi="Arial" w:cs="Arial"/>
          <w:color w:val="000000" w:themeColor="text1"/>
          <w:kern w:val="0"/>
          <w:sz w:val="22"/>
          <w:szCs w:val="22"/>
          <w14:ligatures w14:val="none"/>
        </w:rPr>
        <w:t>Parretti</w:t>
      </w:r>
      <w:proofErr w:type="spellEnd"/>
      <w:r w:rsidRPr="005B7ABE">
        <w:rPr>
          <w:rFonts w:ascii="Arial" w:hAnsi="Arial" w:cs="Arial"/>
          <w:color w:val="000000" w:themeColor="text1"/>
          <w:kern w:val="0"/>
          <w:sz w:val="22"/>
          <w:szCs w:val="22"/>
          <w14:ligatures w14:val="none"/>
        </w:rPr>
        <w:t xml:space="preserve"> et al., 2026). While such approaches increase the range of available interventions (Ahmed and Mohammed, 2025), their uptake remains constrained by the same structural barriers affecting traditional services (</w:t>
      </w:r>
      <w:proofErr w:type="spellStart"/>
      <w:r w:rsidRPr="005B7ABE">
        <w:rPr>
          <w:rFonts w:ascii="Arial" w:hAnsi="Arial" w:cs="Arial"/>
          <w:color w:val="000000" w:themeColor="text1"/>
          <w:kern w:val="0"/>
          <w:sz w:val="22"/>
          <w:szCs w:val="22"/>
          <w14:ligatures w14:val="none"/>
        </w:rPr>
        <w:t>Coulman</w:t>
      </w:r>
      <w:proofErr w:type="spellEnd"/>
      <w:r w:rsidRPr="005B7ABE">
        <w:rPr>
          <w:rFonts w:ascii="Arial" w:hAnsi="Arial" w:cs="Arial"/>
          <w:color w:val="000000" w:themeColor="text1"/>
          <w:kern w:val="0"/>
          <w:sz w:val="22"/>
          <w:szCs w:val="22"/>
          <w14:ligatures w14:val="none"/>
        </w:rPr>
        <w:t xml:space="preserve"> et al., 2023). Digital interventions, although positioned as increasing accessibility, may reduce relational support and exclude individuals with lower digital access or health literacy (Sutcliffe et al., 2018; Office for Health Improvement and Disparities, 2024). Similarly, pharmacological treatments may remain inaccessible due to restrictive criteria and service capacity (</w:t>
      </w:r>
      <w:proofErr w:type="spellStart"/>
      <w:r w:rsidRPr="005B7ABE">
        <w:rPr>
          <w:rFonts w:ascii="Arial" w:hAnsi="Arial" w:cs="Arial"/>
          <w:color w:val="000000" w:themeColor="text1"/>
          <w:kern w:val="0"/>
          <w:sz w:val="22"/>
          <w:szCs w:val="22"/>
          <w14:ligatures w14:val="none"/>
        </w:rPr>
        <w:t>Parretti</w:t>
      </w:r>
      <w:proofErr w:type="spellEnd"/>
      <w:r w:rsidRPr="005B7ABE">
        <w:rPr>
          <w:rFonts w:ascii="Arial" w:hAnsi="Arial" w:cs="Arial"/>
          <w:color w:val="000000" w:themeColor="text1"/>
          <w:kern w:val="0"/>
          <w:sz w:val="22"/>
          <w:szCs w:val="22"/>
          <w14:ligatures w14:val="none"/>
        </w:rPr>
        <w:t xml:space="preserve"> et al., 2026; UK Parliament, 2025). As a result, innovation risks reinforcing, rather than reducing, existing inequalities if not supported by systemic change (The Health Foundation, 2025).</w:t>
      </w:r>
    </w:p>
    <w:p w14:paraId="30A034D3" w14:textId="5C50D996" w:rsidR="003415D5" w:rsidRPr="005B7ABE" w:rsidRDefault="003415D5"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From a policy perspective, the findings highlight a clear misalignment between strategic frameworks and service delivery. UK policies increasingly adopt whole-system approaches and emphasise prevention and integrated care (NHS Long Term Plan, 2025; NICE, 2026), yet implementation remains uneven (Kelly et al., 2026). Evidence demonstrates that policy efforts are heavily concentrated in Tier 1 interventions, with limited provision of specialist services (Kelly et al., 2026). This imbalance suggests that while prevention is prioritised, the needs of individuals already living with obesity are insufficiently addressed (BOMSS, 2024). Consequently, policy appears more advanced in its conceptual framing than in its practical delivery (Kelly et al., 2026).</w:t>
      </w:r>
    </w:p>
    <w:p w14:paraId="53C2C544" w14:textId="24B82511" w:rsidR="003415D5" w:rsidRPr="005B7ABE" w:rsidRDefault="003415D5"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From a public and service-user perspective, the literature underscores the importance of experience, perception, and engagement. Stigma, negative healthcare interactions, and lack of supportive relationships can deter individuals from accessing or continuing treatment (Hughes et al., 2021; Flint et al., 2021; Sutcliffe et al., 2018). This suggests that effective obesity care requires not only clinical intervention but also culturally sensitive, non-stigmatising, and person-centred approaches (</w:t>
      </w:r>
      <w:proofErr w:type="spellStart"/>
      <w:r w:rsidRPr="005B7ABE">
        <w:rPr>
          <w:rFonts w:ascii="Arial" w:hAnsi="Arial" w:cs="Arial"/>
          <w:color w:val="000000" w:themeColor="text1"/>
          <w:kern w:val="0"/>
          <w:sz w:val="22"/>
          <w:szCs w:val="22"/>
          <w14:ligatures w14:val="none"/>
        </w:rPr>
        <w:t>Lulia</w:t>
      </w:r>
      <w:proofErr w:type="spellEnd"/>
      <w:r w:rsidRPr="005B7ABE">
        <w:rPr>
          <w:rFonts w:ascii="Arial" w:hAnsi="Arial" w:cs="Arial"/>
          <w:color w:val="000000" w:themeColor="text1"/>
          <w:kern w:val="0"/>
          <w:sz w:val="22"/>
          <w:szCs w:val="22"/>
          <w14:ligatures w14:val="none"/>
        </w:rPr>
        <w:t xml:space="preserve"> et al., 2023). Without addressing these experiential factors, improvements in service availability alone are unlikely to translate into increased engagement or improved outcomes (Sutcliffe et al., 2018).</w:t>
      </w:r>
    </w:p>
    <w:p w14:paraId="675460EF" w14:textId="4772B1ED" w:rsidR="003415D5" w:rsidRPr="005B7ABE" w:rsidRDefault="003415D5"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Several research gaps are evident. Much of the existing evidence is observational or cross-sectional, limiting understanding of long-term intervention effectiveness and patient pathways (</w:t>
      </w:r>
      <w:proofErr w:type="spellStart"/>
      <w:r w:rsidRPr="005B7ABE">
        <w:rPr>
          <w:rFonts w:ascii="Arial" w:hAnsi="Arial" w:cs="Arial"/>
          <w:color w:val="000000" w:themeColor="text1"/>
          <w:kern w:val="0"/>
          <w:sz w:val="22"/>
          <w:szCs w:val="22"/>
          <w14:ligatures w14:val="none"/>
        </w:rPr>
        <w:t>Coulman</w:t>
      </w:r>
      <w:proofErr w:type="spellEnd"/>
      <w:r w:rsidRPr="005B7ABE">
        <w:rPr>
          <w:rFonts w:ascii="Arial" w:hAnsi="Arial" w:cs="Arial"/>
          <w:color w:val="000000" w:themeColor="text1"/>
          <w:kern w:val="0"/>
          <w:sz w:val="22"/>
          <w:szCs w:val="22"/>
          <w14:ligatures w14:val="none"/>
        </w:rPr>
        <w:t xml:space="preserve"> et al., 2023; McLaughlin et al., 2017). There is a lack of integration between clinical, </w:t>
      </w:r>
      <w:r w:rsidRPr="005B7ABE">
        <w:rPr>
          <w:rFonts w:ascii="Arial" w:hAnsi="Arial" w:cs="Arial"/>
          <w:color w:val="000000" w:themeColor="text1"/>
          <w:kern w:val="0"/>
          <w:sz w:val="22"/>
          <w:szCs w:val="22"/>
          <w14:ligatures w14:val="none"/>
        </w:rPr>
        <w:lastRenderedPageBreak/>
        <w:t>service-level, and lived-experience research, resulting in a fragmented evidence base (</w:t>
      </w:r>
      <w:proofErr w:type="spellStart"/>
      <w:r w:rsidRPr="005B7ABE">
        <w:rPr>
          <w:rFonts w:ascii="Arial" w:hAnsi="Arial" w:cs="Arial"/>
          <w:color w:val="000000" w:themeColor="text1"/>
          <w:kern w:val="0"/>
          <w:sz w:val="22"/>
          <w:szCs w:val="22"/>
          <w14:ligatures w14:val="none"/>
        </w:rPr>
        <w:t>Parretti</w:t>
      </w:r>
      <w:proofErr w:type="spellEnd"/>
      <w:r w:rsidRPr="005B7ABE">
        <w:rPr>
          <w:rFonts w:ascii="Arial" w:hAnsi="Arial" w:cs="Arial"/>
          <w:color w:val="000000" w:themeColor="text1"/>
          <w:kern w:val="0"/>
          <w:sz w:val="22"/>
          <w:szCs w:val="22"/>
          <w14:ligatures w14:val="none"/>
        </w:rPr>
        <w:t xml:space="preserve"> et al., 2026; Sutcliffe et al., 2018). Furthermore, insufficient attention is given to under-served populations, particularly younger adults, despite evidence that they are at highest risk of weight gain (</w:t>
      </w:r>
      <w:proofErr w:type="spellStart"/>
      <w:r w:rsidRPr="005B7ABE">
        <w:rPr>
          <w:rFonts w:ascii="Arial" w:hAnsi="Arial" w:cs="Arial"/>
          <w:color w:val="000000" w:themeColor="text1"/>
          <w:kern w:val="0"/>
          <w:sz w:val="22"/>
          <w:szCs w:val="22"/>
          <w14:ligatures w14:val="none"/>
        </w:rPr>
        <w:t>Katsoulis</w:t>
      </w:r>
      <w:proofErr w:type="spellEnd"/>
      <w:r w:rsidRPr="005B7ABE">
        <w:rPr>
          <w:rFonts w:ascii="Arial" w:hAnsi="Arial" w:cs="Arial"/>
          <w:color w:val="000000" w:themeColor="text1"/>
          <w:kern w:val="0"/>
          <w:sz w:val="22"/>
          <w:szCs w:val="22"/>
          <w14:ligatures w14:val="none"/>
        </w:rPr>
        <w:t xml:space="preserve"> et al., 2021). The absence of intersectional analyses further limits understanding of how multiple forms of disadvantage interact (Higgins, 2022).</w:t>
      </w:r>
    </w:p>
    <w:p w14:paraId="45963ABC" w14:textId="1620A625" w:rsidR="003415D5" w:rsidRPr="005B7ABE" w:rsidRDefault="003415D5"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Future research should therefore prioritise longitudinal and mixed-methods designs to capture sustained outcomes and patient experiences over time (</w:t>
      </w:r>
      <w:proofErr w:type="spellStart"/>
      <w:r w:rsidRPr="005B7ABE">
        <w:rPr>
          <w:rFonts w:ascii="Arial" w:hAnsi="Arial" w:cs="Arial"/>
          <w:color w:val="000000" w:themeColor="text1"/>
          <w:kern w:val="0"/>
          <w:sz w:val="22"/>
          <w:szCs w:val="22"/>
          <w14:ligatures w14:val="none"/>
        </w:rPr>
        <w:t>Aveyard</w:t>
      </w:r>
      <w:proofErr w:type="spellEnd"/>
      <w:r w:rsidRPr="005B7ABE">
        <w:rPr>
          <w:rFonts w:ascii="Arial" w:hAnsi="Arial" w:cs="Arial"/>
          <w:color w:val="000000" w:themeColor="text1"/>
          <w:kern w:val="0"/>
          <w:sz w:val="22"/>
          <w:szCs w:val="22"/>
          <w14:ligatures w14:val="none"/>
        </w:rPr>
        <w:t>, 2014). Greater focus is needed on implementation research to examine how national policies are translated into local practice (Kelly et al., 2026). Additionally, research should adopt intersectional frameworks to better understand how socioeconomic, demographic, and geographic factors interact (The Health Foundation, 2025). Targeted investigation of high-risk and under-served groups, particularly younger adults and deprived populations, is essential to improve both prevention and treatment strategies (</w:t>
      </w:r>
      <w:proofErr w:type="spellStart"/>
      <w:r w:rsidRPr="005B7ABE">
        <w:rPr>
          <w:rFonts w:ascii="Arial" w:hAnsi="Arial" w:cs="Arial"/>
          <w:color w:val="000000" w:themeColor="text1"/>
          <w:kern w:val="0"/>
          <w:sz w:val="22"/>
          <w:szCs w:val="22"/>
          <w14:ligatures w14:val="none"/>
        </w:rPr>
        <w:t>Katsoulis</w:t>
      </w:r>
      <w:proofErr w:type="spellEnd"/>
      <w:r w:rsidRPr="005B7ABE">
        <w:rPr>
          <w:rFonts w:ascii="Arial" w:hAnsi="Arial" w:cs="Arial"/>
          <w:color w:val="000000" w:themeColor="text1"/>
          <w:kern w:val="0"/>
          <w:sz w:val="22"/>
          <w:szCs w:val="22"/>
          <w14:ligatures w14:val="none"/>
        </w:rPr>
        <w:t xml:space="preserve"> et al., 2021).</w:t>
      </w:r>
    </w:p>
    <w:p w14:paraId="2F58137E" w14:textId="77777777" w:rsidR="003415D5" w:rsidRPr="005B7ABE" w:rsidRDefault="003415D5"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Overall, the findings suggest that obesity management in the UK is constrained not by a lack of interventions, but by systemic limitations in access, delivery, and equity (</w:t>
      </w:r>
      <w:proofErr w:type="spellStart"/>
      <w:r w:rsidRPr="005B7ABE">
        <w:rPr>
          <w:rFonts w:ascii="Arial" w:hAnsi="Arial" w:cs="Arial"/>
          <w:color w:val="000000" w:themeColor="text1"/>
          <w:kern w:val="0"/>
          <w:sz w:val="22"/>
          <w:szCs w:val="22"/>
          <w14:ligatures w14:val="none"/>
        </w:rPr>
        <w:t>Coulman</w:t>
      </w:r>
      <w:proofErr w:type="spellEnd"/>
      <w:r w:rsidRPr="005B7ABE">
        <w:rPr>
          <w:rFonts w:ascii="Arial" w:hAnsi="Arial" w:cs="Arial"/>
          <w:color w:val="000000" w:themeColor="text1"/>
          <w:kern w:val="0"/>
          <w:sz w:val="22"/>
          <w:szCs w:val="22"/>
          <w14:ligatures w14:val="none"/>
        </w:rPr>
        <w:t xml:space="preserve"> et al., 2023; </w:t>
      </w:r>
      <w:proofErr w:type="spellStart"/>
      <w:r w:rsidRPr="005B7ABE">
        <w:rPr>
          <w:rFonts w:ascii="Arial" w:hAnsi="Arial" w:cs="Arial"/>
          <w:color w:val="000000" w:themeColor="text1"/>
          <w:kern w:val="0"/>
          <w:sz w:val="22"/>
          <w:szCs w:val="22"/>
          <w14:ligatures w14:val="none"/>
        </w:rPr>
        <w:t>Heald</w:t>
      </w:r>
      <w:proofErr w:type="spellEnd"/>
      <w:r w:rsidRPr="005B7ABE">
        <w:rPr>
          <w:rFonts w:ascii="Arial" w:hAnsi="Arial" w:cs="Arial"/>
          <w:color w:val="000000" w:themeColor="text1"/>
          <w:kern w:val="0"/>
          <w:sz w:val="22"/>
          <w:szCs w:val="22"/>
          <w14:ligatures w14:val="none"/>
        </w:rPr>
        <w:t xml:space="preserve"> et al., 2024). Treatments demonstrate clinical efficacy, yet their population-level effectiveness remains limited (Martins et al., 2020; </w:t>
      </w:r>
      <w:proofErr w:type="spellStart"/>
      <w:r w:rsidRPr="005B7ABE">
        <w:rPr>
          <w:rFonts w:ascii="Arial" w:hAnsi="Arial" w:cs="Arial"/>
          <w:color w:val="000000" w:themeColor="text1"/>
          <w:kern w:val="0"/>
          <w:sz w:val="22"/>
          <w:szCs w:val="22"/>
          <w14:ligatures w14:val="none"/>
        </w:rPr>
        <w:t>Pearson-Stuttard</w:t>
      </w:r>
      <w:proofErr w:type="spellEnd"/>
      <w:r w:rsidRPr="005B7ABE">
        <w:rPr>
          <w:rFonts w:ascii="Arial" w:hAnsi="Arial" w:cs="Arial"/>
          <w:color w:val="000000" w:themeColor="text1"/>
          <w:kern w:val="0"/>
          <w:sz w:val="22"/>
          <w:szCs w:val="22"/>
          <w14:ligatures w14:val="none"/>
        </w:rPr>
        <w:t xml:space="preserve"> et al., 2024). Addressing obesity therefore requires a shift from intervention-focused approaches towards integrated strategies that address structural inequalities, service design, and patient experience simultaneously (NHS Long Term Plan, 2025; </w:t>
      </w:r>
      <w:proofErr w:type="spellStart"/>
      <w:r w:rsidRPr="005B7ABE">
        <w:rPr>
          <w:rFonts w:ascii="Arial" w:hAnsi="Arial" w:cs="Arial"/>
          <w:color w:val="000000" w:themeColor="text1"/>
          <w:kern w:val="0"/>
          <w:sz w:val="22"/>
          <w:szCs w:val="22"/>
          <w14:ligatures w14:val="none"/>
        </w:rPr>
        <w:t>Lulia</w:t>
      </w:r>
      <w:proofErr w:type="spellEnd"/>
      <w:r w:rsidRPr="005B7ABE">
        <w:rPr>
          <w:rFonts w:ascii="Arial" w:hAnsi="Arial" w:cs="Arial"/>
          <w:color w:val="000000" w:themeColor="text1"/>
          <w:kern w:val="0"/>
          <w:sz w:val="22"/>
          <w:szCs w:val="22"/>
          <w14:ligatures w14:val="none"/>
        </w:rPr>
        <w:t xml:space="preserve"> et al., 2023).</w:t>
      </w:r>
    </w:p>
    <w:p w14:paraId="595B86B3" w14:textId="77777777" w:rsidR="004E1830" w:rsidRPr="00A066B0" w:rsidRDefault="004E1830" w:rsidP="0020706C">
      <w:pPr>
        <w:spacing w:before="100" w:beforeAutospacing="1" w:after="100" w:afterAutospacing="1" w:line="360" w:lineRule="auto"/>
        <w:jc w:val="both"/>
        <w:outlineLvl w:val="1"/>
        <w:rPr>
          <w:rFonts w:ascii="Arial" w:eastAsia="Times New Roman" w:hAnsi="Arial" w:cs="Arial"/>
          <w:b/>
          <w:bCs/>
          <w:color w:val="000000" w:themeColor="text1"/>
          <w:kern w:val="0"/>
          <w:sz w:val="22"/>
          <w:szCs w:val="22"/>
          <w14:ligatures w14:val="none"/>
        </w:rPr>
      </w:pPr>
      <w:r w:rsidRPr="00A066B0">
        <w:rPr>
          <w:rFonts w:ascii="Arial" w:eastAsia="Times New Roman" w:hAnsi="Arial" w:cs="Arial"/>
          <w:b/>
          <w:bCs/>
          <w:color w:val="000000" w:themeColor="text1"/>
          <w:kern w:val="0"/>
          <w:sz w:val="22"/>
          <w:szCs w:val="22"/>
          <w14:ligatures w14:val="none"/>
        </w:rPr>
        <w:t>Conclusion and Recommendations</w:t>
      </w:r>
    </w:p>
    <w:p w14:paraId="274B5A1E" w14:textId="77777777" w:rsidR="004E1830" w:rsidRPr="005B7ABE" w:rsidRDefault="004E1830" w:rsidP="0020706C">
      <w:pPr>
        <w:spacing w:before="100" w:beforeAutospacing="1" w:after="100" w:afterAutospacing="1" w:line="360" w:lineRule="auto"/>
        <w:jc w:val="both"/>
        <w:rPr>
          <w:rFonts w:ascii="Arial" w:hAnsi="Arial" w:cs="Arial"/>
          <w:color w:val="000000" w:themeColor="text1"/>
          <w:kern w:val="0"/>
          <w:sz w:val="22"/>
          <w:szCs w:val="22"/>
          <w14:ligatures w14:val="none"/>
        </w:rPr>
      </w:pPr>
    </w:p>
    <w:p w14:paraId="24F6A846" w14:textId="3CE7B988" w:rsidR="004E1830" w:rsidRPr="005B7ABE" w:rsidRDefault="004E1830"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This review demonstrates that obesity management in the UK is constrained less by a lack of available treatments and more by systemic failures in access, delivery, and equity (</w:t>
      </w:r>
      <w:proofErr w:type="spellStart"/>
      <w:r w:rsidRPr="005B7ABE">
        <w:rPr>
          <w:rFonts w:ascii="Arial" w:hAnsi="Arial" w:cs="Arial"/>
          <w:color w:val="000000" w:themeColor="text1"/>
          <w:kern w:val="0"/>
          <w:sz w:val="22"/>
          <w:szCs w:val="22"/>
          <w14:ligatures w14:val="none"/>
        </w:rPr>
        <w:t>Coulman</w:t>
      </w:r>
      <w:proofErr w:type="spellEnd"/>
      <w:r w:rsidRPr="005B7ABE">
        <w:rPr>
          <w:rFonts w:ascii="Arial" w:hAnsi="Arial" w:cs="Arial"/>
          <w:color w:val="000000" w:themeColor="text1"/>
          <w:kern w:val="0"/>
          <w:sz w:val="22"/>
          <w:szCs w:val="22"/>
          <w14:ligatures w14:val="none"/>
        </w:rPr>
        <w:t xml:space="preserve"> et al., 2023; </w:t>
      </w:r>
      <w:proofErr w:type="spellStart"/>
      <w:r w:rsidRPr="005B7ABE">
        <w:rPr>
          <w:rFonts w:ascii="Arial" w:hAnsi="Arial" w:cs="Arial"/>
          <w:color w:val="000000" w:themeColor="text1"/>
          <w:kern w:val="0"/>
          <w:sz w:val="22"/>
          <w:szCs w:val="22"/>
          <w14:ligatures w14:val="none"/>
        </w:rPr>
        <w:t>Parretti</w:t>
      </w:r>
      <w:proofErr w:type="spellEnd"/>
      <w:r w:rsidRPr="005B7ABE">
        <w:rPr>
          <w:rFonts w:ascii="Arial" w:hAnsi="Arial" w:cs="Arial"/>
          <w:color w:val="000000" w:themeColor="text1"/>
          <w:kern w:val="0"/>
          <w:sz w:val="22"/>
          <w:szCs w:val="22"/>
          <w14:ligatures w14:val="none"/>
        </w:rPr>
        <w:t xml:space="preserve"> et al., 2026). While interventions can produce short-term weight loss (Martins et al., 2020), they do not consistently alter long-term disease trajectories, as obesity-related complications continue to increase over time (</w:t>
      </w:r>
      <w:proofErr w:type="spellStart"/>
      <w:r w:rsidRPr="005B7ABE">
        <w:rPr>
          <w:rFonts w:ascii="Arial" w:hAnsi="Arial" w:cs="Arial"/>
          <w:color w:val="000000" w:themeColor="text1"/>
          <w:kern w:val="0"/>
          <w:sz w:val="22"/>
          <w:szCs w:val="22"/>
          <w14:ligatures w14:val="none"/>
        </w:rPr>
        <w:t>Haase</w:t>
      </w:r>
      <w:proofErr w:type="spellEnd"/>
      <w:r w:rsidRPr="005B7ABE">
        <w:rPr>
          <w:rFonts w:ascii="Arial" w:hAnsi="Arial" w:cs="Arial"/>
          <w:color w:val="000000" w:themeColor="text1"/>
          <w:kern w:val="0"/>
          <w:sz w:val="22"/>
          <w:szCs w:val="22"/>
          <w14:ligatures w14:val="none"/>
        </w:rPr>
        <w:t xml:space="preserve"> et al., 2021; </w:t>
      </w:r>
      <w:proofErr w:type="spellStart"/>
      <w:r w:rsidRPr="005B7ABE">
        <w:rPr>
          <w:rFonts w:ascii="Arial" w:hAnsi="Arial" w:cs="Arial"/>
          <w:color w:val="000000" w:themeColor="text1"/>
          <w:kern w:val="0"/>
          <w:sz w:val="22"/>
          <w:szCs w:val="22"/>
          <w14:ligatures w14:val="none"/>
        </w:rPr>
        <w:t>Pearson-Stuttard</w:t>
      </w:r>
      <w:proofErr w:type="spellEnd"/>
      <w:r w:rsidRPr="005B7ABE">
        <w:rPr>
          <w:rFonts w:ascii="Arial" w:hAnsi="Arial" w:cs="Arial"/>
          <w:color w:val="000000" w:themeColor="text1"/>
          <w:kern w:val="0"/>
          <w:sz w:val="22"/>
          <w:szCs w:val="22"/>
          <w14:ligatures w14:val="none"/>
        </w:rPr>
        <w:t xml:space="preserve"> et al., 2024). This indicates that current approaches are clinically effective in isolation but insufficient at a population level.</w:t>
      </w:r>
    </w:p>
    <w:p w14:paraId="5EE06640" w14:textId="20C56263" w:rsidR="004E1830" w:rsidRPr="005B7ABE" w:rsidRDefault="004E1830"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Access to care represents a central limitation. Under-recognition in primary care, low referral rates, and regional variation demonstrate that eligibility does not translate into treatment (</w:t>
      </w:r>
      <w:proofErr w:type="spellStart"/>
      <w:r w:rsidRPr="005B7ABE">
        <w:rPr>
          <w:rFonts w:ascii="Arial" w:hAnsi="Arial" w:cs="Arial"/>
          <w:color w:val="000000" w:themeColor="text1"/>
          <w:kern w:val="0"/>
          <w:sz w:val="22"/>
          <w:szCs w:val="22"/>
          <w14:ligatures w14:val="none"/>
        </w:rPr>
        <w:t>Coulman</w:t>
      </w:r>
      <w:proofErr w:type="spellEnd"/>
      <w:r w:rsidRPr="005B7ABE">
        <w:rPr>
          <w:rFonts w:ascii="Arial" w:hAnsi="Arial" w:cs="Arial"/>
          <w:color w:val="000000" w:themeColor="text1"/>
          <w:kern w:val="0"/>
          <w:sz w:val="22"/>
          <w:szCs w:val="22"/>
          <w14:ligatures w14:val="none"/>
        </w:rPr>
        <w:t xml:space="preserve"> et al., 2023; McLaughlin et al., 2017). Consequently, obesity care operates within a </w:t>
      </w:r>
      <w:r w:rsidRPr="005B7ABE">
        <w:rPr>
          <w:rFonts w:ascii="Arial" w:hAnsi="Arial" w:cs="Arial"/>
          <w:color w:val="000000" w:themeColor="text1"/>
          <w:kern w:val="0"/>
          <w:sz w:val="22"/>
          <w:szCs w:val="22"/>
          <w14:ligatures w14:val="none"/>
        </w:rPr>
        <w:lastRenderedPageBreak/>
        <w:t>fragmented and inequitable system that contradicts national policy expectations (NICE, 2026; NHS Long Term Plan, 2025). These limitations are further reinforced by socioeconomic inequalities, with deprivation, food insecurity, and environmental factors shaping both obesity risk and access to care (</w:t>
      </w:r>
      <w:proofErr w:type="spellStart"/>
      <w:r w:rsidRPr="005B7ABE">
        <w:rPr>
          <w:rFonts w:ascii="Arial" w:hAnsi="Arial" w:cs="Arial"/>
          <w:color w:val="000000" w:themeColor="text1"/>
          <w:kern w:val="0"/>
          <w:sz w:val="22"/>
          <w:szCs w:val="22"/>
          <w14:ligatures w14:val="none"/>
        </w:rPr>
        <w:t>Heald</w:t>
      </w:r>
      <w:proofErr w:type="spellEnd"/>
      <w:r w:rsidRPr="005B7ABE">
        <w:rPr>
          <w:rFonts w:ascii="Arial" w:hAnsi="Arial" w:cs="Arial"/>
          <w:color w:val="000000" w:themeColor="text1"/>
          <w:kern w:val="0"/>
          <w:sz w:val="22"/>
          <w:szCs w:val="22"/>
          <w14:ligatures w14:val="none"/>
        </w:rPr>
        <w:t xml:space="preserve"> et al., 2024; Briggs et al., 2024; The Health Foundation, 2025). This challenges individualised models of obesity and highlights the inadequacy of behaviour-focused interventions alone.</w:t>
      </w:r>
    </w:p>
    <w:p w14:paraId="0A89C662" w14:textId="4F5C2A7C" w:rsidR="004E1830" w:rsidRPr="005B7ABE" w:rsidRDefault="004E1830"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Policy frameworks promote whole-system approaches; however, implementation remains disproportionately focused on lower-intensity interventions, with insufficient provision of specialist care (Kelly et al., 2026). As a result, policy ambition is not matched by service delivery.</w:t>
      </w:r>
    </w:p>
    <w:p w14:paraId="3EA74010" w14:textId="1DD6AB92" w:rsidR="004E1830" w:rsidRPr="005B7ABE" w:rsidRDefault="004E1830"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 xml:space="preserve">To address these issues, obesity management requires structural reform rather than incremental intervention. Primary care pathways must be strengthened to improve identification and referral (McLaughlin et al., 2017; </w:t>
      </w:r>
      <w:proofErr w:type="spellStart"/>
      <w:r w:rsidRPr="005B7ABE">
        <w:rPr>
          <w:rFonts w:ascii="Arial" w:hAnsi="Arial" w:cs="Arial"/>
          <w:color w:val="000000" w:themeColor="text1"/>
          <w:kern w:val="0"/>
          <w:sz w:val="22"/>
          <w:szCs w:val="22"/>
          <w14:ligatures w14:val="none"/>
        </w:rPr>
        <w:t>Parretti</w:t>
      </w:r>
      <w:proofErr w:type="spellEnd"/>
      <w:r w:rsidRPr="005B7ABE">
        <w:rPr>
          <w:rFonts w:ascii="Arial" w:hAnsi="Arial" w:cs="Arial"/>
          <w:color w:val="000000" w:themeColor="text1"/>
          <w:kern w:val="0"/>
          <w:sz w:val="22"/>
          <w:szCs w:val="22"/>
          <w14:ligatures w14:val="none"/>
        </w:rPr>
        <w:t xml:space="preserve"> et al., 2026), alongside expansion of accessible specialist services (BOMSS, 2024; NICE, 2026). Greater emphasis is needed on addressing socioeconomic determinants, including deprivation and food insecurity, to reduce persistent inequalities (Briggs et al., 2024; The Health Foundation, 2025). Furthermore, digital and pharmacological innovations should be integrated cautiously to avoid reinforcing existing disparities (UK Parliament, 2025).</w:t>
      </w:r>
    </w:p>
    <w:p w14:paraId="31518652" w14:textId="77777777" w:rsidR="004E1830" w:rsidRPr="005B7ABE" w:rsidRDefault="004E1830"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Future research should prioritise longitudinal and implementation-focused approaches, with greater attention to under-served and high-risk populations, particularly younger adults (</w:t>
      </w:r>
      <w:proofErr w:type="spellStart"/>
      <w:r w:rsidRPr="005B7ABE">
        <w:rPr>
          <w:rFonts w:ascii="Arial" w:hAnsi="Arial" w:cs="Arial"/>
          <w:color w:val="000000" w:themeColor="text1"/>
          <w:kern w:val="0"/>
          <w:sz w:val="22"/>
          <w:szCs w:val="22"/>
          <w14:ligatures w14:val="none"/>
        </w:rPr>
        <w:t>Katsoulis</w:t>
      </w:r>
      <w:proofErr w:type="spellEnd"/>
      <w:r w:rsidRPr="005B7ABE">
        <w:rPr>
          <w:rFonts w:ascii="Arial" w:hAnsi="Arial" w:cs="Arial"/>
          <w:color w:val="000000" w:themeColor="text1"/>
          <w:kern w:val="0"/>
          <w:sz w:val="22"/>
          <w:szCs w:val="22"/>
          <w14:ligatures w14:val="none"/>
        </w:rPr>
        <w:t xml:space="preserve"> et al., 2021). Without such shifts, obesity interventions are unlikely to achieve sustained or equitable impact.</w:t>
      </w:r>
    </w:p>
    <w:p w14:paraId="1123E244" w14:textId="77777777" w:rsidR="004E1830" w:rsidRPr="005B7ABE" w:rsidRDefault="004E1830"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Overall, effective obesity management in the UK requires a transition from intervention-focused strategies to system-level change addressing access, inequality, and service design simultaneously.</w:t>
      </w:r>
    </w:p>
    <w:p w14:paraId="30523065" w14:textId="57BDEDF3" w:rsidR="00E355F6" w:rsidRPr="005B7ABE" w:rsidRDefault="00E355F6" w:rsidP="0020706C">
      <w:pPr>
        <w:spacing w:line="360" w:lineRule="auto"/>
        <w:jc w:val="both"/>
        <w:rPr>
          <w:rFonts w:ascii="Arial" w:hAnsi="Arial" w:cs="Arial"/>
          <w:color w:val="000000" w:themeColor="text1"/>
          <w:sz w:val="22"/>
          <w:szCs w:val="22"/>
        </w:rPr>
      </w:pPr>
    </w:p>
    <w:p w14:paraId="66E9EC89" w14:textId="2A9909E0" w:rsidR="004E1830" w:rsidRPr="00A066B0" w:rsidRDefault="00B8461A" w:rsidP="0020706C">
      <w:pPr>
        <w:spacing w:line="360" w:lineRule="auto"/>
        <w:jc w:val="both"/>
        <w:rPr>
          <w:rFonts w:ascii="Arial" w:hAnsi="Arial" w:cs="Arial"/>
          <w:b/>
          <w:bCs/>
          <w:color w:val="000000" w:themeColor="text1"/>
          <w:sz w:val="22"/>
          <w:szCs w:val="22"/>
        </w:rPr>
      </w:pPr>
      <w:r w:rsidRPr="00A066B0">
        <w:rPr>
          <w:rFonts w:ascii="Arial" w:hAnsi="Arial" w:cs="Arial"/>
          <w:b/>
          <w:bCs/>
          <w:color w:val="000000" w:themeColor="text1"/>
          <w:sz w:val="22"/>
          <w:szCs w:val="22"/>
        </w:rPr>
        <w:t>References</w:t>
      </w:r>
    </w:p>
    <w:p w14:paraId="029B826E" w14:textId="77777777" w:rsidR="00B8461A" w:rsidRPr="005B7ABE" w:rsidRDefault="00B8461A" w:rsidP="0020706C">
      <w:pPr>
        <w:spacing w:line="360" w:lineRule="auto"/>
        <w:jc w:val="both"/>
        <w:rPr>
          <w:rFonts w:ascii="Arial" w:hAnsi="Arial" w:cs="Arial"/>
          <w:color w:val="000000" w:themeColor="text1"/>
          <w:sz w:val="22"/>
          <w:szCs w:val="22"/>
        </w:rPr>
      </w:pPr>
    </w:p>
    <w:p w14:paraId="2A9950E9"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 xml:space="preserve">Office for Health Improvement and Disparities (2024) </w:t>
      </w:r>
      <w:r w:rsidRPr="00A066B0">
        <w:rPr>
          <w:rFonts w:ascii="Arial" w:hAnsi="Arial" w:cs="Arial"/>
          <w:i/>
          <w:iCs/>
          <w:color w:val="000000" w:themeColor="text1"/>
          <w:sz w:val="22"/>
          <w:szCs w:val="22"/>
        </w:rPr>
        <w:t>Obesity profile: short statistical commentary.</w:t>
      </w:r>
      <w:r w:rsidRPr="005B7ABE">
        <w:rPr>
          <w:rFonts w:ascii="Arial" w:hAnsi="Arial" w:cs="Arial"/>
          <w:color w:val="000000" w:themeColor="text1"/>
          <w:sz w:val="22"/>
          <w:szCs w:val="22"/>
        </w:rPr>
        <w:t xml:space="preserve"> Available at: https://www.gov.uk/government/statistics/update-to-the-obesity-profile-on-fingertips/obesity-profile-short-statistical-commentary-may-2024 (Accessed: 29 March 2026).</w:t>
      </w:r>
    </w:p>
    <w:p w14:paraId="56C1BD1B" w14:textId="77777777" w:rsidR="008B2645" w:rsidRPr="005B7ABE" w:rsidRDefault="008B2645" w:rsidP="0020706C">
      <w:pPr>
        <w:spacing w:line="360" w:lineRule="auto"/>
        <w:jc w:val="both"/>
        <w:rPr>
          <w:rFonts w:ascii="Arial" w:hAnsi="Arial" w:cs="Arial"/>
          <w:color w:val="000000" w:themeColor="text1"/>
          <w:sz w:val="22"/>
          <w:szCs w:val="22"/>
        </w:rPr>
      </w:pPr>
    </w:p>
    <w:p w14:paraId="61809311"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 xml:space="preserve">Ahmed, S.K. and Mohammed, R.A. (2025) ‘Obesity: prevalence, causes, consequences, management, preventive strategies and future research directions’, </w:t>
      </w:r>
      <w:r w:rsidRPr="00A066B0">
        <w:rPr>
          <w:rFonts w:ascii="Arial" w:hAnsi="Arial" w:cs="Arial"/>
          <w:i/>
          <w:iCs/>
          <w:color w:val="000000" w:themeColor="text1"/>
          <w:sz w:val="22"/>
          <w:szCs w:val="22"/>
        </w:rPr>
        <w:t>Metabolism Open</w:t>
      </w:r>
      <w:r w:rsidRPr="005B7ABE">
        <w:rPr>
          <w:rFonts w:ascii="Arial" w:hAnsi="Arial" w:cs="Arial"/>
          <w:color w:val="000000" w:themeColor="text1"/>
          <w:sz w:val="22"/>
          <w:szCs w:val="22"/>
        </w:rPr>
        <w:t xml:space="preserve">, 27. Available at: </w:t>
      </w:r>
      <w:proofErr w:type="spellStart"/>
      <w:r w:rsidRPr="005B7ABE">
        <w:rPr>
          <w:rFonts w:ascii="Arial" w:hAnsi="Arial" w:cs="Arial"/>
          <w:color w:val="000000" w:themeColor="text1"/>
          <w:sz w:val="22"/>
          <w:szCs w:val="22"/>
        </w:rPr>
        <w:t>doi:10.1016</w:t>
      </w:r>
      <w:proofErr w:type="spellEnd"/>
      <w:r w:rsidRPr="005B7ABE">
        <w:rPr>
          <w:rFonts w:ascii="Arial" w:hAnsi="Arial" w:cs="Arial"/>
          <w:color w:val="000000" w:themeColor="text1"/>
          <w:sz w:val="22"/>
          <w:szCs w:val="22"/>
        </w:rPr>
        <w:t>/</w:t>
      </w:r>
      <w:proofErr w:type="spellStart"/>
      <w:r w:rsidRPr="005B7ABE">
        <w:rPr>
          <w:rFonts w:ascii="Arial" w:hAnsi="Arial" w:cs="Arial"/>
          <w:color w:val="000000" w:themeColor="text1"/>
          <w:sz w:val="22"/>
          <w:szCs w:val="22"/>
        </w:rPr>
        <w:t>j.metop.2025.100375</w:t>
      </w:r>
      <w:proofErr w:type="spellEnd"/>
      <w:r w:rsidRPr="005B7ABE">
        <w:rPr>
          <w:rFonts w:ascii="Arial" w:hAnsi="Arial" w:cs="Arial"/>
          <w:color w:val="000000" w:themeColor="text1"/>
          <w:sz w:val="22"/>
          <w:szCs w:val="22"/>
        </w:rPr>
        <w:t>.</w:t>
      </w:r>
    </w:p>
    <w:p w14:paraId="1C96E059" w14:textId="77777777" w:rsidR="008B2645" w:rsidRPr="005B7ABE" w:rsidRDefault="008B2645" w:rsidP="0020706C">
      <w:pPr>
        <w:spacing w:line="360" w:lineRule="auto"/>
        <w:jc w:val="both"/>
        <w:rPr>
          <w:rFonts w:ascii="Arial" w:hAnsi="Arial" w:cs="Arial"/>
          <w:color w:val="000000" w:themeColor="text1"/>
          <w:sz w:val="22"/>
          <w:szCs w:val="22"/>
        </w:rPr>
      </w:pPr>
    </w:p>
    <w:p w14:paraId="632982C2"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 xml:space="preserve">National Health Service (2023) </w:t>
      </w:r>
      <w:r w:rsidRPr="00E03211">
        <w:rPr>
          <w:rFonts w:ascii="Arial" w:hAnsi="Arial" w:cs="Arial"/>
          <w:i/>
          <w:iCs/>
          <w:color w:val="000000" w:themeColor="text1"/>
          <w:sz w:val="22"/>
          <w:szCs w:val="22"/>
        </w:rPr>
        <w:t>Obesity.</w:t>
      </w:r>
      <w:r w:rsidRPr="005B7ABE">
        <w:rPr>
          <w:rFonts w:ascii="Arial" w:hAnsi="Arial" w:cs="Arial"/>
          <w:color w:val="000000" w:themeColor="text1"/>
          <w:sz w:val="22"/>
          <w:szCs w:val="22"/>
        </w:rPr>
        <w:t xml:space="preserve"> Available at: https://www.nhs.uk/conditions/obesity/ (Accessed: 29 March 2026).</w:t>
      </w:r>
    </w:p>
    <w:p w14:paraId="4A8A30CE" w14:textId="77777777" w:rsidR="008B2645" w:rsidRPr="005B7ABE" w:rsidRDefault="008B2645" w:rsidP="0020706C">
      <w:pPr>
        <w:spacing w:line="360" w:lineRule="auto"/>
        <w:jc w:val="both"/>
        <w:rPr>
          <w:rFonts w:ascii="Arial" w:hAnsi="Arial" w:cs="Arial"/>
          <w:color w:val="000000" w:themeColor="text1"/>
          <w:sz w:val="22"/>
          <w:szCs w:val="22"/>
        </w:rPr>
      </w:pPr>
    </w:p>
    <w:p w14:paraId="327F30FE" w14:textId="77777777" w:rsidR="008B2645" w:rsidRPr="005B7ABE" w:rsidRDefault="008B2645" w:rsidP="0020706C">
      <w:pPr>
        <w:spacing w:line="360" w:lineRule="auto"/>
        <w:jc w:val="both"/>
        <w:rPr>
          <w:rFonts w:ascii="Arial" w:hAnsi="Arial" w:cs="Arial"/>
          <w:color w:val="000000" w:themeColor="text1"/>
          <w:sz w:val="22"/>
          <w:szCs w:val="22"/>
        </w:rPr>
      </w:pPr>
      <w:proofErr w:type="spellStart"/>
      <w:r w:rsidRPr="005B7ABE">
        <w:rPr>
          <w:rFonts w:ascii="Arial" w:hAnsi="Arial" w:cs="Arial"/>
          <w:color w:val="000000" w:themeColor="text1"/>
          <w:sz w:val="22"/>
          <w:szCs w:val="22"/>
        </w:rPr>
        <w:t>Haase</w:t>
      </w:r>
      <w:proofErr w:type="spellEnd"/>
      <w:r w:rsidRPr="005B7ABE">
        <w:rPr>
          <w:rFonts w:ascii="Arial" w:hAnsi="Arial" w:cs="Arial"/>
          <w:color w:val="000000" w:themeColor="text1"/>
          <w:sz w:val="22"/>
          <w:szCs w:val="22"/>
        </w:rPr>
        <w:t xml:space="preserve">, C.L., </w:t>
      </w:r>
      <w:proofErr w:type="spellStart"/>
      <w:r w:rsidRPr="005B7ABE">
        <w:rPr>
          <w:rFonts w:ascii="Arial" w:hAnsi="Arial" w:cs="Arial"/>
          <w:color w:val="000000" w:themeColor="text1"/>
          <w:sz w:val="22"/>
          <w:szCs w:val="22"/>
        </w:rPr>
        <w:t>Eriksen</w:t>
      </w:r>
      <w:proofErr w:type="spellEnd"/>
      <w:r w:rsidRPr="005B7ABE">
        <w:rPr>
          <w:rFonts w:ascii="Arial" w:hAnsi="Arial" w:cs="Arial"/>
          <w:color w:val="000000" w:themeColor="text1"/>
          <w:sz w:val="22"/>
          <w:szCs w:val="22"/>
        </w:rPr>
        <w:t xml:space="preserve">, K.T., Lopes, S., </w:t>
      </w:r>
      <w:proofErr w:type="spellStart"/>
      <w:r w:rsidRPr="005B7ABE">
        <w:rPr>
          <w:rFonts w:ascii="Arial" w:hAnsi="Arial" w:cs="Arial"/>
          <w:color w:val="000000" w:themeColor="text1"/>
          <w:sz w:val="22"/>
          <w:szCs w:val="22"/>
        </w:rPr>
        <w:t>Satylganova</w:t>
      </w:r>
      <w:proofErr w:type="spellEnd"/>
      <w:r w:rsidRPr="005B7ABE">
        <w:rPr>
          <w:rFonts w:ascii="Arial" w:hAnsi="Arial" w:cs="Arial"/>
          <w:color w:val="000000" w:themeColor="text1"/>
          <w:sz w:val="22"/>
          <w:szCs w:val="22"/>
        </w:rPr>
        <w:t xml:space="preserve">, A., </w:t>
      </w:r>
      <w:proofErr w:type="spellStart"/>
      <w:r w:rsidRPr="005B7ABE">
        <w:rPr>
          <w:rFonts w:ascii="Arial" w:hAnsi="Arial" w:cs="Arial"/>
          <w:color w:val="000000" w:themeColor="text1"/>
          <w:sz w:val="22"/>
          <w:szCs w:val="22"/>
        </w:rPr>
        <w:t>Schnecke</w:t>
      </w:r>
      <w:proofErr w:type="spellEnd"/>
      <w:r w:rsidRPr="005B7ABE">
        <w:rPr>
          <w:rFonts w:ascii="Arial" w:hAnsi="Arial" w:cs="Arial"/>
          <w:color w:val="000000" w:themeColor="text1"/>
          <w:sz w:val="22"/>
          <w:szCs w:val="22"/>
        </w:rPr>
        <w:t xml:space="preserve">, V. and McEwan, P. (2021) Body mass index and risk of obesity-related conditions in a cohort of 2.9 million people: evidence from the UK Clinical Practice Research Datalink, </w:t>
      </w:r>
      <w:r w:rsidRPr="00E03211">
        <w:rPr>
          <w:rFonts w:ascii="Arial" w:hAnsi="Arial" w:cs="Arial"/>
          <w:i/>
          <w:iCs/>
          <w:color w:val="000000" w:themeColor="text1"/>
          <w:sz w:val="22"/>
          <w:szCs w:val="22"/>
        </w:rPr>
        <w:t>Obesity Science &amp; Practice</w:t>
      </w:r>
      <w:r w:rsidRPr="005B7ABE">
        <w:rPr>
          <w:rFonts w:ascii="Arial" w:hAnsi="Arial" w:cs="Arial"/>
          <w:color w:val="000000" w:themeColor="text1"/>
          <w:sz w:val="22"/>
          <w:szCs w:val="22"/>
        </w:rPr>
        <w:t xml:space="preserve">, 7(2), pp. 137–147. Available at: </w:t>
      </w:r>
      <w:proofErr w:type="spellStart"/>
      <w:r w:rsidRPr="005B7ABE">
        <w:rPr>
          <w:rFonts w:ascii="Arial" w:hAnsi="Arial" w:cs="Arial"/>
          <w:color w:val="000000" w:themeColor="text1"/>
          <w:sz w:val="22"/>
          <w:szCs w:val="22"/>
        </w:rPr>
        <w:t>doi</w:t>
      </w:r>
      <w:proofErr w:type="spellEnd"/>
      <w:r w:rsidRPr="005B7ABE">
        <w:rPr>
          <w:rFonts w:ascii="Arial" w:hAnsi="Arial" w:cs="Arial"/>
          <w:color w:val="000000" w:themeColor="text1"/>
          <w:sz w:val="22"/>
          <w:szCs w:val="22"/>
        </w:rPr>
        <w:t>: 10.1002/</w:t>
      </w:r>
      <w:proofErr w:type="spellStart"/>
      <w:r w:rsidRPr="005B7ABE">
        <w:rPr>
          <w:rFonts w:ascii="Arial" w:hAnsi="Arial" w:cs="Arial"/>
          <w:color w:val="000000" w:themeColor="text1"/>
          <w:sz w:val="22"/>
          <w:szCs w:val="22"/>
        </w:rPr>
        <w:t>osp4.474</w:t>
      </w:r>
      <w:proofErr w:type="spellEnd"/>
    </w:p>
    <w:p w14:paraId="5487582A" w14:textId="77777777" w:rsidR="008B2645" w:rsidRPr="005B7ABE" w:rsidRDefault="008B2645" w:rsidP="0020706C">
      <w:pPr>
        <w:spacing w:line="360" w:lineRule="auto"/>
        <w:jc w:val="both"/>
        <w:rPr>
          <w:rFonts w:ascii="Arial" w:hAnsi="Arial" w:cs="Arial"/>
          <w:color w:val="000000" w:themeColor="text1"/>
          <w:sz w:val="22"/>
          <w:szCs w:val="22"/>
        </w:rPr>
      </w:pPr>
    </w:p>
    <w:p w14:paraId="674E1F91" w14:textId="77777777" w:rsidR="008B2645" w:rsidRPr="005B7ABE" w:rsidRDefault="008B2645" w:rsidP="0020706C">
      <w:pPr>
        <w:spacing w:line="360" w:lineRule="auto"/>
        <w:jc w:val="both"/>
        <w:rPr>
          <w:rFonts w:ascii="Arial" w:hAnsi="Arial" w:cs="Arial"/>
          <w:color w:val="000000" w:themeColor="text1"/>
          <w:sz w:val="22"/>
          <w:szCs w:val="22"/>
        </w:rPr>
      </w:pPr>
      <w:proofErr w:type="spellStart"/>
      <w:r w:rsidRPr="005B7ABE">
        <w:rPr>
          <w:rFonts w:ascii="Arial" w:hAnsi="Arial" w:cs="Arial"/>
          <w:color w:val="000000" w:themeColor="text1"/>
          <w:sz w:val="22"/>
          <w:szCs w:val="22"/>
        </w:rPr>
        <w:t>Lulia</w:t>
      </w:r>
      <w:proofErr w:type="spellEnd"/>
      <w:r w:rsidRPr="005B7ABE">
        <w:rPr>
          <w:rFonts w:ascii="Arial" w:hAnsi="Arial" w:cs="Arial"/>
          <w:color w:val="000000" w:themeColor="text1"/>
          <w:sz w:val="22"/>
          <w:szCs w:val="22"/>
        </w:rPr>
        <w:t xml:space="preserve">, M., </w:t>
      </w:r>
      <w:proofErr w:type="spellStart"/>
      <w:r w:rsidRPr="005B7ABE">
        <w:rPr>
          <w:rFonts w:ascii="Arial" w:hAnsi="Arial" w:cs="Arial"/>
          <w:color w:val="000000" w:themeColor="text1"/>
          <w:sz w:val="22"/>
          <w:szCs w:val="22"/>
        </w:rPr>
        <w:t>Yeob</w:t>
      </w:r>
      <w:proofErr w:type="spellEnd"/>
      <w:r w:rsidRPr="005B7ABE">
        <w:rPr>
          <w:rFonts w:ascii="Arial" w:hAnsi="Arial" w:cs="Arial"/>
          <w:color w:val="000000" w:themeColor="text1"/>
          <w:sz w:val="22"/>
          <w:szCs w:val="22"/>
        </w:rPr>
        <w:t xml:space="preserve">, G., Farrell, E., Ogden, J., </w:t>
      </w:r>
      <w:proofErr w:type="spellStart"/>
      <w:r w:rsidRPr="005B7ABE">
        <w:rPr>
          <w:rFonts w:ascii="Arial" w:hAnsi="Arial" w:cs="Arial"/>
          <w:color w:val="000000" w:themeColor="text1"/>
          <w:sz w:val="22"/>
          <w:szCs w:val="22"/>
        </w:rPr>
        <w:t>Parrettie</w:t>
      </w:r>
      <w:proofErr w:type="spellEnd"/>
      <w:r w:rsidRPr="005B7ABE">
        <w:rPr>
          <w:rFonts w:ascii="Arial" w:hAnsi="Arial" w:cs="Arial"/>
          <w:color w:val="000000" w:themeColor="text1"/>
          <w:sz w:val="22"/>
          <w:szCs w:val="22"/>
        </w:rPr>
        <w:t xml:space="preserve">, H., </w:t>
      </w:r>
      <w:proofErr w:type="spellStart"/>
      <w:r w:rsidRPr="005B7ABE">
        <w:rPr>
          <w:rFonts w:ascii="Arial" w:hAnsi="Arial" w:cs="Arial"/>
          <w:color w:val="000000" w:themeColor="text1"/>
          <w:sz w:val="22"/>
          <w:szCs w:val="22"/>
        </w:rPr>
        <w:t>Frewf</w:t>
      </w:r>
      <w:proofErr w:type="spellEnd"/>
      <w:r w:rsidRPr="005B7ABE">
        <w:rPr>
          <w:rFonts w:ascii="Arial" w:hAnsi="Arial" w:cs="Arial"/>
          <w:color w:val="000000" w:themeColor="text1"/>
          <w:sz w:val="22"/>
          <w:szCs w:val="22"/>
        </w:rPr>
        <w:t xml:space="preserve">, E., </w:t>
      </w:r>
      <w:proofErr w:type="spellStart"/>
      <w:r w:rsidRPr="005B7ABE">
        <w:rPr>
          <w:rFonts w:ascii="Arial" w:hAnsi="Arial" w:cs="Arial"/>
          <w:color w:val="000000" w:themeColor="text1"/>
          <w:sz w:val="22"/>
          <w:szCs w:val="22"/>
        </w:rPr>
        <w:t>Bevang</w:t>
      </w:r>
      <w:proofErr w:type="spellEnd"/>
      <w:r w:rsidRPr="005B7ABE">
        <w:rPr>
          <w:rFonts w:ascii="Arial" w:hAnsi="Arial" w:cs="Arial"/>
          <w:color w:val="000000" w:themeColor="text1"/>
          <w:sz w:val="22"/>
          <w:szCs w:val="22"/>
        </w:rPr>
        <w:t xml:space="preserve">, S., </w:t>
      </w:r>
      <w:proofErr w:type="spellStart"/>
      <w:r w:rsidRPr="005B7ABE">
        <w:rPr>
          <w:rFonts w:ascii="Arial" w:hAnsi="Arial" w:cs="Arial"/>
          <w:color w:val="000000" w:themeColor="text1"/>
          <w:sz w:val="22"/>
          <w:szCs w:val="22"/>
        </w:rPr>
        <w:t>Brownh</w:t>
      </w:r>
      <w:proofErr w:type="spellEnd"/>
      <w:r w:rsidRPr="005B7ABE">
        <w:rPr>
          <w:rFonts w:ascii="Arial" w:hAnsi="Arial" w:cs="Arial"/>
          <w:color w:val="000000" w:themeColor="text1"/>
          <w:sz w:val="22"/>
          <w:szCs w:val="22"/>
        </w:rPr>
        <w:t xml:space="preserve">, A., </w:t>
      </w:r>
      <w:proofErr w:type="spellStart"/>
      <w:r w:rsidRPr="005B7ABE">
        <w:rPr>
          <w:rFonts w:ascii="Arial" w:hAnsi="Arial" w:cs="Arial"/>
          <w:color w:val="000000" w:themeColor="text1"/>
          <w:sz w:val="22"/>
          <w:szCs w:val="22"/>
        </w:rPr>
        <w:t>Loguei</w:t>
      </w:r>
      <w:proofErr w:type="spellEnd"/>
      <w:r w:rsidRPr="005B7ABE">
        <w:rPr>
          <w:rFonts w:ascii="Arial" w:hAnsi="Arial" w:cs="Arial"/>
          <w:color w:val="000000" w:themeColor="text1"/>
          <w:sz w:val="22"/>
          <w:szCs w:val="22"/>
        </w:rPr>
        <w:t xml:space="preserve">, J., </w:t>
      </w:r>
      <w:proofErr w:type="spellStart"/>
      <w:r w:rsidRPr="005B7ABE">
        <w:rPr>
          <w:rFonts w:ascii="Arial" w:hAnsi="Arial" w:cs="Arial"/>
          <w:color w:val="000000" w:themeColor="text1"/>
          <w:sz w:val="22"/>
          <w:szCs w:val="22"/>
        </w:rPr>
        <w:t>Menonj</w:t>
      </w:r>
      <w:proofErr w:type="spellEnd"/>
      <w:r w:rsidRPr="005B7ABE">
        <w:rPr>
          <w:rFonts w:ascii="Arial" w:hAnsi="Arial" w:cs="Arial"/>
          <w:color w:val="000000" w:themeColor="text1"/>
          <w:sz w:val="22"/>
          <w:szCs w:val="22"/>
        </w:rPr>
        <w:t xml:space="preserve">, V., </w:t>
      </w:r>
      <w:proofErr w:type="spellStart"/>
      <w:r w:rsidRPr="005B7ABE">
        <w:rPr>
          <w:rFonts w:ascii="Arial" w:hAnsi="Arial" w:cs="Arial"/>
          <w:color w:val="000000" w:themeColor="text1"/>
          <w:sz w:val="22"/>
          <w:szCs w:val="22"/>
        </w:rPr>
        <w:t>Isackk</w:t>
      </w:r>
      <w:proofErr w:type="spellEnd"/>
      <w:r w:rsidRPr="005B7ABE">
        <w:rPr>
          <w:rFonts w:ascii="Arial" w:hAnsi="Arial" w:cs="Arial"/>
          <w:color w:val="000000" w:themeColor="text1"/>
          <w:sz w:val="22"/>
          <w:szCs w:val="22"/>
        </w:rPr>
        <w:t xml:space="preserve">, N., </w:t>
      </w:r>
      <w:proofErr w:type="spellStart"/>
      <w:r w:rsidRPr="005B7ABE">
        <w:rPr>
          <w:rFonts w:ascii="Arial" w:hAnsi="Arial" w:cs="Arial"/>
          <w:color w:val="000000" w:themeColor="text1"/>
          <w:sz w:val="22"/>
          <w:szCs w:val="22"/>
        </w:rPr>
        <w:t>Leanl</w:t>
      </w:r>
      <w:proofErr w:type="spellEnd"/>
      <w:r w:rsidRPr="005B7ABE">
        <w:rPr>
          <w:rFonts w:ascii="Arial" w:hAnsi="Arial" w:cs="Arial"/>
          <w:color w:val="000000" w:themeColor="text1"/>
          <w:sz w:val="22"/>
          <w:szCs w:val="22"/>
        </w:rPr>
        <w:t xml:space="preserve">, M., </w:t>
      </w:r>
      <w:proofErr w:type="spellStart"/>
      <w:r w:rsidRPr="005B7ABE">
        <w:rPr>
          <w:rFonts w:ascii="Arial" w:hAnsi="Arial" w:cs="Arial"/>
          <w:color w:val="000000" w:themeColor="text1"/>
          <w:sz w:val="22"/>
          <w:szCs w:val="22"/>
        </w:rPr>
        <w:t>McEwanm</w:t>
      </w:r>
      <w:proofErr w:type="spellEnd"/>
      <w:r w:rsidRPr="005B7ABE">
        <w:rPr>
          <w:rFonts w:ascii="Arial" w:hAnsi="Arial" w:cs="Arial"/>
          <w:color w:val="000000" w:themeColor="text1"/>
          <w:sz w:val="22"/>
          <w:szCs w:val="22"/>
        </w:rPr>
        <w:t xml:space="preserve">, C., </w:t>
      </w:r>
      <w:proofErr w:type="spellStart"/>
      <w:r w:rsidRPr="005B7ABE">
        <w:rPr>
          <w:rFonts w:ascii="Arial" w:hAnsi="Arial" w:cs="Arial"/>
          <w:color w:val="000000" w:themeColor="text1"/>
          <w:sz w:val="22"/>
          <w:szCs w:val="22"/>
        </w:rPr>
        <w:t>Gatelyn</w:t>
      </w:r>
      <w:proofErr w:type="spellEnd"/>
      <w:r w:rsidRPr="005B7ABE">
        <w:rPr>
          <w:rFonts w:ascii="Arial" w:hAnsi="Arial" w:cs="Arial"/>
          <w:color w:val="000000" w:themeColor="text1"/>
          <w:sz w:val="22"/>
          <w:szCs w:val="22"/>
        </w:rPr>
        <w:t xml:space="preserve">, P., </w:t>
      </w:r>
      <w:proofErr w:type="spellStart"/>
      <w:r w:rsidRPr="005B7ABE">
        <w:rPr>
          <w:rFonts w:ascii="Arial" w:hAnsi="Arial" w:cs="Arial"/>
          <w:color w:val="000000" w:themeColor="text1"/>
          <w:sz w:val="22"/>
          <w:szCs w:val="22"/>
        </w:rPr>
        <w:t>Williamso</w:t>
      </w:r>
      <w:proofErr w:type="spellEnd"/>
      <w:r w:rsidRPr="005B7ABE">
        <w:rPr>
          <w:rFonts w:ascii="Arial" w:hAnsi="Arial" w:cs="Arial"/>
          <w:color w:val="000000" w:themeColor="text1"/>
          <w:sz w:val="22"/>
          <w:szCs w:val="22"/>
        </w:rPr>
        <w:t xml:space="preserve">, S., </w:t>
      </w:r>
      <w:proofErr w:type="spellStart"/>
      <w:r w:rsidRPr="005B7ABE">
        <w:rPr>
          <w:rFonts w:ascii="Arial" w:hAnsi="Arial" w:cs="Arial"/>
          <w:color w:val="000000" w:themeColor="text1"/>
          <w:sz w:val="22"/>
          <w:szCs w:val="22"/>
        </w:rPr>
        <w:t>Astburyp</w:t>
      </w:r>
      <w:proofErr w:type="spellEnd"/>
      <w:r w:rsidRPr="005B7ABE">
        <w:rPr>
          <w:rFonts w:ascii="Arial" w:hAnsi="Arial" w:cs="Arial"/>
          <w:color w:val="000000" w:themeColor="text1"/>
          <w:sz w:val="22"/>
          <w:szCs w:val="22"/>
        </w:rPr>
        <w:t xml:space="preserve">, N., </w:t>
      </w:r>
      <w:proofErr w:type="spellStart"/>
      <w:r w:rsidRPr="005B7ABE">
        <w:rPr>
          <w:rFonts w:ascii="Arial" w:hAnsi="Arial" w:cs="Arial"/>
          <w:color w:val="000000" w:themeColor="text1"/>
          <w:sz w:val="22"/>
          <w:szCs w:val="22"/>
        </w:rPr>
        <w:t>Bryantq</w:t>
      </w:r>
      <w:proofErr w:type="spellEnd"/>
      <w:r w:rsidRPr="005B7ABE">
        <w:rPr>
          <w:rFonts w:ascii="Arial" w:hAnsi="Arial" w:cs="Arial"/>
          <w:color w:val="000000" w:themeColor="text1"/>
          <w:sz w:val="22"/>
          <w:szCs w:val="22"/>
        </w:rPr>
        <w:t xml:space="preserve">, M., </w:t>
      </w:r>
      <w:proofErr w:type="spellStart"/>
      <w:r w:rsidRPr="005B7ABE">
        <w:rPr>
          <w:rFonts w:ascii="Arial" w:hAnsi="Arial" w:cs="Arial"/>
          <w:color w:val="000000" w:themeColor="text1"/>
          <w:sz w:val="22"/>
          <w:szCs w:val="22"/>
        </w:rPr>
        <w:t>Clarer</w:t>
      </w:r>
      <w:proofErr w:type="spellEnd"/>
      <w:r w:rsidRPr="005B7ABE">
        <w:rPr>
          <w:rFonts w:ascii="Arial" w:hAnsi="Arial" w:cs="Arial"/>
          <w:color w:val="000000" w:themeColor="text1"/>
          <w:sz w:val="22"/>
          <w:szCs w:val="22"/>
        </w:rPr>
        <w:t xml:space="preserve">, K., </w:t>
      </w:r>
      <w:proofErr w:type="spellStart"/>
      <w:r w:rsidRPr="005B7ABE">
        <w:rPr>
          <w:rFonts w:ascii="Arial" w:hAnsi="Arial" w:cs="Arial"/>
          <w:color w:val="000000" w:themeColor="text1"/>
          <w:sz w:val="22"/>
          <w:szCs w:val="22"/>
        </w:rPr>
        <w:t>Dimitriadiss</w:t>
      </w:r>
      <w:proofErr w:type="spellEnd"/>
      <w:r w:rsidRPr="005B7ABE">
        <w:rPr>
          <w:rFonts w:ascii="Arial" w:hAnsi="Arial" w:cs="Arial"/>
          <w:color w:val="000000" w:themeColor="text1"/>
          <w:sz w:val="22"/>
          <w:szCs w:val="22"/>
        </w:rPr>
        <w:t xml:space="preserve">, G.K., </w:t>
      </w:r>
      <w:proofErr w:type="spellStart"/>
      <w:r w:rsidRPr="005B7ABE">
        <w:rPr>
          <w:rFonts w:ascii="Arial" w:hAnsi="Arial" w:cs="Arial"/>
          <w:color w:val="000000" w:themeColor="text1"/>
          <w:sz w:val="22"/>
          <w:szCs w:val="22"/>
        </w:rPr>
        <w:t>Finlaysont</w:t>
      </w:r>
      <w:proofErr w:type="spellEnd"/>
      <w:r w:rsidRPr="005B7ABE">
        <w:rPr>
          <w:rFonts w:ascii="Arial" w:hAnsi="Arial" w:cs="Arial"/>
          <w:color w:val="000000" w:themeColor="text1"/>
          <w:sz w:val="22"/>
          <w:szCs w:val="22"/>
        </w:rPr>
        <w:t xml:space="preserve">, G., </w:t>
      </w:r>
      <w:proofErr w:type="spellStart"/>
      <w:r w:rsidRPr="005B7ABE">
        <w:rPr>
          <w:rFonts w:ascii="Arial" w:hAnsi="Arial" w:cs="Arial"/>
          <w:color w:val="000000" w:themeColor="text1"/>
          <w:sz w:val="22"/>
          <w:szCs w:val="22"/>
        </w:rPr>
        <w:t>Heslehurstu</w:t>
      </w:r>
      <w:proofErr w:type="spellEnd"/>
      <w:r w:rsidRPr="005B7ABE">
        <w:rPr>
          <w:rFonts w:ascii="Arial" w:hAnsi="Arial" w:cs="Arial"/>
          <w:color w:val="000000" w:themeColor="text1"/>
          <w:sz w:val="22"/>
          <w:szCs w:val="22"/>
        </w:rPr>
        <w:t xml:space="preserve">, N., </w:t>
      </w:r>
      <w:proofErr w:type="spellStart"/>
      <w:r w:rsidRPr="005B7ABE">
        <w:rPr>
          <w:rFonts w:ascii="Arial" w:hAnsi="Arial" w:cs="Arial"/>
          <w:color w:val="000000" w:themeColor="text1"/>
          <w:sz w:val="22"/>
          <w:szCs w:val="22"/>
        </w:rPr>
        <w:t>Johnsonv</w:t>
      </w:r>
      <w:proofErr w:type="spellEnd"/>
      <w:r w:rsidRPr="005B7ABE">
        <w:rPr>
          <w:rFonts w:ascii="Arial" w:hAnsi="Arial" w:cs="Arial"/>
          <w:color w:val="000000" w:themeColor="text1"/>
          <w:sz w:val="22"/>
          <w:szCs w:val="22"/>
        </w:rPr>
        <w:t xml:space="preserve">, B., Le </w:t>
      </w:r>
      <w:proofErr w:type="spellStart"/>
      <w:r w:rsidRPr="005B7ABE">
        <w:rPr>
          <w:rFonts w:ascii="Arial" w:hAnsi="Arial" w:cs="Arial"/>
          <w:color w:val="000000" w:themeColor="text1"/>
          <w:sz w:val="22"/>
          <w:szCs w:val="22"/>
        </w:rPr>
        <w:t>Brocqw</w:t>
      </w:r>
      <w:proofErr w:type="spellEnd"/>
      <w:r w:rsidRPr="005B7ABE">
        <w:rPr>
          <w:rFonts w:ascii="Arial" w:hAnsi="Arial" w:cs="Arial"/>
          <w:color w:val="000000" w:themeColor="text1"/>
          <w:sz w:val="22"/>
          <w:szCs w:val="22"/>
        </w:rPr>
        <w:t xml:space="preserve">, S., </w:t>
      </w:r>
      <w:proofErr w:type="spellStart"/>
      <w:r w:rsidRPr="005B7ABE">
        <w:rPr>
          <w:rFonts w:ascii="Arial" w:hAnsi="Arial" w:cs="Arial"/>
          <w:color w:val="000000" w:themeColor="text1"/>
          <w:sz w:val="22"/>
          <w:szCs w:val="22"/>
        </w:rPr>
        <w:t>Robertsr</w:t>
      </w:r>
      <w:proofErr w:type="spellEnd"/>
      <w:r w:rsidRPr="005B7ABE">
        <w:rPr>
          <w:rFonts w:ascii="Arial" w:hAnsi="Arial" w:cs="Arial"/>
          <w:color w:val="000000" w:themeColor="text1"/>
          <w:sz w:val="22"/>
          <w:szCs w:val="22"/>
        </w:rPr>
        <w:t xml:space="preserve">, A., </w:t>
      </w:r>
      <w:proofErr w:type="spellStart"/>
      <w:r w:rsidRPr="005B7ABE">
        <w:rPr>
          <w:rFonts w:ascii="Arial" w:hAnsi="Arial" w:cs="Arial"/>
          <w:color w:val="000000" w:themeColor="text1"/>
          <w:sz w:val="22"/>
          <w:szCs w:val="22"/>
        </w:rPr>
        <w:t>McGinleyx</w:t>
      </w:r>
      <w:proofErr w:type="spellEnd"/>
      <w:r w:rsidRPr="005B7ABE">
        <w:rPr>
          <w:rFonts w:ascii="Arial" w:hAnsi="Arial" w:cs="Arial"/>
          <w:color w:val="000000" w:themeColor="text1"/>
          <w:sz w:val="22"/>
          <w:szCs w:val="22"/>
        </w:rPr>
        <w:t xml:space="preserve">, P., </w:t>
      </w:r>
      <w:proofErr w:type="spellStart"/>
      <w:r w:rsidRPr="005B7ABE">
        <w:rPr>
          <w:rFonts w:ascii="Arial" w:hAnsi="Arial" w:cs="Arial"/>
          <w:color w:val="000000" w:themeColor="text1"/>
          <w:sz w:val="22"/>
          <w:szCs w:val="22"/>
        </w:rPr>
        <w:t>Muellery</w:t>
      </w:r>
      <w:proofErr w:type="spellEnd"/>
      <w:r w:rsidRPr="005B7ABE">
        <w:rPr>
          <w:rFonts w:ascii="Arial" w:hAnsi="Arial" w:cs="Arial"/>
          <w:color w:val="000000" w:themeColor="text1"/>
          <w:sz w:val="22"/>
          <w:szCs w:val="22"/>
        </w:rPr>
        <w:t xml:space="preserve">, J., </w:t>
      </w:r>
      <w:proofErr w:type="spellStart"/>
      <w:r w:rsidRPr="005B7ABE">
        <w:rPr>
          <w:rFonts w:ascii="Arial" w:hAnsi="Arial" w:cs="Arial"/>
          <w:color w:val="000000" w:themeColor="text1"/>
          <w:sz w:val="22"/>
          <w:szCs w:val="22"/>
        </w:rPr>
        <w:t>O’Kanez</w:t>
      </w:r>
      <w:proofErr w:type="spellEnd"/>
      <w:r w:rsidRPr="005B7ABE">
        <w:rPr>
          <w:rFonts w:ascii="Arial" w:hAnsi="Arial" w:cs="Arial"/>
          <w:color w:val="000000" w:themeColor="text1"/>
          <w:sz w:val="22"/>
          <w:szCs w:val="22"/>
        </w:rPr>
        <w:t xml:space="preserve">, M., </w:t>
      </w:r>
      <w:proofErr w:type="spellStart"/>
      <w:r w:rsidRPr="005B7ABE">
        <w:rPr>
          <w:rFonts w:ascii="Arial" w:hAnsi="Arial" w:cs="Arial"/>
          <w:color w:val="000000" w:themeColor="text1"/>
          <w:sz w:val="22"/>
          <w:szCs w:val="22"/>
        </w:rPr>
        <w:t>Batterhamaa</w:t>
      </w:r>
      <w:proofErr w:type="spellEnd"/>
      <w:r w:rsidRPr="005B7ABE">
        <w:rPr>
          <w:rFonts w:ascii="Arial" w:hAnsi="Arial" w:cs="Arial"/>
          <w:color w:val="000000" w:themeColor="text1"/>
          <w:sz w:val="22"/>
          <w:szCs w:val="22"/>
        </w:rPr>
        <w:t xml:space="preserve">, R.L., </w:t>
      </w:r>
      <w:proofErr w:type="spellStart"/>
      <w:r w:rsidRPr="005B7ABE">
        <w:rPr>
          <w:rFonts w:ascii="Arial" w:hAnsi="Arial" w:cs="Arial"/>
          <w:color w:val="000000" w:themeColor="text1"/>
          <w:sz w:val="22"/>
          <w:szCs w:val="22"/>
        </w:rPr>
        <w:t>Robertsab</w:t>
      </w:r>
      <w:proofErr w:type="spellEnd"/>
      <w:r w:rsidRPr="005B7ABE">
        <w:rPr>
          <w:rFonts w:ascii="Arial" w:hAnsi="Arial" w:cs="Arial"/>
          <w:color w:val="000000" w:themeColor="text1"/>
          <w:sz w:val="22"/>
          <w:szCs w:val="22"/>
        </w:rPr>
        <w:t xml:space="preserve">, K. and Miras, A.D. (2023) ‘The implications of defining obesity as a disease: a report from the Association for the Study of Obesity 2021 annual conference’, </w:t>
      </w:r>
      <w:r w:rsidRPr="00E03211">
        <w:rPr>
          <w:rFonts w:ascii="Arial" w:hAnsi="Arial" w:cs="Arial"/>
          <w:i/>
          <w:iCs/>
          <w:color w:val="000000" w:themeColor="text1"/>
          <w:sz w:val="22"/>
          <w:szCs w:val="22"/>
        </w:rPr>
        <w:t>eClinicalMedicine</w:t>
      </w:r>
      <w:r w:rsidRPr="005B7ABE">
        <w:rPr>
          <w:rFonts w:ascii="Arial" w:hAnsi="Arial" w:cs="Arial"/>
          <w:color w:val="000000" w:themeColor="text1"/>
          <w:sz w:val="22"/>
          <w:szCs w:val="22"/>
        </w:rPr>
        <w:t xml:space="preserve">, 58. Available at: </w:t>
      </w:r>
      <w:proofErr w:type="spellStart"/>
      <w:r w:rsidRPr="005B7ABE">
        <w:rPr>
          <w:rFonts w:ascii="Arial" w:hAnsi="Arial" w:cs="Arial"/>
          <w:color w:val="000000" w:themeColor="text1"/>
          <w:sz w:val="22"/>
          <w:szCs w:val="22"/>
        </w:rPr>
        <w:t>doi:10.1016</w:t>
      </w:r>
      <w:proofErr w:type="spellEnd"/>
      <w:r w:rsidRPr="005B7ABE">
        <w:rPr>
          <w:rFonts w:ascii="Arial" w:hAnsi="Arial" w:cs="Arial"/>
          <w:color w:val="000000" w:themeColor="text1"/>
          <w:sz w:val="22"/>
          <w:szCs w:val="22"/>
        </w:rPr>
        <w:t>/</w:t>
      </w:r>
      <w:proofErr w:type="spellStart"/>
      <w:r w:rsidRPr="005B7ABE">
        <w:rPr>
          <w:rFonts w:ascii="Arial" w:hAnsi="Arial" w:cs="Arial"/>
          <w:color w:val="000000" w:themeColor="text1"/>
          <w:sz w:val="22"/>
          <w:szCs w:val="22"/>
        </w:rPr>
        <w:t>j.eclinm.2023.101962</w:t>
      </w:r>
      <w:proofErr w:type="spellEnd"/>
      <w:r w:rsidRPr="005B7ABE">
        <w:rPr>
          <w:rFonts w:ascii="Arial" w:hAnsi="Arial" w:cs="Arial"/>
          <w:color w:val="000000" w:themeColor="text1"/>
          <w:sz w:val="22"/>
          <w:szCs w:val="22"/>
        </w:rPr>
        <w:t>.</w:t>
      </w:r>
    </w:p>
    <w:p w14:paraId="3B1DF57D" w14:textId="77777777" w:rsidR="008B2645" w:rsidRPr="005B7ABE" w:rsidRDefault="008B2645" w:rsidP="0020706C">
      <w:pPr>
        <w:spacing w:line="360" w:lineRule="auto"/>
        <w:jc w:val="both"/>
        <w:rPr>
          <w:rFonts w:ascii="Arial" w:hAnsi="Arial" w:cs="Arial"/>
          <w:color w:val="000000" w:themeColor="text1"/>
          <w:sz w:val="22"/>
          <w:szCs w:val="22"/>
        </w:rPr>
      </w:pPr>
    </w:p>
    <w:p w14:paraId="075F80E6" w14:textId="77777777" w:rsidR="008B2645" w:rsidRPr="005B7ABE" w:rsidRDefault="008B2645" w:rsidP="0020706C">
      <w:pPr>
        <w:spacing w:line="360" w:lineRule="auto"/>
        <w:jc w:val="both"/>
        <w:rPr>
          <w:rFonts w:ascii="Arial" w:hAnsi="Arial" w:cs="Arial"/>
          <w:color w:val="000000" w:themeColor="text1"/>
          <w:sz w:val="22"/>
          <w:szCs w:val="22"/>
        </w:rPr>
      </w:pPr>
    </w:p>
    <w:p w14:paraId="75E0ABC7"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 xml:space="preserve">NHS Digital (2026) </w:t>
      </w:r>
      <w:r w:rsidRPr="00DB64D7">
        <w:rPr>
          <w:rFonts w:ascii="Arial" w:hAnsi="Arial" w:cs="Arial"/>
          <w:i/>
          <w:iCs/>
          <w:color w:val="000000" w:themeColor="text1"/>
          <w:sz w:val="22"/>
          <w:szCs w:val="22"/>
        </w:rPr>
        <w:t>Health Survey for England 2024: adults’ overweight and obesity</w:t>
      </w:r>
      <w:r w:rsidRPr="005B7ABE">
        <w:rPr>
          <w:rFonts w:ascii="Arial" w:hAnsi="Arial" w:cs="Arial"/>
          <w:color w:val="000000" w:themeColor="text1"/>
          <w:sz w:val="22"/>
          <w:szCs w:val="22"/>
        </w:rPr>
        <w:t>. Available at: https://digital.nhs.uk/data-and-information/publications/statistical/health-survey-for-england/2024/adults-overweight-and-obesity (Accessed: 29 March 2026).</w:t>
      </w:r>
    </w:p>
    <w:p w14:paraId="472AE249" w14:textId="77777777" w:rsidR="008B2645" w:rsidRPr="005B7ABE" w:rsidRDefault="008B2645" w:rsidP="0020706C">
      <w:pPr>
        <w:spacing w:line="360" w:lineRule="auto"/>
        <w:jc w:val="both"/>
        <w:rPr>
          <w:rFonts w:ascii="Arial" w:hAnsi="Arial" w:cs="Arial"/>
          <w:color w:val="000000" w:themeColor="text1"/>
          <w:sz w:val="22"/>
          <w:szCs w:val="22"/>
        </w:rPr>
      </w:pPr>
    </w:p>
    <w:p w14:paraId="5337E110"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 xml:space="preserve">The Health Foundation (2025) </w:t>
      </w:r>
      <w:r w:rsidRPr="00DB64D7">
        <w:rPr>
          <w:rFonts w:ascii="Arial" w:hAnsi="Arial" w:cs="Arial"/>
          <w:i/>
          <w:iCs/>
          <w:color w:val="000000" w:themeColor="text1"/>
          <w:sz w:val="22"/>
          <w:szCs w:val="22"/>
        </w:rPr>
        <w:t xml:space="preserve">Inequalities among adults who are overweight or obese. </w:t>
      </w:r>
      <w:r w:rsidRPr="005B7ABE">
        <w:rPr>
          <w:rFonts w:ascii="Arial" w:hAnsi="Arial" w:cs="Arial"/>
          <w:color w:val="000000" w:themeColor="text1"/>
          <w:sz w:val="22"/>
          <w:szCs w:val="22"/>
        </w:rPr>
        <w:t>Available at: https://www.health.org.uk/evidence-hub/risk-factors/inequalities-among-adults-who-are-overweight-or-obese (Accessed: 29 March 2026).</w:t>
      </w:r>
    </w:p>
    <w:p w14:paraId="21C1F4C9" w14:textId="77777777" w:rsidR="008B2645" w:rsidRPr="005B7ABE" w:rsidRDefault="008B2645" w:rsidP="0020706C">
      <w:pPr>
        <w:spacing w:line="360" w:lineRule="auto"/>
        <w:jc w:val="both"/>
        <w:rPr>
          <w:rFonts w:ascii="Arial" w:hAnsi="Arial" w:cs="Arial"/>
          <w:color w:val="000000" w:themeColor="text1"/>
          <w:sz w:val="22"/>
          <w:szCs w:val="22"/>
        </w:rPr>
      </w:pPr>
    </w:p>
    <w:p w14:paraId="28D891EC" w14:textId="77777777" w:rsidR="008B2645" w:rsidRPr="005B7ABE" w:rsidRDefault="008B2645" w:rsidP="0020706C">
      <w:pPr>
        <w:spacing w:line="360" w:lineRule="auto"/>
        <w:jc w:val="both"/>
        <w:rPr>
          <w:rFonts w:ascii="Arial" w:hAnsi="Arial" w:cs="Arial"/>
          <w:color w:val="000000" w:themeColor="text1"/>
          <w:sz w:val="22"/>
          <w:szCs w:val="22"/>
        </w:rPr>
      </w:pPr>
      <w:proofErr w:type="spellStart"/>
      <w:r w:rsidRPr="005B7ABE">
        <w:rPr>
          <w:rFonts w:ascii="Arial" w:hAnsi="Arial" w:cs="Arial"/>
          <w:color w:val="000000" w:themeColor="text1"/>
          <w:sz w:val="22"/>
          <w:szCs w:val="22"/>
        </w:rPr>
        <w:lastRenderedPageBreak/>
        <w:t>Heald</w:t>
      </w:r>
      <w:proofErr w:type="spellEnd"/>
      <w:r w:rsidRPr="005B7ABE">
        <w:rPr>
          <w:rFonts w:ascii="Arial" w:hAnsi="Arial" w:cs="Arial"/>
          <w:color w:val="000000" w:themeColor="text1"/>
          <w:sz w:val="22"/>
          <w:szCs w:val="22"/>
        </w:rPr>
        <w:t xml:space="preserve">, A., </w:t>
      </w:r>
      <w:proofErr w:type="spellStart"/>
      <w:r w:rsidRPr="005B7ABE">
        <w:rPr>
          <w:rFonts w:ascii="Arial" w:hAnsi="Arial" w:cs="Arial"/>
          <w:color w:val="000000" w:themeColor="text1"/>
          <w:sz w:val="22"/>
          <w:szCs w:val="22"/>
        </w:rPr>
        <w:t>Stedman</w:t>
      </w:r>
      <w:proofErr w:type="spellEnd"/>
      <w:r w:rsidRPr="005B7ABE">
        <w:rPr>
          <w:rFonts w:ascii="Arial" w:hAnsi="Arial" w:cs="Arial"/>
          <w:color w:val="000000" w:themeColor="text1"/>
          <w:sz w:val="22"/>
          <w:szCs w:val="22"/>
        </w:rPr>
        <w:t xml:space="preserve">, M., Fryer, A.A., Davies, M.B., Rutter, M.K., Gibson, J.M. and Whyte, M. (2024) ‘Counting the lifetime cost of obesity: analysis based on national England data’, </w:t>
      </w:r>
      <w:r w:rsidRPr="00DB64D7">
        <w:rPr>
          <w:rFonts w:ascii="Arial" w:hAnsi="Arial" w:cs="Arial"/>
          <w:i/>
          <w:iCs/>
          <w:color w:val="000000" w:themeColor="text1"/>
          <w:sz w:val="22"/>
          <w:szCs w:val="22"/>
        </w:rPr>
        <w:t>Diabetes, Obesity and Metabolism</w:t>
      </w:r>
      <w:r w:rsidRPr="005B7ABE">
        <w:rPr>
          <w:rFonts w:ascii="Arial" w:hAnsi="Arial" w:cs="Arial"/>
          <w:color w:val="000000" w:themeColor="text1"/>
          <w:sz w:val="22"/>
          <w:szCs w:val="22"/>
        </w:rPr>
        <w:t xml:space="preserve">, 26(4), pp. 1464–1478. Available at: </w:t>
      </w:r>
      <w:proofErr w:type="spellStart"/>
      <w:r w:rsidRPr="005B7ABE">
        <w:rPr>
          <w:rFonts w:ascii="Arial" w:hAnsi="Arial" w:cs="Arial"/>
          <w:color w:val="000000" w:themeColor="text1"/>
          <w:sz w:val="22"/>
          <w:szCs w:val="22"/>
        </w:rPr>
        <w:t>doi:10.1111</w:t>
      </w:r>
      <w:proofErr w:type="spellEnd"/>
      <w:r w:rsidRPr="005B7ABE">
        <w:rPr>
          <w:rFonts w:ascii="Arial" w:hAnsi="Arial" w:cs="Arial"/>
          <w:color w:val="000000" w:themeColor="text1"/>
          <w:sz w:val="22"/>
          <w:szCs w:val="22"/>
        </w:rPr>
        <w:t>/dom.15447.</w:t>
      </w:r>
    </w:p>
    <w:p w14:paraId="1762C87A" w14:textId="77777777" w:rsidR="008B2645" w:rsidRPr="005B7ABE" w:rsidRDefault="008B2645" w:rsidP="0020706C">
      <w:pPr>
        <w:spacing w:line="360" w:lineRule="auto"/>
        <w:jc w:val="both"/>
        <w:rPr>
          <w:rFonts w:ascii="Arial" w:hAnsi="Arial" w:cs="Arial"/>
          <w:color w:val="000000" w:themeColor="text1"/>
          <w:sz w:val="22"/>
          <w:szCs w:val="22"/>
        </w:rPr>
      </w:pPr>
    </w:p>
    <w:p w14:paraId="43B1BD92" w14:textId="77777777" w:rsidR="008B2645" w:rsidRPr="005B7ABE" w:rsidRDefault="008B2645" w:rsidP="0020706C">
      <w:pPr>
        <w:spacing w:line="360" w:lineRule="auto"/>
        <w:jc w:val="both"/>
        <w:rPr>
          <w:rFonts w:ascii="Arial" w:hAnsi="Arial" w:cs="Arial"/>
          <w:color w:val="000000" w:themeColor="text1"/>
          <w:sz w:val="22"/>
          <w:szCs w:val="22"/>
        </w:rPr>
      </w:pPr>
    </w:p>
    <w:p w14:paraId="14C26E4C"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 xml:space="preserve">Ghosh, Khan and Vohra (2023) ‘Differentials in health and wellbeing in older adults with obesity in England: a cross-sectional analysis using the English Longitudinal Study of Ageing’, </w:t>
      </w:r>
      <w:r w:rsidRPr="00DB64D7">
        <w:rPr>
          <w:rFonts w:ascii="Arial" w:hAnsi="Arial" w:cs="Arial"/>
          <w:i/>
          <w:iCs/>
          <w:color w:val="000000" w:themeColor="text1"/>
          <w:sz w:val="22"/>
          <w:szCs w:val="22"/>
        </w:rPr>
        <w:t>Journal of Population Ageing</w:t>
      </w:r>
      <w:r w:rsidRPr="005B7ABE">
        <w:rPr>
          <w:rFonts w:ascii="Arial" w:hAnsi="Arial" w:cs="Arial"/>
          <w:color w:val="000000" w:themeColor="text1"/>
          <w:sz w:val="22"/>
          <w:szCs w:val="22"/>
        </w:rPr>
        <w:t xml:space="preserve">, 16, pp. 819–847. Available at: </w:t>
      </w:r>
      <w:proofErr w:type="spellStart"/>
      <w:r w:rsidRPr="005B7ABE">
        <w:rPr>
          <w:rFonts w:ascii="Arial" w:hAnsi="Arial" w:cs="Arial"/>
          <w:color w:val="000000" w:themeColor="text1"/>
          <w:sz w:val="22"/>
          <w:szCs w:val="22"/>
        </w:rPr>
        <w:t>doi:10.1007</w:t>
      </w:r>
      <w:proofErr w:type="spellEnd"/>
      <w:r w:rsidRPr="005B7ABE">
        <w:rPr>
          <w:rFonts w:ascii="Arial" w:hAnsi="Arial" w:cs="Arial"/>
          <w:color w:val="000000" w:themeColor="text1"/>
          <w:sz w:val="22"/>
          <w:szCs w:val="22"/>
        </w:rPr>
        <w:t>/s12062-022-09386-2.</w:t>
      </w:r>
    </w:p>
    <w:p w14:paraId="020E0E70" w14:textId="77777777" w:rsidR="008B2645" w:rsidRPr="005B7ABE" w:rsidRDefault="008B2645" w:rsidP="0020706C">
      <w:pPr>
        <w:spacing w:line="360" w:lineRule="auto"/>
        <w:jc w:val="both"/>
        <w:rPr>
          <w:rFonts w:ascii="Arial" w:hAnsi="Arial" w:cs="Arial"/>
          <w:color w:val="000000" w:themeColor="text1"/>
          <w:sz w:val="22"/>
          <w:szCs w:val="22"/>
        </w:rPr>
      </w:pPr>
    </w:p>
    <w:p w14:paraId="704C9455"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 xml:space="preserve">Higgins, V. (2022) ‘Ethnic density and area-deprivation effects on central obesity among ethnic minority people in England: a cross-sectional, multi-level analysis’, </w:t>
      </w:r>
      <w:r w:rsidRPr="00DB64D7">
        <w:rPr>
          <w:rFonts w:ascii="Arial" w:hAnsi="Arial" w:cs="Arial"/>
          <w:i/>
          <w:iCs/>
          <w:color w:val="000000" w:themeColor="text1"/>
          <w:sz w:val="22"/>
          <w:szCs w:val="22"/>
        </w:rPr>
        <w:t xml:space="preserve">Frontiers in Epidemiology, </w:t>
      </w:r>
      <w:r w:rsidRPr="005B7ABE">
        <w:rPr>
          <w:rFonts w:ascii="Arial" w:hAnsi="Arial" w:cs="Arial"/>
          <w:color w:val="000000" w:themeColor="text1"/>
          <w:sz w:val="22"/>
          <w:szCs w:val="22"/>
        </w:rPr>
        <w:t xml:space="preserve">2. Available at: </w:t>
      </w:r>
      <w:proofErr w:type="spellStart"/>
      <w:r w:rsidRPr="005B7ABE">
        <w:rPr>
          <w:rFonts w:ascii="Arial" w:hAnsi="Arial" w:cs="Arial"/>
          <w:color w:val="000000" w:themeColor="text1"/>
          <w:sz w:val="22"/>
          <w:szCs w:val="22"/>
        </w:rPr>
        <w:t>doi:10.3389</w:t>
      </w:r>
      <w:proofErr w:type="spellEnd"/>
      <w:r w:rsidRPr="005B7ABE">
        <w:rPr>
          <w:rFonts w:ascii="Arial" w:hAnsi="Arial" w:cs="Arial"/>
          <w:color w:val="000000" w:themeColor="text1"/>
          <w:sz w:val="22"/>
          <w:szCs w:val="22"/>
        </w:rPr>
        <w:t>/</w:t>
      </w:r>
      <w:proofErr w:type="spellStart"/>
      <w:r w:rsidRPr="005B7ABE">
        <w:rPr>
          <w:rFonts w:ascii="Arial" w:hAnsi="Arial" w:cs="Arial"/>
          <w:color w:val="000000" w:themeColor="text1"/>
          <w:sz w:val="22"/>
          <w:szCs w:val="22"/>
        </w:rPr>
        <w:t>fepid.2022.1000155</w:t>
      </w:r>
      <w:proofErr w:type="spellEnd"/>
      <w:r w:rsidRPr="005B7ABE">
        <w:rPr>
          <w:rFonts w:ascii="Arial" w:hAnsi="Arial" w:cs="Arial"/>
          <w:color w:val="000000" w:themeColor="text1"/>
          <w:sz w:val="22"/>
          <w:szCs w:val="22"/>
        </w:rPr>
        <w:t>.</w:t>
      </w:r>
    </w:p>
    <w:p w14:paraId="44E3832E" w14:textId="77777777" w:rsidR="008B2645" w:rsidRPr="005B7ABE" w:rsidRDefault="008B2645" w:rsidP="0020706C">
      <w:pPr>
        <w:spacing w:line="360" w:lineRule="auto"/>
        <w:jc w:val="both"/>
        <w:rPr>
          <w:rFonts w:ascii="Arial" w:hAnsi="Arial" w:cs="Arial"/>
          <w:color w:val="000000" w:themeColor="text1"/>
          <w:sz w:val="22"/>
          <w:szCs w:val="22"/>
        </w:rPr>
      </w:pPr>
    </w:p>
    <w:p w14:paraId="672C67AE"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 xml:space="preserve">British Obesity and Metabolic Surgery Society (BOMSS) (2024) </w:t>
      </w:r>
      <w:r w:rsidRPr="00DB64D7">
        <w:rPr>
          <w:rFonts w:ascii="Arial" w:hAnsi="Arial" w:cs="Arial"/>
          <w:i/>
          <w:iCs/>
          <w:color w:val="000000" w:themeColor="text1"/>
          <w:sz w:val="22"/>
          <w:szCs w:val="22"/>
        </w:rPr>
        <w:t>NHS tiered care weight management pathway</w:t>
      </w:r>
      <w:r w:rsidRPr="005B7ABE">
        <w:rPr>
          <w:rFonts w:ascii="Arial" w:hAnsi="Arial" w:cs="Arial"/>
          <w:color w:val="000000" w:themeColor="text1"/>
          <w:sz w:val="22"/>
          <w:szCs w:val="22"/>
        </w:rPr>
        <w:t>. Available at: https://bomss.org/patient-information/managing-obesity/tiered-pathway/ (Accessed: 29 March 2026).</w:t>
      </w:r>
    </w:p>
    <w:p w14:paraId="2D927499" w14:textId="77777777" w:rsidR="008B2645" w:rsidRPr="005B7ABE" w:rsidRDefault="008B2645" w:rsidP="0020706C">
      <w:pPr>
        <w:spacing w:line="360" w:lineRule="auto"/>
        <w:jc w:val="both"/>
        <w:rPr>
          <w:rFonts w:ascii="Arial" w:hAnsi="Arial" w:cs="Arial"/>
          <w:color w:val="000000" w:themeColor="text1"/>
          <w:sz w:val="22"/>
          <w:szCs w:val="22"/>
        </w:rPr>
      </w:pPr>
    </w:p>
    <w:p w14:paraId="668FEB1F"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 xml:space="preserve">NHS England (2026) </w:t>
      </w:r>
      <w:r w:rsidRPr="00DB64D7">
        <w:rPr>
          <w:rFonts w:ascii="Arial" w:hAnsi="Arial" w:cs="Arial"/>
          <w:i/>
          <w:iCs/>
          <w:color w:val="000000" w:themeColor="text1"/>
          <w:sz w:val="22"/>
          <w:szCs w:val="22"/>
        </w:rPr>
        <w:t>The NHS Digital Weight Management Programme</w:t>
      </w:r>
      <w:r w:rsidRPr="005B7ABE">
        <w:rPr>
          <w:rFonts w:ascii="Arial" w:hAnsi="Arial" w:cs="Arial"/>
          <w:color w:val="000000" w:themeColor="text1"/>
          <w:sz w:val="22"/>
          <w:szCs w:val="22"/>
        </w:rPr>
        <w:t>. Available at: https://www.england.nhs.uk/digital-weight-management/ (Accessed: 29 March 2026).</w:t>
      </w:r>
    </w:p>
    <w:p w14:paraId="3A3BE06D" w14:textId="77777777" w:rsidR="008B2645" w:rsidRPr="005B7ABE" w:rsidRDefault="008B2645" w:rsidP="0020706C">
      <w:pPr>
        <w:spacing w:line="360" w:lineRule="auto"/>
        <w:jc w:val="both"/>
        <w:rPr>
          <w:rFonts w:ascii="Arial" w:hAnsi="Arial" w:cs="Arial"/>
          <w:color w:val="000000" w:themeColor="text1"/>
          <w:sz w:val="22"/>
          <w:szCs w:val="22"/>
        </w:rPr>
      </w:pPr>
    </w:p>
    <w:p w14:paraId="261D791C"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 xml:space="preserve">UK Parliament (2025) </w:t>
      </w:r>
      <w:r w:rsidRPr="003A71DB">
        <w:rPr>
          <w:rFonts w:ascii="Arial" w:hAnsi="Arial" w:cs="Arial"/>
          <w:i/>
          <w:iCs/>
          <w:color w:val="000000" w:themeColor="text1"/>
          <w:sz w:val="22"/>
          <w:szCs w:val="22"/>
        </w:rPr>
        <w:t>Weight loss medicines in England</w:t>
      </w:r>
      <w:r w:rsidRPr="005B7ABE">
        <w:rPr>
          <w:rFonts w:ascii="Arial" w:hAnsi="Arial" w:cs="Arial"/>
          <w:color w:val="000000" w:themeColor="text1"/>
          <w:sz w:val="22"/>
          <w:szCs w:val="22"/>
        </w:rPr>
        <w:t>. House of Commons Library. Available at: https://researchbriefings.files.parliament.uk/documents/CBP-10171/CBP-10171.pdf (Accessed: 29 March 2026).</w:t>
      </w:r>
    </w:p>
    <w:p w14:paraId="53BBF3E6" w14:textId="77777777" w:rsidR="008B2645" w:rsidRPr="005B7ABE" w:rsidRDefault="008B2645" w:rsidP="0020706C">
      <w:pPr>
        <w:spacing w:line="360" w:lineRule="auto"/>
        <w:jc w:val="both"/>
        <w:rPr>
          <w:rFonts w:ascii="Arial" w:hAnsi="Arial" w:cs="Arial"/>
          <w:color w:val="000000" w:themeColor="text1"/>
          <w:sz w:val="22"/>
          <w:szCs w:val="22"/>
        </w:rPr>
      </w:pPr>
    </w:p>
    <w:p w14:paraId="6C889864"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 xml:space="preserve">Sutcliffe, K., Melendez-Torres, G.J., </w:t>
      </w:r>
      <w:proofErr w:type="spellStart"/>
      <w:r w:rsidRPr="005B7ABE">
        <w:rPr>
          <w:rFonts w:ascii="Arial" w:hAnsi="Arial" w:cs="Arial"/>
          <w:color w:val="000000" w:themeColor="text1"/>
          <w:sz w:val="22"/>
          <w:szCs w:val="22"/>
        </w:rPr>
        <w:t>Burchett</w:t>
      </w:r>
      <w:proofErr w:type="spellEnd"/>
      <w:r w:rsidRPr="005B7ABE">
        <w:rPr>
          <w:rFonts w:ascii="Arial" w:hAnsi="Arial" w:cs="Arial"/>
          <w:color w:val="000000" w:themeColor="text1"/>
          <w:sz w:val="22"/>
          <w:szCs w:val="22"/>
        </w:rPr>
        <w:t>, H.E.D., Richardson, M., Rees, R. &amp; Thomas,</w:t>
      </w:r>
    </w:p>
    <w:p w14:paraId="4F4B2C5D"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 xml:space="preserve">J. (2018) 'The importance of service-users' perspectives: A systematic review of qualitative evidence reveals overlooked critical features of weight management programmes', </w:t>
      </w:r>
      <w:r w:rsidRPr="003A71DB">
        <w:rPr>
          <w:rFonts w:ascii="Arial" w:hAnsi="Arial" w:cs="Arial"/>
          <w:i/>
          <w:iCs/>
          <w:color w:val="000000" w:themeColor="text1"/>
          <w:sz w:val="22"/>
          <w:szCs w:val="22"/>
        </w:rPr>
        <w:t>Health Expectations</w:t>
      </w:r>
      <w:r w:rsidRPr="005B7ABE">
        <w:rPr>
          <w:rFonts w:ascii="Arial" w:hAnsi="Arial" w:cs="Arial"/>
          <w:color w:val="000000" w:themeColor="text1"/>
          <w:sz w:val="22"/>
          <w:szCs w:val="22"/>
        </w:rPr>
        <w:t>, 21(3), pp. 563-573. Available at: DOI: 10.1111/hex. 12657.</w:t>
      </w:r>
    </w:p>
    <w:p w14:paraId="11F1C52E" w14:textId="77777777" w:rsidR="008B2645" w:rsidRPr="005B7ABE" w:rsidRDefault="008B2645" w:rsidP="0020706C">
      <w:pPr>
        <w:spacing w:line="360" w:lineRule="auto"/>
        <w:jc w:val="both"/>
        <w:rPr>
          <w:rFonts w:ascii="Arial" w:hAnsi="Arial" w:cs="Arial"/>
          <w:color w:val="000000" w:themeColor="text1"/>
          <w:sz w:val="22"/>
          <w:szCs w:val="22"/>
        </w:rPr>
      </w:pPr>
    </w:p>
    <w:p w14:paraId="03261D94" w14:textId="77777777" w:rsidR="008B2645" w:rsidRPr="005B7ABE" w:rsidRDefault="008B2645" w:rsidP="0020706C">
      <w:pPr>
        <w:spacing w:line="360" w:lineRule="auto"/>
        <w:jc w:val="both"/>
        <w:rPr>
          <w:rFonts w:ascii="Arial" w:hAnsi="Arial" w:cs="Arial"/>
          <w:color w:val="000000" w:themeColor="text1"/>
          <w:sz w:val="22"/>
          <w:szCs w:val="22"/>
        </w:rPr>
      </w:pPr>
      <w:proofErr w:type="spellStart"/>
      <w:r w:rsidRPr="005B7ABE">
        <w:rPr>
          <w:rFonts w:ascii="Arial" w:hAnsi="Arial" w:cs="Arial"/>
          <w:color w:val="000000" w:themeColor="text1"/>
          <w:sz w:val="22"/>
          <w:szCs w:val="22"/>
        </w:rPr>
        <w:t>Pearson-Stuttard</w:t>
      </w:r>
      <w:proofErr w:type="spellEnd"/>
      <w:r w:rsidRPr="005B7ABE">
        <w:rPr>
          <w:rFonts w:ascii="Arial" w:hAnsi="Arial" w:cs="Arial"/>
          <w:color w:val="000000" w:themeColor="text1"/>
          <w:sz w:val="22"/>
          <w:szCs w:val="22"/>
        </w:rPr>
        <w:t xml:space="preserve">, J., Holloway, S., Matthiessen, K.S., Thompson, A. &amp; </w:t>
      </w:r>
      <w:proofErr w:type="spellStart"/>
      <w:r w:rsidRPr="005B7ABE">
        <w:rPr>
          <w:rFonts w:ascii="Arial" w:hAnsi="Arial" w:cs="Arial"/>
          <w:color w:val="000000" w:themeColor="text1"/>
          <w:sz w:val="22"/>
          <w:szCs w:val="22"/>
        </w:rPr>
        <w:t>Capucci</w:t>
      </w:r>
      <w:proofErr w:type="spellEnd"/>
      <w:r w:rsidRPr="005B7ABE">
        <w:rPr>
          <w:rFonts w:ascii="Arial" w:hAnsi="Arial" w:cs="Arial"/>
          <w:color w:val="000000" w:themeColor="text1"/>
          <w:sz w:val="22"/>
          <w:szCs w:val="22"/>
        </w:rPr>
        <w:t>, S. (2023)</w:t>
      </w:r>
    </w:p>
    <w:p w14:paraId="68495C27"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 xml:space="preserve">'Ten-year progression of obesity-related complications in a population with overweight and obesity in the UK: A retrospective open cohort study', </w:t>
      </w:r>
      <w:r w:rsidRPr="003A71DB">
        <w:rPr>
          <w:rFonts w:ascii="Arial" w:hAnsi="Arial" w:cs="Arial"/>
          <w:i/>
          <w:iCs/>
          <w:color w:val="000000" w:themeColor="text1"/>
          <w:sz w:val="22"/>
          <w:szCs w:val="22"/>
        </w:rPr>
        <w:t>Diabetes, Obesity &amp; Metabolism.</w:t>
      </w:r>
    </w:p>
    <w:p w14:paraId="61613682"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 xml:space="preserve">Available at: </w:t>
      </w:r>
      <w:proofErr w:type="spellStart"/>
      <w:r w:rsidRPr="005B7ABE">
        <w:rPr>
          <w:rFonts w:ascii="Arial" w:hAnsi="Arial" w:cs="Arial"/>
          <w:color w:val="000000" w:themeColor="text1"/>
          <w:sz w:val="22"/>
          <w:szCs w:val="22"/>
        </w:rPr>
        <w:t>doi:10.1111</w:t>
      </w:r>
      <w:proofErr w:type="spellEnd"/>
      <w:r w:rsidRPr="005B7ABE">
        <w:rPr>
          <w:rFonts w:ascii="Arial" w:hAnsi="Arial" w:cs="Arial"/>
          <w:color w:val="000000" w:themeColor="text1"/>
          <w:sz w:val="22"/>
          <w:szCs w:val="22"/>
        </w:rPr>
        <w:t>/dom. 15836.</w:t>
      </w:r>
    </w:p>
    <w:p w14:paraId="6975111C" w14:textId="77777777" w:rsidR="008B2645" w:rsidRPr="005B7ABE" w:rsidRDefault="008B2645" w:rsidP="0020706C">
      <w:pPr>
        <w:spacing w:line="360" w:lineRule="auto"/>
        <w:jc w:val="both"/>
        <w:rPr>
          <w:rFonts w:ascii="Arial" w:hAnsi="Arial" w:cs="Arial"/>
          <w:color w:val="000000" w:themeColor="text1"/>
          <w:sz w:val="22"/>
          <w:szCs w:val="22"/>
        </w:rPr>
      </w:pPr>
    </w:p>
    <w:p w14:paraId="4B1E50FD"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 xml:space="preserve">Briggs, R., </w:t>
      </w:r>
      <w:proofErr w:type="spellStart"/>
      <w:r w:rsidRPr="005B7ABE">
        <w:rPr>
          <w:rFonts w:ascii="Arial" w:hAnsi="Arial" w:cs="Arial"/>
          <w:color w:val="000000" w:themeColor="text1"/>
          <w:sz w:val="22"/>
          <w:szCs w:val="22"/>
        </w:rPr>
        <w:t>Rowden</w:t>
      </w:r>
      <w:proofErr w:type="spellEnd"/>
      <w:r w:rsidRPr="005B7ABE">
        <w:rPr>
          <w:rFonts w:ascii="Arial" w:hAnsi="Arial" w:cs="Arial"/>
          <w:color w:val="000000" w:themeColor="text1"/>
          <w:sz w:val="22"/>
          <w:szCs w:val="22"/>
        </w:rPr>
        <w:t xml:space="preserve">, H., </w:t>
      </w:r>
      <w:proofErr w:type="spellStart"/>
      <w:r w:rsidRPr="005B7ABE">
        <w:rPr>
          <w:rFonts w:ascii="Arial" w:hAnsi="Arial" w:cs="Arial"/>
          <w:color w:val="000000" w:themeColor="text1"/>
          <w:sz w:val="22"/>
          <w:szCs w:val="22"/>
        </w:rPr>
        <w:t>Lagojda</w:t>
      </w:r>
      <w:proofErr w:type="spellEnd"/>
      <w:r w:rsidRPr="005B7ABE">
        <w:rPr>
          <w:rFonts w:ascii="Arial" w:hAnsi="Arial" w:cs="Arial"/>
          <w:color w:val="000000" w:themeColor="text1"/>
          <w:sz w:val="22"/>
          <w:szCs w:val="22"/>
        </w:rPr>
        <w:t xml:space="preserve">, L., Robbins, T. and </w:t>
      </w:r>
      <w:proofErr w:type="spellStart"/>
      <w:r w:rsidRPr="005B7ABE">
        <w:rPr>
          <w:rFonts w:ascii="Arial" w:hAnsi="Arial" w:cs="Arial"/>
          <w:color w:val="000000" w:themeColor="text1"/>
          <w:sz w:val="22"/>
          <w:szCs w:val="22"/>
        </w:rPr>
        <w:t>Randeva</w:t>
      </w:r>
      <w:proofErr w:type="spellEnd"/>
      <w:r w:rsidRPr="005B7ABE">
        <w:rPr>
          <w:rFonts w:ascii="Arial" w:hAnsi="Arial" w:cs="Arial"/>
          <w:color w:val="000000" w:themeColor="text1"/>
          <w:sz w:val="22"/>
          <w:szCs w:val="22"/>
        </w:rPr>
        <w:t xml:space="preserve">, H.S. (2024). The lived experience of food insecurity among adults with obesity: a quantitative and qualitative systematic review, </w:t>
      </w:r>
      <w:r w:rsidRPr="003A71DB">
        <w:rPr>
          <w:rFonts w:ascii="Arial" w:hAnsi="Arial" w:cs="Arial"/>
          <w:i/>
          <w:iCs/>
          <w:color w:val="000000" w:themeColor="text1"/>
          <w:sz w:val="22"/>
          <w:szCs w:val="22"/>
        </w:rPr>
        <w:t>Journal of Public Health</w:t>
      </w:r>
      <w:r w:rsidRPr="005B7ABE">
        <w:rPr>
          <w:rFonts w:ascii="Arial" w:hAnsi="Arial" w:cs="Arial"/>
          <w:color w:val="000000" w:themeColor="text1"/>
          <w:sz w:val="22"/>
          <w:szCs w:val="22"/>
        </w:rPr>
        <w:t>, 46(2), pp.230–249. Available at: https://pubmed.ncbi.nlm.nih.gov/38409966/</w:t>
      </w:r>
    </w:p>
    <w:p w14:paraId="6515D060" w14:textId="77777777" w:rsidR="008B2645" w:rsidRPr="005B7ABE" w:rsidRDefault="008B2645" w:rsidP="0020706C">
      <w:pPr>
        <w:spacing w:line="360" w:lineRule="auto"/>
        <w:jc w:val="both"/>
        <w:rPr>
          <w:rFonts w:ascii="Arial" w:hAnsi="Arial" w:cs="Arial"/>
          <w:color w:val="000000" w:themeColor="text1"/>
          <w:sz w:val="22"/>
          <w:szCs w:val="22"/>
        </w:rPr>
      </w:pPr>
    </w:p>
    <w:p w14:paraId="10E7E43F" w14:textId="3641A87A" w:rsidR="008B2645" w:rsidRPr="005B7ABE" w:rsidRDefault="008B2645" w:rsidP="0020706C">
      <w:pPr>
        <w:spacing w:line="360" w:lineRule="auto"/>
        <w:jc w:val="both"/>
        <w:rPr>
          <w:rFonts w:ascii="Arial" w:hAnsi="Arial" w:cs="Arial"/>
          <w:color w:val="000000" w:themeColor="text1"/>
          <w:sz w:val="22"/>
          <w:szCs w:val="22"/>
        </w:rPr>
      </w:pPr>
      <w:proofErr w:type="spellStart"/>
      <w:r w:rsidRPr="005B7ABE">
        <w:rPr>
          <w:rFonts w:ascii="Arial" w:hAnsi="Arial" w:cs="Arial"/>
          <w:color w:val="000000" w:themeColor="text1"/>
          <w:sz w:val="22"/>
          <w:szCs w:val="22"/>
        </w:rPr>
        <w:t>Parretti</w:t>
      </w:r>
      <w:proofErr w:type="spellEnd"/>
      <w:r w:rsidRPr="005B7ABE">
        <w:rPr>
          <w:rFonts w:ascii="Arial" w:hAnsi="Arial" w:cs="Arial"/>
          <w:color w:val="000000" w:themeColor="text1"/>
          <w:sz w:val="22"/>
          <w:szCs w:val="22"/>
        </w:rPr>
        <w:t xml:space="preserve">, H.M., Erskine, S.E., </w:t>
      </w:r>
      <w:proofErr w:type="spellStart"/>
      <w:r w:rsidRPr="005B7ABE">
        <w:rPr>
          <w:rFonts w:ascii="Arial" w:hAnsi="Arial" w:cs="Arial"/>
          <w:color w:val="000000" w:themeColor="text1"/>
          <w:sz w:val="22"/>
          <w:szCs w:val="22"/>
        </w:rPr>
        <w:t>Coulman</w:t>
      </w:r>
      <w:proofErr w:type="spellEnd"/>
      <w:r w:rsidRPr="005B7ABE">
        <w:rPr>
          <w:rFonts w:ascii="Arial" w:hAnsi="Arial" w:cs="Arial"/>
          <w:color w:val="000000" w:themeColor="text1"/>
          <w:sz w:val="22"/>
          <w:szCs w:val="22"/>
        </w:rPr>
        <w:t xml:space="preserve">, K.D., Mears, R., Clare, K., Williamson, K., Watkins, R. and Hughes, C.A. (2026) </w:t>
      </w:r>
      <w:r w:rsidR="001B0B49">
        <w:rPr>
          <w:rFonts w:ascii="Arial" w:hAnsi="Arial" w:cs="Arial"/>
          <w:color w:val="000000" w:themeColor="text1"/>
          <w:sz w:val="22"/>
          <w:szCs w:val="22"/>
        </w:rPr>
        <w:t>‘</w:t>
      </w:r>
      <w:r w:rsidRPr="005B7ABE">
        <w:rPr>
          <w:rFonts w:ascii="Arial" w:hAnsi="Arial" w:cs="Arial"/>
          <w:color w:val="000000" w:themeColor="text1"/>
          <w:sz w:val="22"/>
          <w:szCs w:val="22"/>
        </w:rPr>
        <w:t>A review of the management of obesity in primary care</w:t>
      </w:r>
      <w:r w:rsidR="001B0B49">
        <w:rPr>
          <w:rFonts w:ascii="Arial" w:hAnsi="Arial" w:cs="Arial"/>
          <w:color w:val="000000" w:themeColor="text1"/>
          <w:sz w:val="22"/>
          <w:szCs w:val="22"/>
        </w:rPr>
        <w:t>’</w:t>
      </w:r>
      <w:r w:rsidRPr="005B7ABE">
        <w:rPr>
          <w:rFonts w:ascii="Arial" w:hAnsi="Arial" w:cs="Arial"/>
          <w:color w:val="000000" w:themeColor="text1"/>
          <w:sz w:val="22"/>
          <w:szCs w:val="22"/>
        </w:rPr>
        <w:t xml:space="preserve">, </w:t>
      </w:r>
      <w:r w:rsidRPr="001B0B49">
        <w:rPr>
          <w:rFonts w:ascii="Arial" w:hAnsi="Arial" w:cs="Arial"/>
          <w:i/>
          <w:iCs/>
          <w:color w:val="000000" w:themeColor="text1"/>
          <w:sz w:val="22"/>
          <w:szCs w:val="22"/>
        </w:rPr>
        <w:t>Clinical Obesity</w:t>
      </w:r>
      <w:r w:rsidRPr="005B7ABE">
        <w:rPr>
          <w:rFonts w:ascii="Arial" w:hAnsi="Arial" w:cs="Arial"/>
          <w:color w:val="000000" w:themeColor="text1"/>
          <w:sz w:val="22"/>
          <w:szCs w:val="22"/>
        </w:rPr>
        <w:t>, 16(1</w:t>
      </w:r>
      <w:r w:rsidR="001B0B49">
        <w:rPr>
          <w:rFonts w:ascii="Arial" w:hAnsi="Arial" w:cs="Arial"/>
          <w:color w:val="000000" w:themeColor="text1"/>
          <w:sz w:val="22"/>
          <w:szCs w:val="22"/>
        </w:rPr>
        <w:t>)</w:t>
      </w:r>
      <w:r w:rsidRPr="005B7ABE">
        <w:rPr>
          <w:rFonts w:ascii="Arial" w:hAnsi="Arial" w:cs="Arial"/>
          <w:color w:val="000000" w:themeColor="text1"/>
          <w:sz w:val="22"/>
          <w:szCs w:val="22"/>
        </w:rPr>
        <w:t xml:space="preserve">. Available at: </w:t>
      </w:r>
      <w:proofErr w:type="spellStart"/>
      <w:r w:rsidRPr="005B7ABE">
        <w:rPr>
          <w:rFonts w:ascii="Arial" w:hAnsi="Arial" w:cs="Arial"/>
          <w:color w:val="000000" w:themeColor="text1"/>
          <w:sz w:val="22"/>
          <w:szCs w:val="22"/>
        </w:rPr>
        <w:t>doi</w:t>
      </w:r>
      <w:proofErr w:type="spellEnd"/>
      <w:r w:rsidRPr="005B7ABE">
        <w:rPr>
          <w:rFonts w:ascii="Arial" w:hAnsi="Arial" w:cs="Arial"/>
          <w:color w:val="000000" w:themeColor="text1"/>
          <w:sz w:val="22"/>
          <w:szCs w:val="22"/>
        </w:rPr>
        <w:t>: 10.1111/cob.70040</w:t>
      </w:r>
    </w:p>
    <w:p w14:paraId="2B2BF18C" w14:textId="77777777" w:rsidR="008B2645" w:rsidRPr="005B7ABE" w:rsidRDefault="008B2645" w:rsidP="0020706C">
      <w:pPr>
        <w:spacing w:line="360" w:lineRule="auto"/>
        <w:jc w:val="both"/>
        <w:rPr>
          <w:rFonts w:ascii="Arial" w:hAnsi="Arial" w:cs="Arial"/>
          <w:color w:val="000000" w:themeColor="text1"/>
          <w:sz w:val="22"/>
          <w:szCs w:val="22"/>
        </w:rPr>
      </w:pPr>
    </w:p>
    <w:p w14:paraId="4FDE453A"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 xml:space="preserve">Hughes, C.A., Ahern, A.L., </w:t>
      </w:r>
      <w:proofErr w:type="spellStart"/>
      <w:r w:rsidRPr="005B7ABE">
        <w:rPr>
          <w:rFonts w:ascii="Arial" w:hAnsi="Arial" w:cs="Arial"/>
          <w:color w:val="000000" w:themeColor="text1"/>
          <w:sz w:val="22"/>
          <w:szCs w:val="22"/>
        </w:rPr>
        <w:t>Kasetty</w:t>
      </w:r>
      <w:proofErr w:type="spellEnd"/>
      <w:r w:rsidRPr="005B7ABE">
        <w:rPr>
          <w:rFonts w:ascii="Arial" w:hAnsi="Arial" w:cs="Arial"/>
          <w:color w:val="000000" w:themeColor="text1"/>
          <w:sz w:val="22"/>
          <w:szCs w:val="22"/>
        </w:rPr>
        <w:t xml:space="preserve">, H., McGowan, B.M., </w:t>
      </w:r>
      <w:proofErr w:type="spellStart"/>
      <w:r w:rsidRPr="005B7ABE">
        <w:rPr>
          <w:rFonts w:ascii="Arial" w:hAnsi="Arial" w:cs="Arial"/>
          <w:color w:val="000000" w:themeColor="text1"/>
          <w:sz w:val="22"/>
          <w:szCs w:val="22"/>
        </w:rPr>
        <w:t>Parretti</w:t>
      </w:r>
      <w:proofErr w:type="spellEnd"/>
      <w:r w:rsidRPr="005B7ABE">
        <w:rPr>
          <w:rFonts w:ascii="Arial" w:hAnsi="Arial" w:cs="Arial"/>
          <w:color w:val="000000" w:themeColor="text1"/>
          <w:sz w:val="22"/>
          <w:szCs w:val="22"/>
        </w:rPr>
        <w:t>, H.M., Vincent, A. and Halford, J.C.G. (2021) ‘Changing the narrative around obesity in the UK: a survey of people with obesity and healthcare professionals from the ACTION</w:t>
      </w:r>
      <w:r w:rsidRPr="005B7ABE">
        <w:rPr>
          <w:rFonts w:ascii="Cambria Math" w:hAnsi="Cambria Math" w:cs="Cambria Math"/>
          <w:color w:val="000000" w:themeColor="text1"/>
          <w:sz w:val="22"/>
          <w:szCs w:val="22"/>
        </w:rPr>
        <w:t>‑</w:t>
      </w:r>
      <w:r w:rsidRPr="005B7ABE">
        <w:rPr>
          <w:rFonts w:ascii="Arial" w:hAnsi="Arial" w:cs="Arial"/>
          <w:color w:val="000000" w:themeColor="text1"/>
          <w:sz w:val="22"/>
          <w:szCs w:val="22"/>
        </w:rPr>
        <w:t xml:space="preserve">IO study’ </w:t>
      </w:r>
      <w:r w:rsidRPr="001B0B49">
        <w:rPr>
          <w:rFonts w:ascii="Arial" w:hAnsi="Arial" w:cs="Arial"/>
          <w:i/>
          <w:iCs/>
          <w:color w:val="000000" w:themeColor="text1"/>
          <w:sz w:val="22"/>
          <w:szCs w:val="22"/>
        </w:rPr>
        <w:t>BMJ Open</w:t>
      </w:r>
      <w:r w:rsidRPr="005B7ABE">
        <w:rPr>
          <w:rFonts w:ascii="Arial" w:hAnsi="Arial" w:cs="Arial"/>
          <w:color w:val="000000" w:themeColor="text1"/>
          <w:sz w:val="22"/>
          <w:szCs w:val="22"/>
        </w:rPr>
        <w:t xml:space="preserve">, 11(6). Available at: </w:t>
      </w:r>
      <w:proofErr w:type="spellStart"/>
      <w:r w:rsidRPr="005B7ABE">
        <w:rPr>
          <w:rFonts w:ascii="Arial" w:hAnsi="Arial" w:cs="Arial"/>
          <w:color w:val="000000" w:themeColor="text1"/>
          <w:sz w:val="22"/>
          <w:szCs w:val="22"/>
        </w:rPr>
        <w:t>doi:10.1136</w:t>
      </w:r>
      <w:proofErr w:type="spellEnd"/>
      <w:r w:rsidRPr="005B7ABE">
        <w:rPr>
          <w:rFonts w:ascii="Arial" w:hAnsi="Arial" w:cs="Arial"/>
          <w:color w:val="000000" w:themeColor="text1"/>
          <w:sz w:val="22"/>
          <w:szCs w:val="22"/>
        </w:rPr>
        <w:t>/</w:t>
      </w:r>
      <w:proofErr w:type="spellStart"/>
      <w:r w:rsidRPr="005B7ABE">
        <w:rPr>
          <w:rFonts w:ascii="Arial" w:hAnsi="Arial" w:cs="Arial"/>
          <w:color w:val="000000" w:themeColor="text1"/>
          <w:sz w:val="22"/>
          <w:szCs w:val="22"/>
        </w:rPr>
        <w:t>bmjopen-2020-045616</w:t>
      </w:r>
      <w:proofErr w:type="spellEnd"/>
    </w:p>
    <w:p w14:paraId="1D1292D8" w14:textId="77777777" w:rsidR="008B2645" w:rsidRPr="005B7ABE" w:rsidRDefault="008B2645" w:rsidP="0020706C">
      <w:pPr>
        <w:spacing w:line="360" w:lineRule="auto"/>
        <w:jc w:val="both"/>
        <w:rPr>
          <w:rFonts w:ascii="Arial" w:hAnsi="Arial" w:cs="Arial"/>
          <w:color w:val="000000" w:themeColor="text1"/>
          <w:sz w:val="22"/>
          <w:szCs w:val="22"/>
        </w:rPr>
      </w:pPr>
    </w:p>
    <w:p w14:paraId="6C983AF6"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 xml:space="preserve">National Institute for Health and Care Excellence (2026) </w:t>
      </w:r>
      <w:r w:rsidRPr="001B0B49">
        <w:rPr>
          <w:rFonts w:ascii="Arial" w:hAnsi="Arial" w:cs="Arial"/>
          <w:i/>
          <w:iCs/>
          <w:color w:val="000000" w:themeColor="text1"/>
          <w:sz w:val="22"/>
          <w:szCs w:val="22"/>
        </w:rPr>
        <w:t>Overweight and obesity management (NICE guideline NG 246)</w:t>
      </w:r>
      <w:r w:rsidRPr="005B7ABE">
        <w:rPr>
          <w:rFonts w:ascii="Arial" w:hAnsi="Arial" w:cs="Arial"/>
          <w:color w:val="000000" w:themeColor="text1"/>
          <w:sz w:val="22"/>
          <w:szCs w:val="22"/>
        </w:rPr>
        <w:t>. Available at: https://www.nice.org.uk/guidance/ng246</w:t>
      </w:r>
    </w:p>
    <w:p w14:paraId="271AEF0C"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(Accessed: 13 February 2026).</w:t>
      </w:r>
    </w:p>
    <w:p w14:paraId="4F51669E" w14:textId="77777777" w:rsidR="008B2645" w:rsidRPr="005B7ABE" w:rsidRDefault="008B2645" w:rsidP="0020706C">
      <w:pPr>
        <w:spacing w:line="360" w:lineRule="auto"/>
        <w:jc w:val="both"/>
        <w:rPr>
          <w:rFonts w:ascii="Arial" w:hAnsi="Arial" w:cs="Arial"/>
          <w:color w:val="000000" w:themeColor="text1"/>
          <w:sz w:val="22"/>
          <w:szCs w:val="22"/>
        </w:rPr>
      </w:pPr>
    </w:p>
    <w:p w14:paraId="00DA8B47"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 xml:space="preserve">Kyle, R.G., Wills, J., Mahoney, C., Hoyle, L., Kelly, M. and Atherton, I.M. (2017) 'Obesity prevalence among healthcare professionals in England: a cross-sectional study using the Health Survey for England’, </w:t>
      </w:r>
      <w:r w:rsidRPr="006F0B0C">
        <w:rPr>
          <w:rFonts w:ascii="Arial" w:hAnsi="Arial" w:cs="Arial"/>
          <w:i/>
          <w:iCs/>
          <w:color w:val="000000" w:themeColor="text1"/>
          <w:sz w:val="22"/>
          <w:szCs w:val="22"/>
        </w:rPr>
        <w:t>BMJ Open</w:t>
      </w:r>
      <w:r w:rsidRPr="005B7ABE">
        <w:rPr>
          <w:rFonts w:ascii="Arial" w:hAnsi="Arial" w:cs="Arial"/>
          <w:color w:val="000000" w:themeColor="text1"/>
          <w:sz w:val="22"/>
          <w:szCs w:val="22"/>
        </w:rPr>
        <w:t>, 7(12). Available at: https://doi.org/10.1136/bmjopen-</w:t>
      </w:r>
    </w:p>
    <w:p w14:paraId="5B1DC808"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2017-018498.</w:t>
      </w:r>
    </w:p>
    <w:p w14:paraId="208FBF50" w14:textId="77777777" w:rsidR="008B2645" w:rsidRPr="005B7ABE" w:rsidRDefault="008B2645" w:rsidP="0020706C">
      <w:pPr>
        <w:spacing w:line="360" w:lineRule="auto"/>
        <w:jc w:val="both"/>
        <w:rPr>
          <w:rFonts w:ascii="Arial" w:hAnsi="Arial" w:cs="Arial"/>
          <w:color w:val="000000" w:themeColor="text1"/>
          <w:sz w:val="22"/>
          <w:szCs w:val="22"/>
        </w:rPr>
      </w:pPr>
    </w:p>
    <w:p w14:paraId="45AB2E4A"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lastRenderedPageBreak/>
        <w:t xml:space="preserve">Martins, M., Robertson, C.., Cooper, D., </w:t>
      </w:r>
      <w:proofErr w:type="spellStart"/>
      <w:r w:rsidRPr="005B7ABE">
        <w:rPr>
          <w:rFonts w:ascii="Arial" w:hAnsi="Arial" w:cs="Arial"/>
          <w:color w:val="000000" w:themeColor="text1"/>
          <w:sz w:val="22"/>
          <w:szCs w:val="22"/>
        </w:rPr>
        <w:t>Avenell</w:t>
      </w:r>
      <w:proofErr w:type="spellEnd"/>
      <w:r w:rsidRPr="005B7ABE">
        <w:rPr>
          <w:rFonts w:ascii="Arial" w:hAnsi="Arial" w:cs="Arial"/>
          <w:color w:val="000000" w:themeColor="text1"/>
          <w:sz w:val="22"/>
          <w:szCs w:val="22"/>
        </w:rPr>
        <w:t xml:space="preserve">, A., Stewart, F., </w:t>
      </w:r>
      <w:proofErr w:type="spellStart"/>
      <w:r w:rsidRPr="005B7ABE">
        <w:rPr>
          <w:rFonts w:ascii="Arial" w:hAnsi="Arial" w:cs="Arial"/>
          <w:color w:val="000000" w:themeColor="text1"/>
          <w:sz w:val="22"/>
          <w:szCs w:val="22"/>
        </w:rPr>
        <w:t>Aveyard</w:t>
      </w:r>
      <w:proofErr w:type="spellEnd"/>
      <w:r w:rsidRPr="005B7ABE">
        <w:rPr>
          <w:rFonts w:ascii="Arial" w:hAnsi="Arial" w:cs="Arial"/>
          <w:color w:val="000000" w:themeColor="text1"/>
          <w:sz w:val="22"/>
          <w:szCs w:val="22"/>
        </w:rPr>
        <w:t xml:space="preserve">, P. and de Bruin, M. (2020) 'A systematic review of UK-based long-term nonsurgical interventions for people with severe obesity (BMI ≥35 kg m-2), </w:t>
      </w:r>
      <w:r w:rsidRPr="006F0B0C">
        <w:rPr>
          <w:rFonts w:ascii="Arial" w:hAnsi="Arial" w:cs="Arial"/>
          <w:i/>
          <w:iCs/>
          <w:color w:val="000000" w:themeColor="text1"/>
          <w:sz w:val="22"/>
          <w:szCs w:val="22"/>
        </w:rPr>
        <w:t>Journal of Human Nutrition and Dietetics</w:t>
      </w:r>
      <w:r w:rsidRPr="005B7ABE">
        <w:rPr>
          <w:rFonts w:ascii="Arial" w:hAnsi="Arial" w:cs="Arial"/>
          <w:color w:val="000000" w:themeColor="text1"/>
          <w:sz w:val="22"/>
          <w:szCs w:val="22"/>
        </w:rPr>
        <w:t>, 33(3), pp. 351-372. Available at: https://doi.org/10.1111jihn.12732.</w:t>
      </w:r>
    </w:p>
    <w:p w14:paraId="531B98A2" w14:textId="77777777" w:rsidR="008B2645" w:rsidRPr="005B7ABE" w:rsidRDefault="008B2645" w:rsidP="0020706C">
      <w:pPr>
        <w:spacing w:line="360" w:lineRule="auto"/>
        <w:jc w:val="both"/>
        <w:rPr>
          <w:rFonts w:ascii="Arial" w:hAnsi="Arial" w:cs="Arial"/>
          <w:color w:val="000000" w:themeColor="text1"/>
          <w:sz w:val="22"/>
          <w:szCs w:val="22"/>
        </w:rPr>
      </w:pPr>
    </w:p>
    <w:p w14:paraId="64BB7131" w14:textId="77777777" w:rsidR="008B2645" w:rsidRPr="005B7ABE" w:rsidRDefault="008B2645" w:rsidP="0020706C">
      <w:pPr>
        <w:spacing w:line="360" w:lineRule="auto"/>
        <w:jc w:val="both"/>
        <w:rPr>
          <w:rFonts w:ascii="Arial" w:hAnsi="Arial" w:cs="Arial"/>
          <w:color w:val="000000" w:themeColor="text1"/>
          <w:sz w:val="22"/>
          <w:szCs w:val="22"/>
        </w:rPr>
      </w:pPr>
      <w:proofErr w:type="spellStart"/>
      <w:r w:rsidRPr="005B7ABE">
        <w:rPr>
          <w:rFonts w:ascii="Arial" w:hAnsi="Arial" w:cs="Arial"/>
          <w:color w:val="000000" w:themeColor="text1"/>
          <w:sz w:val="22"/>
          <w:szCs w:val="22"/>
        </w:rPr>
        <w:t>Coulman</w:t>
      </w:r>
      <w:proofErr w:type="spellEnd"/>
      <w:r w:rsidRPr="005B7ABE">
        <w:rPr>
          <w:rFonts w:ascii="Arial" w:hAnsi="Arial" w:cs="Arial"/>
          <w:color w:val="000000" w:themeColor="text1"/>
          <w:sz w:val="22"/>
          <w:szCs w:val="22"/>
        </w:rPr>
        <w:t xml:space="preserve">, K.D., </w:t>
      </w:r>
      <w:proofErr w:type="spellStart"/>
      <w:r w:rsidRPr="005B7ABE">
        <w:rPr>
          <w:rFonts w:ascii="Arial" w:hAnsi="Arial" w:cs="Arial"/>
          <w:color w:val="000000" w:themeColor="text1"/>
          <w:sz w:val="22"/>
          <w:szCs w:val="22"/>
        </w:rPr>
        <w:t>Margelyte</w:t>
      </w:r>
      <w:proofErr w:type="spellEnd"/>
      <w:r w:rsidRPr="005B7ABE">
        <w:rPr>
          <w:rFonts w:ascii="Arial" w:hAnsi="Arial" w:cs="Arial"/>
          <w:color w:val="000000" w:themeColor="text1"/>
          <w:sz w:val="22"/>
          <w:szCs w:val="22"/>
        </w:rPr>
        <w:t xml:space="preserve">, R., Jones, T., </w:t>
      </w:r>
      <w:proofErr w:type="spellStart"/>
      <w:r w:rsidRPr="005B7ABE">
        <w:rPr>
          <w:rFonts w:ascii="Arial" w:hAnsi="Arial" w:cs="Arial"/>
          <w:color w:val="000000" w:themeColor="text1"/>
          <w:sz w:val="22"/>
          <w:szCs w:val="22"/>
        </w:rPr>
        <w:t>Blazeby</w:t>
      </w:r>
      <w:proofErr w:type="spellEnd"/>
      <w:r w:rsidRPr="005B7ABE">
        <w:rPr>
          <w:rFonts w:ascii="Arial" w:hAnsi="Arial" w:cs="Arial"/>
          <w:color w:val="000000" w:themeColor="text1"/>
          <w:sz w:val="22"/>
          <w:szCs w:val="22"/>
        </w:rPr>
        <w:t xml:space="preserve">, J.M., Macleod, J., Owen-Smith, A., </w:t>
      </w:r>
      <w:proofErr w:type="spellStart"/>
      <w:r w:rsidRPr="005B7ABE">
        <w:rPr>
          <w:rFonts w:ascii="Arial" w:hAnsi="Arial" w:cs="Arial"/>
          <w:color w:val="000000" w:themeColor="text1"/>
          <w:sz w:val="22"/>
          <w:szCs w:val="22"/>
        </w:rPr>
        <w:t>Parretti</w:t>
      </w:r>
      <w:proofErr w:type="spellEnd"/>
      <w:r w:rsidRPr="005B7ABE">
        <w:rPr>
          <w:rFonts w:ascii="Arial" w:hAnsi="Arial" w:cs="Arial"/>
          <w:color w:val="000000" w:themeColor="text1"/>
          <w:sz w:val="22"/>
          <w:szCs w:val="22"/>
        </w:rPr>
        <w:t xml:space="preserve">, H., </w:t>
      </w:r>
      <w:proofErr w:type="spellStart"/>
      <w:r w:rsidRPr="005B7ABE">
        <w:rPr>
          <w:rFonts w:ascii="Arial" w:hAnsi="Arial" w:cs="Arial"/>
          <w:color w:val="000000" w:themeColor="text1"/>
          <w:sz w:val="22"/>
          <w:szCs w:val="22"/>
        </w:rPr>
        <w:t>Welbourn</w:t>
      </w:r>
      <w:proofErr w:type="spellEnd"/>
      <w:r w:rsidRPr="005B7ABE">
        <w:rPr>
          <w:rFonts w:ascii="Arial" w:hAnsi="Arial" w:cs="Arial"/>
          <w:color w:val="000000" w:themeColor="text1"/>
          <w:sz w:val="22"/>
          <w:szCs w:val="22"/>
        </w:rPr>
        <w:t xml:space="preserve">, R., </w:t>
      </w:r>
      <w:proofErr w:type="spellStart"/>
      <w:r w:rsidRPr="005B7ABE">
        <w:rPr>
          <w:rFonts w:ascii="Arial" w:hAnsi="Arial" w:cs="Arial"/>
          <w:color w:val="000000" w:themeColor="text1"/>
          <w:sz w:val="22"/>
          <w:szCs w:val="22"/>
        </w:rPr>
        <w:t>Redaniel</w:t>
      </w:r>
      <w:proofErr w:type="spellEnd"/>
      <w:r w:rsidRPr="005B7ABE">
        <w:rPr>
          <w:rFonts w:ascii="Arial" w:hAnsi="Arial" w:cs="Arial"/>
          <w:color w:val="000000" w:themeColor="text1"/>
          <w:sz w:val="22"/>
          <w:szCs w:val="22"/>
        </w:rPr>
        <w:t xml:space="preserve">, M.T. and Judge, A. (2023) 'Access to publicly funded weight management services in England using routine data from primary and secondary care (2007-2020): An observational cohort study', </w:t>
      </w:r>
      <w:r w:rsidRPr="006F0B0C">
        <w:rPr>
          <w:rFonts w:ascii="Arial" w:hAnsi="Arial" w:cs="Arial"/>
          <w:i/>
          <w:iCs/>
          <w:color w:val="000000" w:themeColor="text1"/>
          <w:sz w:val="22"/>
          <w:szCs w:val="22"/>
        </w:rPr>
        <w:t>PLoS Medicine</w:t>
      </w:r>
      <w:r w:rsidRPr="005B7ABE">
        <w:rPr>
          <w:rFonts w:ascii="Arial" w:hAnsi="Arial" w:cs="Arial"/>
          <w:color w:val="000000" w:themeColor="text1"/>
          <w:sz w:val="22"/>
          <w:szCs w:val="22"/>
        </w:rPr>
        <w:t>, 20(9). Available at:</w:t>
      </w:r>
    </w:p>
    <w:p w14:paraId="05F245B0"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https://doi.org/10.1371/joumal.pmed.1004282.</w:t>
      </w:r>
    </w:p>
    <w:p w14:paraId="3A681F18" w14:textId="77777777" w:rsidR="008B2645" w:rsidRPr="005B7ABE" w:rsidRDefault="008B2645" w:rsidP="0020706C">
      <w:pPr>
        <w:spacing w:line="360" w:lineRule="auto"/>
        <w:jc w:val="both"/>
        <w:rPr>
          <w:rFonts w:ascii="Arial" w:hAnsi="Arial" w:cs="Arial"/>
          <w:color w:val="000000" w:themeColor="text1"/>
          <w:sz w:val="22"/>
          <w:szCs w:val="22"/>
        </w:rPr>
      </w:pPr>
    </w:p>
    <w:p w14:paraId="477DB15D" w14:textId="29CD7ECB" w:rsidR="008B2645" w:rsidRPr="005B7ABE" w:rsidRDefault="008B2645" w:rsidP="0020706C">
      <w:pPr>
        <w:spacing w:line="360" w:lineRule="auto"/>
        <w:jc w:val="both"/>
        <w:rPr>
          <w:rFonts w:ascii="Arial" w:hAnsi="Arial" w:cs="Arial"/>
          <w:color w:val="000000" w:themeColor="text1"/>
          <w:sz w:val="22"/>
          <w:szCs w:val="22"/>
        </w:rPr>
      </w:pPr>
      <w:proofErr w:type="spellStart"/>
      <w:r w:rsidRPr="005B7ABE">
        <w:rPr>
          <w:rFonts w:ascii="Arial" w:hAnsi="Arial" w:cs="Arial"/>
          <w:color w:val="000000" w:themeColor="text1"/>
          <w:sz w:val="22"/>
          <w:szCs w:val="22"/>
        </w:rPr>
        <w:t>Fruh</w:t>
      </w:r>
      <w:proofErr w:type="spellEnd"/>
      <w:r w:rsidRPr="005B7ABE">
        <w:rPr>
          <w:rFonts w:ascii="Arial" w:hAnsi="Arial" w:cs="Arial"/>
          <w:color w:val="000000" w:themeColor="text1"/>
          <w:sz w:val="22"/>
          <w:szCs w:val="22"/>
        </w:rPr>
        <w:t>, S.M. (2017) 'Obesity: Risk factors, complications, and strategies for sustainable long-term weight management</w:t>
      </w:r>
      <w:r w:rsidR="009A73C2">
        <w:rPr>
          <w:rFonts w:ascii="Arial" w:hAnsi="Arial" w:cs="Arial"/>
          <w:color w:val="000000" w:themeColor="text1"/>
          <w:sz w:val="22"/>
          <w:szCs w:val="22"/>
        </w:rPr>
        <w:t>’</w:t>
      </w:r>
      <w:r w:rsidRPr="005B7ABE">
        <w:rPr>
          <w:rFonts w:ascii="Arial" w:hAnsi="Arial" w:cs="Arial"/>
          <w:color w:val="000000" w:themeColor="text1"/>
          <w:sz w:val="22"/>
          <w:szCs w:val="22"/>
        </w:rPr>
        <w:t xml:space="preserve">, </w:t>
      </w:r>
      <w:r w:rsidRPr="009A73C2">
        <w:rPr>
          <w:rFonts w:ascii="Arial" w:hAnsi="Arial" w:cs="Arial"/>
          <w:i/>
          <w:iCs/>
          <w:color w:val="000000" w:themeColor="text1"/>
          <w:sz w:val="22"/>
          <w:szCs w:val="22"/>
        </w:rPr>
        <w:t>Journal of the American Association of Nurse Practitioners</w:t>
      </w:r>
      <w:r w:rsidRPr="005B7ABE">
        <w:rPr>
          <w:rFonts w:ascii="Arial" w:hAnsi="Arial" w:cs="Arial"/>
          <w:color w:val="000000" w:themeColor="text1"/>
          <w:sz w:val="22"/>
          <w:szCs w:val="22"/>
        </w:rPr>
        <w:t>, 29(1), pp. S3-S14. Available at: https://doi.org/10.1002/2327-6924.12510.</w:t>
      </w:r>
    </w:p>
    <w:p w14:paraId="3C0A07DD" w14:textId="77777777" w:rsidR="008B2645" w:rsidRPr="005B7ABE" w:rsidRDefault="008B2645" w:rsidP="0020706C">
      <w:pPr>
        <w:spacing w:line="360" w:lineRule="auto"/>
        <w:jc w:val="both"/>
        <w:rPr>
          <w:rFonts w:ascii="Arial" w:hAnsi="Arial" w:cs="Arial"/>
          <w:color w:val="000000" w:themeColor="text1"/>
          <w:sz w:val="22"/>
          <w:szCs w:val="22"/>
        </w:rPr>
      </w:pPr>
    </w:p>
    <w:p w14:paraId="67DC8346"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 xml:space="preserve">Flint, S.W., Leaver, M., Griffiths, A. and </w:t>
      </w:r>
      <w:proofErr w:type="spellStart"/>
      <w:r w:rsidRPr="005B7ABE">
        <w:rPr>
          <w:rFonts w:ascii="Arial" w:hAnsi="Arial" w:cs="Arial"/>
          <w:color w:val="000000" w:themeColor="text1"/>
          <w:sz w:val="22"/>
          <w:szCs w:val="22"/>
        </w:rPr>
        <w:t>Kaykanloo</w:t>
      </w:r>
      <w:proofErr w:type="spellEnd"/>
      <w:r w:rsidRPr="005B7ABE">
        <w:rPr>
          <w:rFonts w:ascii="Arial" w:hAnsi="Arial" w:cs="Arial"/>
          <w:color w:val="000000" w:themeColor="text1"/>
          <w:sz w:val="22"/>
          <w:szCs w:val="22"/>
        </w:rPr>
        <w:t xml:space="preserve">, M. (2021) Disparate healthcare experiences of people living with overweight or obesity in England', </w:t>
      </w:r>
      <w:r w:rsidRPr="009A73C2">
        <w:rPr>
          <w:rFonts w:ascii="Arial" w:hAnsi="Arial" w:cs="Arial"/>
          <w:i/>
          <w:iCs/>
          <w:color w:val="000000" w:themeColor="text1"/>
          <w:sz w:val="22"/>
          <w:szCs w:val="22"/>
        </w:rPr>
        <w:t>eClinicalMedicine</w:t>
      </w:r>
      <w:r w:rsidRPr="005B7ABE">
        <w:rPr>
          <w:rFonts w:ascii="Arial" w:hAnsi="Arial" w:cs="Arial"/>
          <w:color w:val="000000" w:themeColor="text1"/>
          <w:sz w:val="22"/>
          <w:szCs w:val="22"/>
        </w:rPr>
        <w:t xml:space="preserve">, 41. Available at: https://doi.org/10.1016 </w:t>
      </w:r>
      <w:proofErr w:type="spellStart"/>
      <w:r w:rsidRPr="005B7ABE">
        <w:rPr>
          <w:rFonts w:ascii="Arial" w:hAnsi="Arial" w:cs="Arial"/>
          <w:color w:val="000000" w:themeColor="text1"/>
          <w:sz w:val="22"/>
          <w:szCs w:val="22"/>
        </w:rPr>
        <w:t>j.eclinm.2021.101140</w:t>
      </w:r>
      <w:proofErr w:type="spellEnd"/>
      <w:r w:rsidRPr="005B7ABE">
        <w:rPr>
          <w:rFonts w:ascii="Arial" w:hAnsi="Arial" w:cs="Arial"/>
          <w:color w:val="000000" w:themeColor="text1"/>
          <w:sz w:val="22"/>
          <w:szCs w:val="22"/>
        </w:rPr>
        <w:t>.</w:t>
      </w:r>
    </w:p>
    <w:p w14:paraId="11A4F40B" w14:textId="77777777" w:rsidR="008B2645" w:rsidRPr="005B7ABE" w:rsidRDefault="008B2645" w:rsidP="0020706C">
      <w:pPr>
        <w:spacing w:line="360" w:lineRule="auto"/>
        <w:jc w:val="both"/>
        <w:rPr>
          <w:rFonts w:ascii="Arial" w:hAnsi="Arial" w:cs="Arial"/>
          <w:color w:val="000000" w:themeColor="text1"/>
          <w:sz w:val="22"/>
          <w:szCs w:val="22"/>
        </w:rPr>
      </w:pPr>
    </w:p>
    <w:p w14:paraId="0032F4C9"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 xml:space="preserve">NHS Long Term Plan (2025) </w:t>
      </w:r>
      <w:r w:rsidRPr="009A73C2">
        <w:rPr>
          <w:rFonts w:ascii="Arial" w:hAnsi="Arial" w:cs="Arial"/>
          <w:i/>
          <w:iCs/>
          <w:color w:val="000000" w:themeColor="text1"/>
          <w:sz w:val="22"/>
          <w:szCs w:val="22"/>
        </w:rPr>
        <w:t>10 Year Health Plan for England: fit for the future</w:t>
      </w:r>
      <w:r w:rsidRPr="005B7ABE">
        <w:rPr>
          <w:rFonts w:ascii="Arial" w:hAnsi="Arial" w:cs="Arial"/>
          <w:color w:val="000000" w:themeColor="text1"/>
          <w:sz w:val="22"/>
          <w:szCs w:val="22"/>
        </w:rPr>
        <w:t>. Available at: https://www.gov.uk/govemment/publications/10-year-health-plan-for-england-fit-for-the-future</w:t>
      </w:r>
    </w:p>
    <w:p w14:paraId="3DE56BA2"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(Accessed: 13 February 2026).</w:t>
      </w:r>
    </w:p>
    <w:p w14:paraId="255EEA90" w14:textId="77777777" w:rsidR="008B2645" w:rsidRPr="005B7ABE" w:rsidRDefault="008B2645" w:rsidP="0020706C">
      <w:pPr>
        <w:spacing w:line="360" w:lineRule="auto"/>
        <w:jc w:val="both"/>
        <w:rPr>
          <w:rFonts w:ascii="Arial" w:hAnsi="Arial" w:cs="Arial"/>
          <w:color w:val="000000" w:themeColor="text1"/>
          <w:sz w:val="22"/>
          <w:szCs w:val="22"/>
        </w:rPr>
      </w:pPr>
    </w:p>
    <w:p w14:paraId="45596DD4" w14:textId="77777777" w:rsidR="008B2645" w:rsidRPr="005B7ABE" w:rsidRDefault="008B2645" w:rsidP="0020706C">
      <w:pPr>
        <w:spacing w:line="360" w:lineRule="auto"/>
        <w:jc w:val="both"/>
        <w:rPr>
          <w:rFonts w:ascii="Arial" w:hAnsi="Arial" w:cs="Arial"/>
          <w:color w:val="000000" w:themeColor="text1"/>
          <w:sz w:val="22"/>
          <w:szCs w:val="22"/>
        </w:rPr>
      </w:pPr>
      <w:proofErr w:type="spellStart"/>
      <w:r w:rsidRPr="005B7ABE">
        <w:rPr>
          <w:rFonts w:ascii="Arial" w:hAnsi="Arial" w:cs="Arial"/>
          <w:color w:val="000000" w:themeColor="text1"/>
          <w:sz w:val="22"/>
          <w:szCs w:val="22"/>
        </w:rPr>
        <w:t>Aveyard</w:t>
      </w:r>
      <w:proofErr w:type="spellEnd"/>
      <w:r w:rsidRPr="005B7ABE">
        <w:rPr>
          <w:rFonts w:ascii="Arial" w:hAnsi="Arial" w:cs="Arial"/>
          <w:color w:val="000000" w:themeColor="text1"/>
          <w:sz w:val="22"/>
          <w:szCs w:val="22"/>
        </w:rPr>
        <w:t>, H. (2014) Doing a literature review in health and social care: a practical guide. 3rd</w:t>
      </w:r>
    </w:p>
    <w:p w14:paraId="12D73DDA" w14:textId="77777777" w:rsidR="008B2645" w:rsidRPr="005B7ABE" w:rsidRDefault="008B2645" w:rsidP="0020706C">
      <w:pPr>
        <w:spacing w:line="360" w:lineRule="auto"/>
        <w:jc w:val="both"/>
        <w:rPr>
          <w:rFonts w:ascii="Arial" w:hAnsi="Arial" w:cs="Arial"/>
          <w:color w:val="000000" w:themeColor="text1"/>
          <w:sz w:val="22"/>
          <w:szCs w:val="22"/>
        </w:rPr>
      </w:pPr>
    </w:p>
    <w:p w14:paraId="666C93E2"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 xml:space="preserve">Kelly, A., </w:t>
      </w:r>
      <w:proofErr w:type="spellStart"/>
      <w:r w:rsidRPr="005B7ABE">
        <w:rPr>
          <w:rFonts w:ascii="Arial" w:hAnsi="Arial" w:cs="Arial"/>
          <w:color w:val="000000" w:themeColor="text1"/>
          <w:sz w:val="22"/>
          <w:szCs w:val="22"/>
        </w:rPr>
        <w:t>Croker</w:t>
      </w:r>
      <w:proofErr w:type="spellEnd"/>
      <w:r w:rsidRPr="005B7ABE">
        <w:rPr>
          <w:rFonts w:ascii="Arial" w:hAnsi="Arial" w:cs="Arial"/>
          <w:color w:val="000000" w:themeColor="text1"/>
          <w:sz w:val="22"/>
          <w:szCs w:val="22"/>
        </w:rPr>
        <w:t xml:space="preserve">, H., O’Neill, R., Woodside, J.V. and McGowan, L. (2026) ‘A systematic scoping review of adult obesity policy actions and weight-related services in a region of the United Kingdom using the behaviour change wheel’, </w:t>
      </w:r>
      <w:r w:rsidRPr="001D57A5">
        <w:rPr>
          <w:rFonts w:ascii="Arial" w:hAnsi="Arial" w:cs="Arial"/>
          <w:i/>
          <w:iCs/>
          <w:color w:val="000000" w:themeColor="text1"/>
          <w:sz w:val="22"/>
          <w:szCs w:val="22"/>
        </w:rPr>
        <w:t>BMC Public Health</w:t>
      </w:r>
      <w:r w:rsidRPr="005B7ABE">
        <w:rPr>
          <w:rFonts w:ascii="Arial" w:hAnsi="Arial" w:cs="Arial"/>
          <w:color w:val="000000" w:themeColor="text1"/>
          <w:sz w:val="22"/>
          <w:szCs w:val="22"/>
        </w:rPr>
        <w:t>, 26, p. 695. Available at: https://doi.org/10.1186/s12889-026-26376-7</w:t>
      </w:r>
    </w:p>
    <w:p w14:paraId="6E722E13" w14:textId="77777777" w:rsidR="008B2645" w:rsidRPr="005B7ABE" w:rsidRDefault="008B2645" w:rsidP="0020706C">
      <w:pPr>
        <w:spacing w:line="360" w:lineRule="auto"/>
        <w:jc w:val="both"/>
        <w:rPr>
          <w:rFonts w:ascii="Arial" w:hAnsi="Arial" w:cs="Arial"/>
          <w:color w:val="000000" w:themeColor="text1"/>
          <w:sz w:val="22"/>
          <w:szCs w:val="22"/>
        </w:rPr>
      </w:pPr>
    </w:p>
    <w:p w14:paraId="2D5E7B1A" w14:textId="77777777" w:rsidR="008B2645" w:rsidRPr="005B7ABE" w:rsidRDefault="008B2645" w:rsidP="0020706C">
      <w:pPr>
        <w:spacing w:line="360" w:lineRule="auto"/>
        <w:jc w:val="both"/>
        <w:rPr>
          <w:rFonts w:ascii="Arial" w:hAnsi="Arial" w:cs="Arial"/>
          <w:color w:val="000000" w:themeColor="text1"/>
          <w:sz w:val="22"/>
          <w:szCs w:val="22"/>
        </w:rPr>
      </w:pPr>
      <w:proofErr w:type="spellStart"/>
      <w:r w:rsidRPr="005B7ABE">
        <w:rPr>
          <w:rFonts w:ascii="Arial" w:hAnsi="Arial" w:cs="Arial"/>
          <w:color w:val="000000" w:themeColor="text1"/>
          <w:sz w:val="22"/>
          <w:szCs w:val="22"/>
        </w:rPr>
        <w:lastRenderedPageBreak/>
        <w:t>Katsoulis</w:t>
      </w:r>
      <w:proofErr w:type="spellEnd"/>
      <w:r w:rsidRPr="005B7ABE">
        <w:rPr>
          <w:rFonts w:ascii="Arial" w:hAnsi="Arial" w:cs="Arial"/>
          <w:color w:val="000000" w:themeColor="text1"/>
          <w:sz w:val="22"/>
          <w:szCs w:val="22"/>
        </w:rPr>
        <w:t xml:space="preserve">, M., Lai, A.G., </w:t>
      </w:r>
      <w:proofErr w:type="spellStart"/>
      <w:r w:rsidRPr="005B7ABE">
        <w:rPr>
          <w:rFonts w:ascii="Arial" w:hAnsi="Arial" w:cs="Arial"/>
          <w:color w:val="000000" w:themeColor="text1"/>
          <w:sz w:val="22"/>
          <w:szCs w:val="22"/>
        </w:rPr>
        <w:t>Diaz-Ordaz</w:t>
      </w:r>
      <w:proofErr w:type="spellEnd"/>
      <w:r w:rsidRPr="005B7ABE">
        <w:rPr>
          <w:rFonts w:ascii="Arial" w:hAnsi="Arial" w:cs="Arial"/>
          <w:color w:val="000000" w:themeColor="text1"/>
          <w:sz w:val="22"/>
          <w:szCs w:val="22"/>
        </w:rPr>
        <w:t xml:space="preserve">, K., Gomes, M., </w:t>
      </w:r>
      <w:proofErr w:type="spellStart"/>
      <w:r w:rsidRPr="005B7ABE">
        <w:rPr>
          <w:rFonts w:ascii="Arial" w:hAnsi="Arial" w:cs="Arial"/>
          <w:color w:val="000000" w:themeColor="text1"/>
          <w:sz w:val="22"/>
          <w:szCs w:val="22"/>
        </w:rPr>
        <w:t>Pasea</w:t>
      </w:r>
      <w:proofErr w:type="spellEnd"/>
      <w:r w:rsidRPr="005B7ABE">
        <w:rPr>
          <w:rFonts w:ascii="Arial" w:hAnsi="Arial" w:cs="Arial"/>
          <w:color w:val="000000" w:themeColor="text1"/>
          <w:sz w:val="22"/>
          <w:szCs w:val="22"/>
        </w:rPr>
        <w:t xml:space="preserve">, L., Banerjee, A., </w:t>
      </w:r>
      <w:proofErr w:type="spellStart"/>
      <w:r w:rsidRPr="005B7ABE">
        <w:rPr>
          <w:rFonts w:ascii="Arial" w:hAnsi="Arial" w:cs="Arial"/>
          <w:color w:val="000000" w:themeColor="text1"/>
          <w:sz w:val="22"/>
          <w:szCs w:val="22"/>
        </w:rPr>
        <w:t>Denaxas</w:t>
      </w:r>
      <w:proofErr w:type="spellEnd"/>
      <w:r w:rsidRPr="005B7ABE">
        <w:rPr>
          <w:rFonts w:ascii="Arial" w:hAnsi="Arial" w:cs="Arial"/>
          <w:color w:val="000000" w:themeColor="text1"/>
          <w:sz w:val="22"/>
          <w:szCs w:val="22"/>
        </w:rPr>
        <w:t xml:space="preserve">, S., </w:t>
      </w:r>
      <w:proofErr w:type="spellStart"/>
      <w:r w:rsidRPr="005B7ABE">
        <w:rPr>
          <w:rFonts w:ascii="Arial" w:hAnsi="Arial" w:cs="Arial"/>
          <w:color w:val="000000" w:themeColor="text1"/>
          <w:sz w:val="22"/>
          <w:szCs w:val="22"/>
        </w:rPr>
        <w:t>Tsilidis</w:t>
      </w:r>
      <w:proofErr w:type="spellEnd"/>
      <w:r w:rsidRPr="005B7ABE">
        <w:rPr>
          <w:rFonts w:ascii="Arial" w:hAnsi="Arial" w:cs="Arial"/>
          <w:color w:val="000000" w:themeColor="text1"/>
          <w:sz w:val="22"/>
          <w:szCs w:val="22"/>
        </w:rPr>
        <w:t xml:space="preserve">, K., </w:t>
      </w:r>
      <w:proofErr w:type="spellStart"/>
      <w:r w:rsidRPr="005B7ABE">
        <w:rPr>
          <w:rFonts w:ascii="Arial" w:hAnsi="Arial" w:cs="Arial"/>
          <w:color w:val="000000" w:themeColor="text1"/>
          <w:sz w:val="22"/>
          <w:szCs w:val="22"/>
        </w:rPr>
        <w:t>Lagiou</w:t>
      </w:r>
      <w:proofErr w:type="spellEnd"/>
      <w:r w:rsidRPr="005B7ABE">
        <w:rPr>
          <w:rFonts w:ascii="Arial" w:hAnsi="Arial" w:cs="Arial"/>
          <w:color w:val="000000" w:themeColor="text1"/>
          <w:sz w:val="22"/>
          <w:szCs w:val="22"/>
        </w:rPr>
        <w:t xml:space="preserve">, P., </w:t>
      </w:r>
      <w:proofErr w:type="spellStart"/>
      <w:r w:rsidRPr="005B7ABE">
        <w:rPr>
          <w:rFonts w:ascii="Arial" w:hAnsi="Arial" w:cs="Arial"/>
          <w:color w:val="000000" w:themeColor="text1"/>
          <w:sz w:val="22"/>
          <w:szCs w:val="22"/>
        </w:rPr>
        <w:t>Misirli</w:t>
      </w:r>
      <w:proofErr w:type="spellEnd"/>
      <w:r w:rsidRPr="005B7ABE">
        <w:rPr>
          <w:rFonts w:ascii="Arial" w:hAnsi="Arial" w:cs="Arial"/>
          <w:color w:val="000000" w:themeColor="text1"/>
          <w:sz w:val="22"/>
          <w:szCs w:val="22"/>
        </w:rPr>
        <w:t xml:space="preserve">, G., </w:t>
      </w:r>
      <w:proofErr w:type="spellStart"/>
      <w:r w:rsidRPr="005B7ABE">
        <w:rPr>
          <w:rFonts w:ascii="Arial" w:hAnsi="Arial" w:cs="Arial"/>
          <w:color w:val="000000" w:themeColor="text1"/>
          <w:sz w:val="22"/>
          <w:szCs w:val="22"/>
        </w:rPr>
        <w:t>Bhaskaran</w:t>
      </w:r>
      <w:proofErr w:type="spellEnd"/>
      <w:r w:rsidRPr="005B7ABE">
        <w:rPr>
          <w:rFonts w:ascii="Arial" w:hAnsi="Arial" w:cs="Arial"/>
          <w:color w:val="000000" w:themeColor="text1"/>
          <w:sz w:val="22"/>
          <w:szCs w:val="22"/>
        </w:rPr>
        <w:t xml:space="preserve">, K., </w:t>
      </w:r>
      <w:proofErr w:type="spellStart"/>
      <w:r w:rsidRPr="005B7ABE">
        <w:rPr>
          <w:rFonts w:ascii="Arial" w:hAnsi="Arial" w:cs="Arial"/>
          <w:color w:val="000000" w:themeColor="text1"/>
          <w:sz w:val="22"/>
          <w:szCs w:val="22"/>
        </w:rPr>
        <w:t>Wannamethee</w:t>
      </w:r>
      <w:proofErr w:type="spellEnd"/>
      <w:r w:rsidRPr="005B7ABE">
        <w:rPr>
          <w:rFonts w:ascii="Arial" w:hAnsi="Arial" w:cs="Arial"/>
          <w:color w:val="000000" w:themeColor="text1"/>
          <w:sz w:val="22"/>
          <w:szCs w:val="22"/>
        </w:rPr>
        <w:t xml:space="preserve">, G., Dobson, R., </w:t>
      </w:r>
      <w:proofErr w:type="spellStart"/>
      <w:r w:rsidRPr="005B7ABE">
        <w:rPr>
          <w:rFonts w:ascii="Arial" w:hAnsi="Arial" w:cs="Arial"/>
          <w:color w:val="000000" w:themeColor="text1"/>
          <w:sz w:val="22"/>
          <w:szCs w:val="22"/>
        </w:rPr>
        <w:t>Batterham</w:t>
      </w:r>
      <w:proofErr w:type="spellEnd"/>
      <w:r w:rsidRPr="005B7ABE">
        <w:rPr>
          <w:rFonts w:ascii="Arial" w:hAnsi="Arial" w:cs="Arial"/>
          <w:color w:val="000000" w:themeColor="text1"/>
          <w:sz w:val="22"/>
          <w:szCs w:val="22"/>
        </w:rPr>
        <w:t xml:space="preserve">, R.L., </w:t>
      </w:r>
      <w:proofErr w:type="spellStart"/>
      <w:r w:rsidRPr="005B7ABE">
        <w:rPr>
          <w:rFonts w:ascii="Arial" w:hAnsi="Arial" w:cs="Arial"/>
          <w:color w:val="000000" w:themeColor="text1"/>
          <w:sz w:val="22"/>
          <w:szCs w:val="22"/>
        </w:rPr>
        <w:t>Kipourou</w:t>
      </w:r>
      <w:proofErr w:type="spellEnd"/>
      <w:r w:rsidRPr="005B7ABE">
        <w:rPr>
          <w:rFonts w:ascii="Arial" w:hAnsi="Arial" w:cs="Arial"/>
          <w:color w:val="000000" w:themeColor="text1"/>
          <w:sz w:val="22"/>
          <w:szCs w:val="22"/>
        </w:rPr>
        <w:t xml:space="preserve">, D.-K., Lumbers, R.T., Wen, L., </w:t>
      </w:r>
      <w:proofErr w:type="spellStart"/>
      <w:r w:rsidRPr="005B7ABE">
        <w:rPr>
          <w:rFonts w:ascii="Arial" w:hAnsi="Arial" w:cs="Arial"/>
          <w:color w:val="000000" w:themeColor="text1"/>
          <w:sz w:val="22"/>
          <w:szCs w:val="22"/>
        </w:rPr>
        <w:t>Wareham</w:t>
      </w:r>
      <w:proofErr w:type="spellEnd"/>
      <w:r w:rsidRPr="005B7ABE">
        <w:rPr>
          <w:rFonts w:ascii="Arial" w:hAnsi="Arial" w:cs="Arial"/>
          <w:color w:val="000000" w:themeColor="text1"/>
          <w:sz w:val="22"/>
          <w:szCs w:val="22"/>
        </w:rPr>
        <w:t xml:space="preserve">, N., </w:t>
      </w:r>
      <w:proofErr w:type="spellStart"/>
      <w:r w:rsidRPr="005B7ABE">
        <w:rPr>
          <w:rFonts w:ascii="Arial" w:hAnsi="Arial" w:cs="Arial"/>
          <w:color w:val="000000" w:themeColor="text1"/>
          <w:sz w:val="22"/>
          <w:szCs w:val="22"/>
        </w:rPr>
        <w:t>Langenberg</w:t>
      </w:r>
      <w:proofErr w:type="spellEnd"/>
      <w:r w:rsidRPr="005B7ABE">
        <w:rPr>
          <w:rFonts w:ascii="Arial" w:hAnsi="Arial" w:cs="Arial"/>
          <w:color w:val="000000" w:themeColor="text1"/>
          <w:sz w:val="22"/>
          <w:szCs w:val="22"/>
        </w:rPr>
        <w:t xml:space="preserve">, C. and Hemingway, H. (2021) ‘Identifying adults at high-risk for change in weight and BMI in England: a longitudinal, large-scale, population-based cohort study using electronic health records’, </w:t>
      </w:r>
      <w:r w:rsidRPr="001D57A5">
        <w:rPr>
          <w:rFonts w:ascii="Arial" w:hAnsi="Arial" w:cs="Arial"/>
          <w:i/>
          <w:iCs/>
          <w:color w:val="000000" w:themeColor="text1"/>
          <w:sz w:val="22"/>
          <w:szCs w:val="22"/>
        </w:rPr>
        <w:t>The Lancet Diabetes &amp; Endocrinology,</w:t>
      </w:r>
      <w:r w:rsidRPr="005B7ABE">
        <w:rPr>
          <w:rFonts w:ascii="Arial" w:hAnsi="Arial" w:cs="Arial"/>
          <w:color w:val="000000" w:themeColor="text1"/>
          <w:sz w:val="22"/>
          <w:szCs w:val="22"/>
        </w:rPr>
        <w:t xml:space="preserve"> 9(10), pp. 681–694. Available at: https://doi.org/10.1016/S2213-8587(21)00207-2</w:t>
      </w:r>
    </w:p>
    <w:p w14:paraId="1CA55303" w14:textId="77777777" w:rsidR="008B2645" w:rsidRPr="005B7ABE" w:rsidRDefault="008B2645" w:rsidP="0020706C">
      <w:pPr>
        <w:spacing w:line="360" w:lineRule="auto"/>
        <w:jc w:val="both"/>
        <w:rPr>
          <w:rFonts w:ascii="Arial" w:hAnsi="Arial" w:cs="Arial"/>
          <w:color w:val="000000" w:themeColor="text1"/>
          <w:sz w:val="22"/>
          <w:szCs w:val="22"/>
        </w:rPr>
      </w:pPr>
    </w:p>
    <w:p w14:paraId="0D6E6745"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 xml:space="preserve">McLaughlin, J.C., Hamilton, K. and Kipping, R. (2017) ‘Epidemiology of adult overweight recording and management by UK GPs: a systematic review’, </w:t>
      </w:r>
      <w:r w:rsidRPr="001D57A5">
        <w:rPr>
          <w:rFonts w:ascii="Arial" w:hAnsi="Arial" w:cs="Arial"/>
          <w:i/>
          <w:iCs/>
          <w:color w:val="000000" w:themeColor="text1"/>
          <w:sz w:val="22"/>
          <w:szCs w:val="22"/>
        </w:rPr>
        <w:t>British Journal of General Practice</w:t>
      </w:r>
      <w:r w:rsidRPr="005B7ABE">
        <w:rPr>
          <w:rFonts w:ascii="Arial" w:hAnsi="Arial" w:cs="Arial"/>
          <w:color w:val="000000" w:themeColor="text1"/>
          <w:sz w:val="22"/>
          <w:szCs w:val="22"/>
        </w:rPr>
        <w:t>, 67(663), pp. e676–e683. Available at: https://doi.org/10.3399/bjgp17X692309</w:t>
      </w:r>
    </w:p>
    <w:p w14:paraId="5F7C78FD" w14:textId="77777777" w:rsidR="008B2645" w:rsidRPr="005B7ABE" w:rsidRDefault="008B2645" w:rsidP="0020706C">
      <w:pPr>
        <w:spacing w:line="360" w:lineRule="auto"/>
        <w:jc w:val="both"/>
        <w:rPr>
          <w:rFonts w:ascii="Arial" w:hAnsi="Arial" w:cs="Arial"/>
          <w:color w:val="000000" w:themeColor="text1"/>
          <w:sz w:val="22"/>
          <w:szCs w:val="22"/>
        </w:rPr>
      </w:pPr>
    </w:p>
    <w:p w14:paraId="200D1EA9" w14:textId="453A6138" w:rsidR="00B8461A" w:rsidRPr="005B7ABE" w:rsidRDefault="008B2645" w:rsidP="0020706C">
      <w:pPr>
        <w:spacing w:line="360" w:lineRule="auto"/>
        <w:jc w:val="both"/>
        <w:rPr>
          <w:rFonts w:ascii="Arial" w:hAnsi="Arial" w:cs="Arial"/>
          <w:color w:val="000000" w:themeColor="text1"/>
          <w:sz w:val="22"/>
          <w:szCs w:val="22"/>
        </w:rPr>
      </w:pPr>
      <w:proofErr w:type="spellStart"/>
      <w:r w:rsidRPr="005B7ABE">
        <w:rPr>
          <w:rFonts w:ascii="Arial" w:hAnsi="Arial" w:cs="Arial"/>
          <w:color w:val="000000" w:themeColor="text1"/>
          <w:sz w:val="22"/>
          <w:szCs w:val="22"/>
        </w:rPr>
        <w:t>Arksey</w:t>
      </w:r>
      <w:proofErr w:type="spellEnd"/>
      <w:r w:rsidRPr="005B7ABE">
        <w:rPr>
          <w:rFonts w:ascii="Arial" w:hAnsi="Arial" w:cs="Arial"/>
          <w:color w:val="000000" w:themeColor="text1"/>
          <w:sz w:val="22"/>
          <w:szCs w:val="22"/>
        </w:rPr>
        <w:t xml:space="preserve">, H. and O’Malley, L. (2005) ‘Scoping studies: towards a methodological framework’, </w:t>
      </w:r>
      <w:r w:rsidRPr="00222E76">
        <w:rPr>
          <w:rFonts w:ascii="Arial" w:hAnsi="Arial" w:cs="Arial"/>
          <w:i/>
          <w:iCs/>
          <w:color w:val="000000" w:themeColor="text1"/>
          <w:sz w:val="22"/>
          <w:szCs w:val="22"/>
        </w:rPr>
        <w:t>International Journal of Social Research Methodology,</w:t>
      </w:r>
      <w:r w:rsidRPr="005B7ABE">
        <w:rPr>
          <w:rFonts w:ascii="Arial" w:hAnsi="Arial" w:cs="Arial"/>
          <w:color w:val="000000" w:themeColor="text1"/>
          <w:sz w:val="22"/>
          <w:szCs w:val="22"/>
        </w:rPr>
        <w:t xml:space="preserve"> 8(1), pp. 19–32. Available at: https://doi.org/10.1080/1364557032000119616</w:t>
      </w:r>
    </w:p>
    <w:sectPr w:rsidR="00B8461A" w:rsidRPr="005B7ABE">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3EF972" w14:textId="77777777" w:rsidR="00BB62C6" w:rsidRDefault="00BB62C6" w:rsidP="00F71009">
      <w:pPr>
        <w:spacing w:after="0" w:line="240" w:lineRule="auto"/>
      </w:pPr>
      <w:r>
        <w:separator/>
      </w:r>
    </w:p>
  </w:endnote>
  <w:endnote w:type="continuationSeparator" w:id="0">
    <w:p w14:paraId="51FC0BB1" w14:textId="77777777" w:rsidR="00BB62C6" w:rsidRDefault="00BB62C6" w:rsidP="00F710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48910576"/>
      <w:docPartObj>
        <w:docPartGallery w:val="Page Numbers (Bottom of Page)"/>
        <w:docPartUnique/>
      </w:docPartObj>
    </w:sdtPr>
    <w:sdtEndPr>
      <w:rPr>
        <w:rStyle w:val="PageNumber"/>
      </w:rPr>
    </w:sdtEndPr>
    <w:sdtContent>
      <w:p w14:paraId="00FB4E3A" w14:textId="1C18DBE4" w:rsidR="00F71009" w:rsidRDefault="00F71009" w:rsidP="00C2340A">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C30FEA6" w14:textId="77777777" w:rsidR="00F71009" w:rsidRDefault="00F71009" w:rsidP="00F71009">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94792075"/>
      <w:docPartObj>
        <w:docPartGallery w:val="Page Numbers (Bottom of Page)"/>
        <w:docPartUnique/>
      </w:docPartObj>
    </w:sdtPr>
    <w:sdtEndPr>
      <w:rPr>
        <w:rStyle w:val="PageNumber"/>
      </w:rPr>
    </w:sdtEndPr>
    <w:sdtContent>
      <w:p w14:paraId="4488CA9B" w14:textId="5A980C5E" w:rsidR="00F71009" w:rsidRDefault="00F71009" w:rsidP="00C2340A">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4B336D6" w14:textId="77777777" w:rsidR="00F71009" w:rsidRDefault="00F71009" w:rsidP="00F71009">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6AE497" w14:textId="77777777" w:rsidR="00BB62C6" w:rsidRDefault="00BB62C6" w:rsidP="00F71009">
      <w:pPr>
        <w:spacing w:after="0" w:line="240" w:lineRule="auto"/>
      </w:pPr>
      <w:r>
        <w:separator/>
      </w:r>
    </w:p>
  </w:footnote>
  <w:footnote w:type="continuationSeparator" w:id="0">
    <w:p w14:paraId="5637A493" w14:textId="77777777" w:rsidR="00BB62C6" w:rsidRDefault="00BB62C6" w:rsidP="00F710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54DC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1B2AA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CB186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466AC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1C703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BF042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6F40F1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D263E8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31943C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585435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96618016">
    <w:abstractNumId w:val="9"/>
  </w:num>
  <w:num w:numId="2" w16cid:durableId="1845507971">
    <w:abstractNumId w:val="0"/>
  </w:num>
  <w:num w:numId="3" w16cid:durableId="1317799218">
    <w:abstractNumId w:val="6"/>
  </w:num>
  <w:num w:numId="4" w16cid:durableId="1867525174">
    <w:abstractNumId w:val="2"/>
  </w:num>
  <w:num w:numId="5" w16cid:durableId="1707098549">
    <w:abstractNumId w:val="7"/>
  </w:num>
  <w:num w:numId="6" w16cid:durableId="141314110">
    <w:abstractNumId w:val="8"/>
  </w:num>
  <w:num w:numId="7" w16cid:durableId="377780793">
    <w:abstractNumId w:val="4"/>
  </w:num>
  <w:num w:numId="8" w16cid:durableId="491722562">
    <w:abstractNumId w:val="1"/>
  </w:num>
  <w:num w:numId="9" w16cid:durableId="1860703548">
    <w:abstractNumId w:val="5"/>
  </w:num>
  <w:num w:numId="10" w16cid:durableId="138556616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113F"/>
    <w:rsid w:val="00005204"/>
    <w:rsid w:val="00013535"/>
    <w:rsid w:val="00016593"/>
    <w:rsid w:val="00020071"/>
    <w:rsid w:val="000234B3"/>
    <w:rsid w:val="00034990"/>
    <w:rsid w:val="00051A05"/>
    <w:rsid w:val="00052EE6"/>
    <w:rsid w:val="00053262"/>
    <w:rsid w:val="000612F5"/>
    <w:rsid w:val="0009333A"/>
    <w:rsid w:val="000A223D"/>
    <w:rsid w:val="000A61BF"/>
    <w:rsid w:val="000B7DCE"/>
    <w:rsid w:val="000D1D53"/>
    <w:rsid w:val="000F1F89"/>
    <w:rsid w:val="000F7017"/>
    <w:rsid w:val="001134CB"/>
    <w:rsid w:val="001235BF"/>
    <w:rsid w:val="001451DF"/>
    <w:rsid w:val="00146DA9"/>
    <w:rsid w:val="00161F8E"/>
    <w:rsid w:val="00175EBF"/>
    <w:rsid w:val="00183E88"/>
    <w:rsid w:val="001B0B49"/>
    <w:rsid w:val="001C0000"/>
    <w:rsid w:val="001C37D6"/>
    <w:rsid w:val="001C6AA2"/>
    <w:rsid w:val="001D57A5"/>
    <w:rsid w:val="002053C1"/>
    <w:rsid w:val="0020706C"/>
    <w:rsid w:val="00222E76"/>
    <w:rsid w:val="002345E3"/>
    <w:rsid w:val="00237FDB"/>
    <w:rsid w:val="0025637C"/>
    <w:rsid w:val="00282D5D"/>
    <w:rsid w:val="002A1A76"/>
    <w:rsid w:val="002A2B6D"/>
    <w:rsid w:val="002B0CC8"/>
    <w:rsid w:val="002D2A41"/>
    <w:rsid w:val="002D5EC4"/>
    <w:rsid w:val="0033113F"/>
    <w:rsid w:val="003415D5"/>
    <w:rsid w:val="00343782"/>
    <w:rsid w:val="003758AA"/>
    <w:rsid w:val="00377D95"/>
    <w:rsid w:val="003A5ACC"/>
    <w:rsid w:val="003A71DB"/>
    <w:rsid w:val="003F66D7"/>
    <w:rsid w:val="00421DEB"/>
    <w:rsid w:val="00424B4E"/>
    <w:rsid w:val="00441C05"/>
    <w:rsid w:val="00442172"/>
    <w:rsid w:val="00447771"/>
    <w:rsid w:val="00453AFD"/>
    <w:rsid w:val="00481C5E"/>
    <w:rsid w:val="004825B9"/>
    <w:rsid w:val="004918F8"/>
    <w:rsid w:val="004B0B4C"/>
    <w:rsid w:val="004B5266"/>
    <w:rsid w:val="004D3180"/>
    <w:rsid w:val="004D37FE"/>
    <w:rsid w:val="004D6220"/>
    <w:rsid w:val="004E1830"/>
    <w:rsid w:val="004E31B4"/>
    <w:rsid w:val="004F7740"/>
    <w:rsid w:val="0050463C"/>
    <w:rsid w:val="00517B08"/>
    <w:rsid w:val="005230F1"/>
    <w:rsid w:val="005473A9"/>
    <w:rsid w:val="005565F6"/>
    <w:rsid w:val="00573061"/>
    <w:rsid w:val="005B04F1"/>
    <w:rsid w:val="005B14AC"/>
    <w:rsid w:val="005B3118"/>
    <w:rsid w:val="005B3151"/>
    <w:rsid w:val="005B7ABE"/>
    <w:rsid w:val="005F5654"/>
    <w:rsid w:val="006253FD"/>
    <w:rsid w:val="006519AA"/>
    <w:rsid w:val="00652D00"/>
    <w:rsid w:val="00684609"/>
    <w:rsid w:val="00685591"/>
    <w:rsid w:val="006C00B2"/>
    <w:rsid w:val="006C76E5"/>
    <w:rsid w:val="006F0B0C"/>
    <w:rsid w:val="006F5110"/>
    <w:rsid w:val="00711E36"/>
    <w:rsid w:val="007356C6"/>
    <w:rsid w:val="00754D52"/>
    <w:rsid w:val="00765024"/>
    <w:rsid w:val="00773EAC"/>
    <w:rsid w:val="00775C11"/>
    <w:rsid w:val="0078707E"/>
    <w:rsid w:val="007A73F3"/>
    <w:rsid w:val="007C1D2F"/>
    <w:rsid w:val="007C5996"/>
    <w:rsid w:val="007C78B9"/>
    <w:rsid w:val="00803676"/>
    <w:rsid w:val="00810B56"/>
    <w:rsid w:val="008156D2"/>
    <w:rsid w:val="008238B4"/>
    <w:rsid w:val="0084774B"/>
    <w:rsid w:val="00862343"/>
    <w:rsid w:val="008754BE"/>
    <w:rsid w:val="008808C2"/>
    <w:rsid w:val="00881AA1"/>
    <w:rsid w:val="0089052F"/>
    <w:rsid w:val="008A58A2"/>
    <w:rsid w:val="008B2645"/>
    <w:rsid w:val="008D05D8"/>
    <w:rsid w:val="008E2439"/>
    <w:rsid w:val="00907CBF"/>
    <w:rsid w:val="00954C97"/>
    <w:rsid w:val="00957326"/>
    <w:rsid w:val="009663FF"/>
    <w:rsid w:val="00990293"/>
    <w:rsid w:val="00995D67"/>
    <w:rsid w:val="009A31AD"/>
    <w:rsid w:val="009A73C2"/>
    <w:rsid w:val="009B059B"/>
    <w:rsid w:val="009B63E2"/>
    <w:rsid w:val="009F2957"/>
    <w:rsid w:val="009F3E89"/>
    <w:rsid w:val="009F5982"/>
    <w:rsid w:val="00A066B0"/>
    <w:rsid w:val="00A10F8B"/>
    <w:rsid w:val="00A14359"/>
    <w:rsid w:val="00A21A37"/>
    <w:rsid w:val="00A33575"/>
    <w:rsid w:val="00A42D17"/>
    <w:rsid w:val="00A433F7"/>
    <w:rsid w:val="00A76886"/>
    <w:rsid w:val="00A852C7"/>
    <w:rsid w:val="00A927E4"/>
    <w:rsid w:val="00AA4586"/>
    <w:rsid w:val="00AA6123"/>
    <w:rsid w:val="00AA7425"/>
    <w:rsid w:val="00AC01A2"/>
    <w:rsid w:val="00AC573D"/>
    <w:rsid w:val="00AE0731"/>
    <w:rsid w:val="00B13B5A"/>
    <w:rsid w:val="00B34765"/>
    <w:rsid w:val="00B421B5"/>
    <w:rsid w:val="00B6157D"/>
    <w:rsid w:val="00B63D5E"/>
    <w:rsid w:val="00B6409D"/>
    <w:rsid w:val="00B8461A"/>
    <w:rsid w:val="00B85819"/>
    <w:rsid w:val="00B85E19"/>
    <w:rsid w:val="00B87333"/>
    <w:rsid w:val="00B939FB"/>
    <w:rsid w:val="00BA5361"/>
    <w:rsid w:val="00BB62C6"/>
    <w:rsid w:val="00BB6913"/>
    <w:rsid w:val="00BC04CE"/>
    <w:rsid w:val="00BC5524"/>
    <w:rsid w:val="00BC6EF8"/>
    <w:rsid w:val="00BD1960"/>
    <w:rsid w:val="00C0569B"/>
    <w:rsid w:val="00C110D8"/>
    <w:rsid w:val="00C40BE6"/>
    <w:rsid w:val="00C60C9C"/>
    <w:rsid w:val="00C6724B"/>
    <w:rsid w:val="00CA66D3"/>
    <w:rsid w:val="00CA6FF5"/>
    <w:rsid w:val="00CC3C05"/>
    <w:rsid w:val="00CD3FFF"/>
    <w:rsid w:val="00CE3C0E"/>
    <w:rsid w:val="00D1397E"/>
    <w:rsid w:val="00D35B5A"/>
    <w:rsid w:val="00D40E6E"/>
    <w:rsid w:val="00D45815"/>
    <w:rsid w:val="00D57AE4"/>
    <w:rsid w:val="00D61D8D"/>
    <w:rsid w:val="00D6594B"/>
    <w:rsid w:val="00D74419"/>
    <w:rsid w:val="00D92516"/>
    <w:rsid w:val="00D9709A"/>
    <w:rsid w:val="00DA6AF8"/>
    <w:rsid w:val="00DB0BCE"/>
    <w:rsid w:val="00DB34D8"/>
    <w:rsid w:val="00DB3FD9"/>
    <w:rsid w:val="00DB64D7"/>
    <w:rsid w:val="00DC767A"/>
    <w:rsid w:val="00DE12AF"/>
    <w:rsid w:val="00DE1DEA"/>
    <w:rsid w:val="00DE406B"/>
    <w:rsid w:val="00E03211"/>
    <w:rsid w:val="00E355F6"/>
    <w:rsid w:val="00E42A57"/>
    <w:rsid w:val="00E53604"/>
    <w:rsid w:val="00E61133"/>
    <w:rsid w:val="00E9447C"/>
    <w:rsid w:val="00E957AB"/>
    <w:rsid w:val="00E95F98"/>
    <w:rsid w:val="00E97409"/>
    <w:rsid w:val="00EA77C1"/>
    <w:rsid w:val="00EC5F49"/>
    <w:rsid w:val="00EC67B9"/>
    <w:rsid w:val="00ED12C8"/>
    <w:rsid w:val="00EF069F"/>
    <w:rsid w:val="00F0629D"/>
    <w:rsid w:val="00F22E8D"/>
    <w:rsid w:val="00F23B7B"/>
    <w:rsid w:val="00F33BBC"/>
    <w:rsid w:val="00F41B31"/>
    <w:rsid w:val="00F50E53"/>
    <w:rsid w:val="00F67C06"/>
    <w:rsid w:val="00F71009"/>
    <w:rsid w:val="00F72480"/>
    <w:rsid w:val="00F906B0"/>
    <w:rsid w:val="00FB60A6"/>
    <w:rsid w:val="00FF35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C061D5"/>
  <w15:chartTrackingRefBased/>
  <w15:docId w15:val="{21933F7D-38B0-1E43-894C-FE770528E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113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3113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33113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3113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3113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311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11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11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11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113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3113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3113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3113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3113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311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11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11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113F"/>
    <w:rPr>
      <w:rFonts w:eastAsiaTheme="majorEastAsia" w:cstheme="majorBidi"/>
      <w:color w:val="272727" w:themeColor="text1" w:themeTint="D8"/>
    </w:rPr>
  </w:style>
  <w:style w:type="paragraph" w:styleId="Title">
    <w:name w:val="Title"/>
    <w:basedOn w:val="Normal"/>
    <w:next w:val="Normal"/>
    <w:link w:val="TitleChar"/>
    <w:uiPriority w:val="10"/>
    <w:qFormat/>
    <w:rsid w:val="003311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11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11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11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113F"/>
    <w:pPr>
      <w:spacing w:before="160"/>
      <w:jc w:val="center"/>
    </w:pPr>
    <w:rPr>
      <w:i/>
      <w:iCs/>
      <w:color w:val="404040" w:themeColor="text1" w:themeTint="BF"/>
    </w:rPr>
  </w:style>
  <w:style w:type="character" w:customStyle="1" w:styleId="QuoteChar">
    <w:name w:val="Quote Char"/>
    <w:basedOn w:val="DefaultParagraphFont"/>
    <w:link w:val="Quote"/>
    <w:uiPriority w:val="29"/>
    <w:rsid w:val="0033113F"/>
    <w:rPr>
      <w:i/>
      <w:iCs/>
      <w:color w:val="404040" w:themeColor="text1" w:themeTint="BF"/>
    </w:rPr>
  </w:style>
  <w:style w:type="paragraph" w:styleId="ListParagraph">
    <w:name w:val="List Paragraph"/>
    <w:basedOn w:val="Normal"/>
    <w:uiPriority w:val="34"/>
    <w:qFormat/>
    <w:rsid w:val="0033113F"/>
    <w:pPr>
      <w:ind w:left="720"/>
      <w:contextualSpacing/>
    </w:pPr>
  </w:style>
  <w:style w:type="character" w:styleId="IntenseEmphasis">
    <w:name w:val="Intense Emphasis"/>
    <w:basedOn w:val="DefaultParagraphFont"/>
    <w:uiPriority w:val="21"/>
    <w:qFormat/>
    <w:rsid w:val="0033113F"/>
    <w:rPr>
      <w:i/>
      <w:iCs/>
      <w:color w:val="2F5496" w:themeColor="accent1" w:themeShade="BF"/>
    </w:rPr>
  </w:style>
  <w:style w:type="paragraph" w:styleId="IntenseQuote">
    <w:name w:val="Intense Quote"/>
    <w:basedOn w:val="Normal"/>
    <w:next w:val="Normal"/>
    <w:link w:val="IntenseQuoteChar"/>
    <w:uiPriority w:val="30"/>
    <w:qFormat/>
    <w:rsid w:val="0033113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3113F"/>
    <w:rPr>
      <w:i/>
      <w:iCs/>
      <w:color w:val="2F5496" w:themeColor="accent1" w:themeShade="BF"/>
    </w:rPr>
  </w:style>
  <w:style w:type="character" w:styleId="IntenseReference">
    <w:name w:val="Intense Reference"/>
    <w:basedOn w:val="DefaultParagraphFont"/>
    <w:uiPriority w:val="32"/>
    <w:qFormat/>
    <w:rsid w:val="0033113F"/>
    <w:rPr>
      <w:b/>
      <w:bCs/>
      <w:smallCaps/>
      <w:color w:val="2F5496" w:themeColor="accent1" w:themeShade="BF"/>
      <w:spacing w:val="5"/>
    </w:rPr>
  </w:style>
  <w:style w:type="paragraph" w:customStyle="1" w:styleId="p1">
    <w:name w:val="p1"/>
    <w:basedOn w:val="Normal"/>
    <w:rsid w:val="0033113F"/>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33113F"/>
    <w:rPr>
      <w:rFonts w:ascii="Helvetica" w:hAnsi="Helvetica" w:hint="default"/>
      <w:b w:val="0"/>
      <w:bCs w:val="0"/>
      <w:i w:val="0"/>
      <w:iCs w:val="0"/>
      <w:sz w:val="18"/>
      <w:szCs w:val="18"/>
    </w:rPr>
  </w:style>
  <w:style w:type="paragraph" w:styleId="Header">
    <w:name w:val="header"/>
    <w:basedOn w:val="Normal"/>
    <w:link w:val="HeaderChar"/>
    <w:uiPriority w:val="99"/>
    <w:unhideWhenUsed/>
    <w:rsid w:val="00F710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1009"/>
  </w:style>
  <w:style w:type="paragraph" w:styleId="Footer">
    <w:name w:val="footer"/>
    <w:basedOn w:val="Normal"/>
    <w:link w:val="FooterChar"/>
    <w:uiPriority w:val="99"/>
    <w:unhideWhenUsed/>
    <w:rsid w:val="00F710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1009"/>
  </w:style>
  <w:style w:type="character" w:styleId="PageNumber">
    <w:name w:val="page number"/>
    <w:basedOn w:val="DefaultParagraphFont"/>
    <w:uiPriority w:val="99"/>
    <w:semiHidden/>
    <w:unhideWhenUsed/>
    <w:rsid w:val="00F71009"/>
  </w:style>
  <w:style w:type="paragraph" w:customStyle="1" w:styleId="p2">
    <w:name w:val="p2"/>
    <w:basedOn w:val="Normal"/>
    <w:rsid w:val="00DE12AF"/>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DE12AF"/>
  </w:style>
  <w:style w:type="character" w:customStyle="1" w:styleId="s3">
    <w:name w:val="s3"/>
    <w:basedOn w:val="DefaultParagraphFont"/>
    <w:rsid w:val="00DE12AF"/>
  </w:style>
  <w:style w:type="paragraph" w:customStyle="1" w:styleId="p3">
    <w:name w:val="p3"/>
    <w:basedOn w:val="Normal"/>
    <w:rsid w:val="00020071"/>
    <w:pPr>
      <w:spacing w:before="100" w:beforeAutospacing="1" w:after="100" w:afterAutospacing="1" w:line="240" w:lineRule="auto"/>
    </w:pPr>
    <w:rPr>
      <w:rFonts w:ascii="Times New Roman" w:hAnsi="Times New Roman" w:cs="Times New Roman"/>
      <w:kern w:val="0"/>
      <w14:ligatures w14:val="none"/>
    </w:rPr>
  </w:style>
  <w:style w:type="character" w:customStyle="1" w:styleId="s4">
    <w:name w:val="s4"/>
    <w:basedOn w:val="DefaultParagraphFont"/>
    <w:rsid w:val="00E9447C"/>
  </w:style>
  <w:style w:type="table" w:styleId="TableGrid">
    <w:name w:val="Table Grid"/>
    <w:basedOn w:val="TableNormal"/>
    <w:uiPriority w:val="39"/>
    <w:rsid w:val="003F66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28</Pages>
  <Words>7379</Words>
  <Characters>46934</Characters>
  <Application>Microsoft Office Word</Application>
  <DocSecurity>0</DocSecurity>
  <Lines>1203</Lines>
  <Paragraphs>266</Paragraphs>
  <ScaleCrop>false</ScaleCrop>
  <Company/>
  <LinksUpToDate>false</LinksUpToDate>
  <CharactersWithSpaces>54047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Gaiu (2332587)</dc:creator>
  <cp:keywords/>
  <dc:description/>
  <cp:lastModifiedBy>Alexandru Gaiu (2332587)</cp:lastModifiedBy>
  <cp:revision>2</cp:revision>
  <dcterms:created xsi:type="dcterms:W3CDTF">2026-03-29T12:55:00Z</dcterms:created>
  <dcterms:modified xsi:type="dcterms:W3CDTF">2026-03-29T12:55:00Z</dcterms:modified>
</cp:coreProperties>
</file>