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16436935"/>
        <w:docPartObj>
          <w:docPartGallery w:val="Cover Pages"/>
          <w:docPartUnique/>
        </w:docPartObj>
      </w:sdtPr>
      <w:sdtEndPr/>
      <w:sdtContent>
        <w:p w14:paraId="708ADCD8" w14:textId="51543BBE" w:rsidR="00D11D34" w:rsidRDefault="00D11D34">
          <w:r>
            <w:rPr>
              <w:noProof/>
            </w:rPr>
            <mc:AlternateContent>
              <mc:Choice Requires="wpg">
                <w:drawing>
                  <wp:anchor distT="0" distB="0" distL="114300" distR="114300" simplePos="0" relativeHeight="251662336" behindDoc="0" locked="0" layoutInCell="1" allowOverlap="1" wp14:anchorId="1A474BA6" wp14:editId="3C2DD87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96FFE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5D68A80" wp14:editId="528C239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AC07F23" w14:textId="3B6D676B" w:rsidR="00D11D34" w:rsidRDefault="00D11D34">
                                    <w:pPr>
                                      <w:pStyle w:val="NoSpacing"/>
                                      <w:jc w:val="right"/>
                                      <w:rPr>
                                        <w:color w:val="595959" w:themeColor="text1" w:themeTint="A6"/>
                                        <w:sz w:val="28"/>
                                        <w:szCs w:val="28"/>
                                      </w:rPr>
                                    </w:pPr>
                                    <w:r>
                                      <w:rPr>
                                        <w:color w:val="595959" w:themeColor="text1" w:themeTint="A6"/>
                                        <w:sz w:val="28"/>
                                        <w:szCs w:val="28"/>
                                      </w:rPr>
                                      <w:t>Smy, Matthew</w:t>
                                    </w:r>
                                  </w:p>
                                </w:sdtContent>
                              </w:sdt>
                              <w:p w14:paraId="75DA5DB8" w14:textId="155B50F3" w:rsidR="00D11D34" w:rsidRDefault="00A87C9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11D34">
                                      <w:rPr>
                                        <w:color w:val="595959" w:themeColor="text1" w:themeTint="A6"/>
                                        <w:sz w:val="18"/>
                                        <w:szCs w:val="18"/>
                                      </w:rPr>
                                      <w:t>Matthew.Smy@suffolk.police.uk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5D68A8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C07F23" w14:textId="3B6D676B" w:rsidR="00D11D34" w:rsidRDefault="00D11D34">
                              <w:pPr>
                                <w:pStyle w:val="NoSpacing"/>
                                <w:jc w:val="right"/>
                                <w:rPr>
                                  <w:color w:val="595959" w:themeColor="text1" w:themeTint="A6"/>
                                  <w:sz w:val="28"/>
                                  <w:szCs w:val="28"/>
                                </w:rPr>
                              </w:pPr>
                              <w:r>
                                <w:rPr>
                                  <w:color w:val="595959" w:themeColor="text1" w:themeTint="A6"/>
                                  <w:sz w:val="28"/>
                                  <w:szCs w:val="28"/>
                                </w:rPr>
                                <w:t>Smy, Matthew</w:t>
                              </w:r>
                            </w:p>
                          </w:sdtContent>
                        </w:sdt>
                        <w:p w14:paraId="75DA5DB8" w14:textId="155B50F3" w:rsidR="00D11D3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11D34">
                                <w:rPr>
                                  <w:color w:val="595959" w:themeColor="text1" w:themeTint="A6"/>
                                  <w:sz w:val="18"/>
                                  <w:szCs w:val="18"/>
                                </w:rPr>
                                <w:t>Matthew.Smy@suffolk.police.uk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4DED50D" wp14:editId="2784CF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52D35" w14:textId="08591FED" w:rsidR="00D11D34" w:rsidRPr="00BE60BB" w:rsidRDefault="00A87C90">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E60BB" w:rsidRPr="00BE60BB">
                                      <w:rPr>
                                        <w:caps/>
                                        <w:color w:val="156082" w:themeColor="accent1"/>
                                        <w:sz w:val="48"/>
                                        <w:szCs w:val="48"/>
                                      </w:rPr>
                                      <w:t xml:space="preserve">Serious and </w:t>
                                    </w:r>
                                    <w:r w:rsidR="00D11D34" w:rsidRPr="00BE60BB">
                                      <w:rPr>
                                        <w:caps/>
                                        <w:color w:val="156082" w:themeColor="accent1"/>
                                        <w:sz w:val="48"/>
                                        <w:szCs w:val="48"/>
                                      </w:rPr>
                                      <w:t>Organised</w:t>
                                    </w:r>
                                    <w:r w:rsidR="00BE60BB" w:rsidRPr="00BE60BB">
                                      <w:rPr>
                                        <w:caps/>
                                        <w:color w:val="156082" w:themeColor="accent1"/>
                                        <w:sz w:val="48"/>
                                        <w:szCs w:val="48"/>
                                      </w:rPr>
                                      <w:t xml:space="preserve"> </w:t>
                                    </w:r>
                                    <w:r w:rsidR="00D11D34" w:rsidRPr="00BE60BB">
                                      <w:rPr>
                                        <w:caps/>
                                        <w:color w:val="156082" w:themeColor="accent1"/>
                                        <w:sz w:val="48"/>
                                        <w:szCs w:val="48"/>
                                      </w:rPr>
                                      <w:t>crime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842E48" w14:textId="560A292D" w:rsidR="00D11D34" w:rsidRDefault="00D11D34">
                                    <w:pPr>
                                      <w:jc w:val="right"/>
                                      <w:rPr>
                                        <w:smallCaps/>
                                        <w:color w:val="404040" w:themeColor="text1" w:themeTint="BF"/>
                                        <w:sz w:val="36"/>
                                        <w:szCs w:val="36"/>
                                      </w:rPr>
                                    </w:pPr>
                                    <w:r>
                                      <w:rPr>
                                        <w:color w:val="404040" w:themeColor="text1" w:themeTint="BF"/>
                                        <w:sz w:val="36"/>
                                        <w:szCs w:val="36"/>
                                      </w:rPr>
                                      <w:t>A literary Review</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DED50D"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1652D35" w14:textId="08591FED" w:rsidR="00D11D34" w:rsidRPr="00BE60BB" w:rsidRDefault="00000000">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E60BB" w:rsidRPr="00BE60BB">
                                <w:rPr>
                                  <w:caps/>
                                  <w:color w:val="156082" w:themeColor="accent1"/>
                                  <w:sz w:val="48"/>
                                  <w:szCs w:val="48"/>
                                </w:rPr>
                                <w:t xml:space="preserve">Serious and </w:t>
                              </w:r>
                              <w:r w:rsidR="00D11D34" w:rsidRPr="00BE60BB">
                                <w:rPr>
                                  <w:caps/>
                                  <w:color w:val="156082" w:themeColor="accent1"/>
                                  <w:sz w:val="48"/>
                                  <w:szCs w:val="48"/>
                                </w:rPr>
                                <w:t>Organised</w:t>
                              </w:r>
                              <w:r w:rsidR="00BE60BB" w:rsidRPr="00BE60BB">
                                <w:rPr>
                                  <w:caps/>
                                  <w:color w:val="156082" w:themeColor="accent1"/>
                                  <w:sz w:val="48"/>
                                  <w:szCs w:val="48"/>
                                </w:rPr>
                                <w:t xml:space="preserve"> </w:t>
                              </w:r>
                              <w:r w:rsidR="00D11D34" w:rsidRPr="00BE60BB">
                                <w:rPr>
                                  <w:caps/>
                                  <w:color w:val="156082" w:themeColor="accent1"/>
                                  <w:sz w:val="48"/>
                                  <w:szCs w:val="48"/>
                                </w:rPr>
                                <w:t>crime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842E48" w14:textId="560A292D" w:rsidR="00D11D34" w:rsidRDefault="00D11D34">
                              <w:pPr>
                                <w:jc w:val="right"/>
                                <w:rPr>
                                  <w:smallCaps/>
                                  <w:color w:val="404040" w:themeColor="text1" w:themeTint="BF"/>
                                  <w:sz w:val="36"/>
                                  <w:szCs w:val="36"/>
                                </w:rPr>
                              </w:pPr>
                              <w:r>
                                <w:rPr>
                                  <w:color w:val="404040" w:themeColor="text1" w:themeTint="BF"/>
                                  <w:sz w:val="36"/>
                                  <w:szCs w:val="36"/>
                                </w:rPr>
                                <w:t>A literary Review</w:t>
                              </w:r>
                            </w:p>
                          </w:sdtContent>
                        </w:sdt>
                      </w:txbxContent>
                    </v:textbox>
                    <w10:wrap type="square" anchorx="page" anchory="page"/>
                  </v:shape>
                </w:pict>
              </mc:Fallback>
            </mc:AlternateContent>
          </w:r>
        </w:p>
        <w:p w14:paraId="091DBE80" w14:textId="177DB477" w:rsidR="00D11D34" w:rsidRDefault="00D11D34">
          <w:r>
            <w:br w:type="page"/>
          </w:r>
        </w:p>
      </w:sdtContent>
    </w:sdt>
    <w:sdt>
      <w:sdtPr>
        <w:rPr>
          <w:rFonts w:asciiTheme="minorHAnsi" w:eastAsiaTheme="minorHAnsi" w:hAnsiTheme="minorHAnsi" w:cstheme="minorBidi"/>
          <w:color w:val="auto"/>
          <w:kern w:val="2"/>
          <w:sz w:val="24"/>
          <w:szCs w:val="24"/>
          <w:lang w:val="en-GB"/>
          <w14:ligatures w14:val="standardContextual"/>
        </w:rPr>
        <w:id w:val="1720167324"/>
        <w:docPartObj>
          <w:docPartGallery w:val="Table of Contents"/>
          <w:docPartUnique/>
        </w:docPartObj>
      </w:sdtPr>
      <w:sdtEndPr>
        <w:rPr>
          <w:b/>
          <w:bCs/>
          <w:noProof/>
        </w:rPr>
      </w:sdtEndPr>
      <w:sdtContent>
        <w:p w14:paraId="3548B76C" w14:textId="28B49851" w:rsidR="00123C9B" w:rsidRDefault="00123C9B">
          <w:pPr>
            <w:pStyle w:val="TOCHeading"/>
          </w:pPr>
          <w:r>
            <w:t>Contents</w:t>
          </w:r>
        </w:p>
        <w:p w14:paraId="08851621" w14:textId="05FEF40C" w:rsidR="000254AE" w:rsidRDefault="00123C9B">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86947" w:history="1">
            <w:r w:rsidR="000254AE" w:rsidRPr="00FC200B">
              <w:rPr>
                <w:rStyle w:val="Hyperlink"/>
                <w:noProof/>
              </w:rPr>
              <w:t>AI Acknowledgement</w:t>
            </w:r>
            <w:r w:rsidR="000254AE">
              <w:rPr>
                <w:noProof/>
                <w:webHidden/>
              </w:rPr>
              <w:tab/>
            </w:r>
            <w:r w:rsidR="000254AE">
              <w:rPr>
                <w:noProof/>
                <w:webHidden/>
              </w:rPr>
              <w:fldChar w:fldCharType="begin"/>
            </w:r>
            <w:r w:rsidR="000254AE">
              <w:rPr>
                <w:noProof/>
                <w:webHidden/>
              </w:rPr>
              <w:instrText xml:space="preserve"> PAGEREF _Toc227586947 \h </w:instrText>
            </w:r>
            <w:r w:rsidR="000254AE">
              <w:rPr>
                <w:noProof/>
                <w:webHidden/>
              </w:rPr>
            </w:r>
            <w:r w:rsidR="000254AE">
              <w:rPr>
                <w:noProof/>
                <w:webHidden/>
              </w:rPr>
              <w:fldChar w:fldCharType="separate"/>
            </w:r>
            <w:r w:rsidR="000254AE">
              <w:rPr>
                <w:noProof/>
                <w:webHidden/>
              </w:rPr>
              <w:t>2</w:t>
            </w:r>
            <w:r w:rsidR="000254AE">
              <w:rPr>
                <w:noProof/>
                <w:webHidden/>
              </w:rPr>
              <w:fldChar w:fldCharType="end"/>
            </w:r>
          </w:hyperlink>
        </w:p>
        <w:p w14:paraId="74AEB42C" w14:textId="133A87CB" w:rsidR="000254AE" w:rsidRDefault="000254AE">
          <w:pPr>
            <w:pStyle w:val="TOC3"/>
            <w:tabs>
              <w:tab w:val="right" w:leader="dot" w:pos="9016"/>
            </w:tabs>
            <w:rPr>
              <w:rFonts w:eastAsiaTheme="minorEastAsia"/>
              <w:noProof/>
              <w:lang w:eastAsia="en-GB"/>
            </w:rPr>
          </w:pPr>
          <w:hyperlink w:anchor="_Toc227586948" w:history="1">
            <w:r w:rsidRPr="00FC200B">
              <w:rPr>
                <w:rStyle w:val="Hyperlink"/>
                <w:noProof/>
              </w:rPr>
              <w:t>Introduction</w:t>
            </w:r>
            <w:r>
              <w:rPr>
                <w:noProof/>
                <w:webHidden/>
              </w:rPr>
              <w:tab/>
            </w:r>
            <w:r>
              <w:rPr>
                <w:noProof/>
                <w:webHidden/>
              </w:rPr>
              <w:fldChar w:fldCharType="begin"/>
            </w:r>
            <w:r>
              <w:rPr>
                <w:noProof/>
                <w:webHidden/>
              </w:rPr>
              <w:instrText xml:space="preserve"> PAGEREF _Toc227586948 \h </w:instrText>
            </w:r>
            <w:r>
              <w:rPr>
                <w:noProof/>
                <w:webHidden/>
              </w:rPr>
            </w:r>
            <w:r>
              <w:rPr>
                <w:noProof/>
                <w:webHidden/>
              </w:rPr>
              <w:fldChar w:fldCharType="separate"/>
            </w:r>
            <w:r>
              <w:rPr>
                <w:noProof/>
                <w:webHidden/>
              </w:rPr>
              <w:t>3</w:t>
            </w:r>
            <w:r>
              <w:rPr>
                <w:noProof/>
                <w:webHidden/>
              </w:rPr>
              <w:fldChar w:fldCharType="end"/>
            </w:r>
          </w:hyperlink>
        </w:p>
        <w:p w14:paraId="6D42E10F" w14:textId="6AF53BFA" w:rsidR="000254AE" w:rsidRDefault="000254AE">
          <w:pPr>
            <w:pStyle w:val="TOC3"/>
            <w:tabs>
              <w:tab w:val="right" w:leader="dot" w:pos="9016"/>
            </w:tabs>
            <w:rPr>
              <w:rFonts w:eastAsiaTheme="minorEastAsia"/>
              <w:noProof/>
              <w:lang w:eastAsia="en-GB"/>
            </w:rPr>
          </w:pPr>
          <w:hyperlink w:anchor="_Toc227586949" w:history="1">
            <w:r w:rsidRPr="00FC200B">
              <w:rPr>
                <w:rStyle w:val="Hyperlink"/>
                <w:noProof/>
              </w:rPr>
              <w:t>Scale and Nature of Serious Organised Crime</w:t>
            </w:r>
            <w:r>
              <w:rPr>
                <w:noProof/>
                <w:webHidden/>
              </w:rPr>
              <w:tab/>
            </w:r>
            <w:r>
              <w:rPr>
                <w:noProof/>
                <w:webHidden/>
              </w:rPr>
              <w:fldChar w:fldCharType="begin"/>
            </w:r>
            <w:r>
              <w:rPr>
                <w:noProof/>
                <w:webHidden/>
              </w:rPr>
              <w:instrText xml:space="preserve"> PAGEREF _Toc227586949 \h </w:instrText>
            </w:r>
            <w:r>
              <w:rPr>
                <w:noProof/>
                <w:webHidden/>
              </w:rPr>
            </w:r>
            <w:r>
              <w:rPr>
                <w:noProof/>
                <w:webHidden/>
              </w:rPr>
              <w:fldChar w:fldCharType="separate"/>
            </w:r>
            <w:r>
              <w:rPr>
                <w:noProof/>
                <w:webHidden/>
              </w:rPr>
              <w:t>4</w:t>
            </w:r>
            <w:r>
              <w:rPr>
                <w:noProof/>
                <w:webHidden/>
              </w:rPr>
              <w:fldChar w:fldCharType="end"/>
            </w:r>
          </w:hyperlink>
        </w:p>
        <w:p w14:paraId="39C0FE00" w14:textId="02C8ECBA" w:rsidR="000254AE" w:rsidRDefault="000254AE">
          <w:pPr>
            <w:pStyle w:val="TOC3"/>
            <w:tabs>
              <w:tab w:val="right" w:leader="dot" w:pos="9016"/>
            </w:tabs>
            <w:rPr>
              <w:rFonts w:eastAsiaTheme="minorEastAsia"/>
              <w:noProof/>
              <w:lang w:eastAsia="en-GB"/>
            </w:rPr>
          </w:pPr>
          <w:hyperlink w:anchor="_Toc227586950" w:history="1">
            <w:r w:rsidRPr="00FC200B">
              <w:rPr>
                <w:rStyle w:val="Hyperlink"/>
                <w:noProof/>
              </w:rPr>
              <w:t>The Serious and Organised Crime Agency</w:t>
            </w:r>
            <w:r>
              <w:rPr>
                <w:noProof/>
                <w:webHidden/>
              </w:rPr>
              <w:tab/>
            </w:r>
            <w:r>
              <w:rPr>
                <w:noProof/>
                <w:webHidden/>
              </w:rPr>
              <w:fldChar w:fldCharType="begin"/>
            </w:r>
            <w:r>
              <w:rPr>
                <w:noProof/>
                <w:webHidden/>
              </w:rPr>
              <w:instrText xml:space="preserve"> PAGEREF _Toc227586950 \h </w:instrText>
            </w:r>
            <w:r>
              <w:rPr>
                <w:noProof/>
                <w:webHidden/>
              </w:rPr>
            </w:r>
            <w:r>
              <w:rPr>
                <w:noProof/>
                <w:webHidden/>
              </w:rPr>
              <w:fldChar w:fldCharType="separate"/>
            </w:r>
            <w:r>
              <w:rPr>
                <w:noProof/>
                <w:webHidden/>
              </w:rPr>
              <w:t>5</w:t>
            </w:r>
            <w:r>
              <w:rPr>
                <w:noProof/>
                <w:webHidden/>
              </w:rPr>
              <w:fldChar w:fldCharType="end"/>
            </w:r>
          </w:hyperlink>
        </w:p>
        <w:p w14:paraId="3BDD2216" w14:textId="1AE2D6C8" w:rsidR="000254AE" w:rsidRDefault="000254AE">
          <w:pPr>
            <w:pStyle w:val="TOC3"/>
            <w:tabs>
              <w:tab w:val="right" w:leader="dot" w:pos="9016"/>
            </w:tabs>
            <w:rPr>
              <w:rFonts w:eastAsiaTheme="minorEastAsia"/>
              <w:noProof/>
              <w:lang w:eastAsia="en-GB"/>
            </w:rPr>
          </w:pPr>
          <w:hyperlink w:anchor="_Toc227586951" w:history="1">
            <w:r w:rsidRPr="00FC200B">
              <w:rPr>
                <w:rStyle w:val="Hyperlink"/>
                <w:noProof/>
              </w:rPr>
              <w:t>The National Crime Agency</w:t>
            </w:r>
            <w:r>
              <w:rPr>
                <w:noProof/>
                <w:webHidden/>
              </w:rPr>
              <w:tab/>
            </w:r>
            <w:r>
              <w:rPr>
                <w:noProof/>
                <w:webHidden/>
              </w:rPr>
              <w:fldChar w:fldCharType="begin"/>
            </w:r>
            <w:r>
              <w:rPr>
                <w:noProof/>
                <w:webHidden/>
              </w:rPr>
              <w:instrText xml:space="preserve"> PAGEREF _Toc227586951 \h </w:instrText>
            </w:r>
            <w:r>
              <w:rPr>
                <w:noProof/>
                <w:webHidden/>
              </w:rPr>
            </w:r>
            <w:r>
              <w:rPr>
                <w:noProof/>
                <w:webHidden/>
              </w:rPr>
              <w:fldChar w:fldCharType="separate"/>
            </w:r>
            <w:r>
              <w:rPr>
                <w:noProof/>
                <w:webHidden/>
              </w:rPr>
              <w:t>6</w:t>
            </w:r>
            <w:r>
              <w:rPr>
                <w:noProof/>
                <w:webHidden/>
              </w:rPr>
              <w:fldChar w:fldCharType="end"/>
            </w:r>
          </w:hyperlink>
        </w:p>
        <w:p w14:paraId="2D7188E6" w14:textId="11B0384C" w:rsidR="000254AE" w:rsidRDefault="000254AE">
          <w:pPr>
            <w:pStyle w:val="TOC3"/>
            <w:tabs>
              <w:tab w:val="right" w:leader="dot" w:pos="9016"/>
            </w:tabs>
            <w:rPr>
              <w:rFonts w:eastAsiaTheme="minorEastAsia"/>
              <w:noProof/>
              <w:lang w:eastAsia="en-GB"/>
            </w:rPr>
          </w:pPr>
          <w:hyperlink w:anchor="_Toc227586952" w:history="1">
            <w:r w:rsidRPr="00FC200B">
              <w:rPr>
                <w:rStyle w:val="Hyperlink"/>
                <w:noProof/>
              </w:rPr>
              <w:t>Public Perspective and Legitimacy</w:t>
            </w:r>
            <w:r>
              <w:rPr>
                <w:noProof/>
                <w:webHidden/>
              </w:rPr>
              <w:tab/>
            </w:r>
            <w:r>
              <w:rPr>
                <w:noProof/>
                <w:webHidden/>
              </w:rPr>
              <w:fldChar w:fldCharType="begin"/>
            </w:r>
            <w:r>
              <w:rPr>
                <w:noProof/>
                <w:webHidden/>
              </w:rPr>
              <w:instrText xml:space="preserve"> PAGEREF _Toc227586952 \h </w:instrText>
            </w:r>
            <w:r>
              <w:rPr>
                <w:noProof/>
                <w:webHidden/>
              </w:rPr>
            </w:r>
            <w:r>
              <w:rPr>
                <w:noProof/>
                <w:webHidden/>
              </w:rPr>
              <w:fldChar w:fldCharType="separate"/>
            </w:r>
            <w:r>
              <w:rPr>
                <w:noProof/>
                <w:webHidden/>
              </w:rPr>
              <w:t>6</w:t>
            </w:r>
            <w:r>
              <w:rPr>
                <w:noProof/>
                <w:webHidden/>
              </w:rPr>
              <w:fldChar w:fldCharType="end"/>
            </w:r>
          </w:hyperlink>
        </w:p>
        <w:p w14:paraId="779DB066" w14:textId="4B0B2F5F" w:rsidR="000254AE" w:rsidRDefault="000254AE">
          <w:pPr>
            <w:pStyle w:val="TOC3"/>
            <w:tabs>
              <w:tab w:val="right" w:leader="dot" w:pos="9016"/>
            </w:tabs>
            <w:rPr>
              <w:rFonts w:eastAsiaTheme="minorEastAsia"/>
              <w:noProof/>
              <w:lang w:eastAsia="en-GB"/>
            </w:rPr>
          </w:pPr>
          <w:hyperlink w:anchor="_Toc227586953" w:history="1">
            <w:r w:rsidRPr="00FC200B">
              <w:rPr>
                <w:rStyle w:val="Hyperlink"/>
                <w:noProof/>
              </w:rPr>
              <w:t>Conclusion</w:t>
            </w:r>
            <w:r>
              <w:rPr>
                <w:noProof/>
                <w:webHidden/>
              </w:rPr>
              <w:tab/>
            </w:r>
            <w:r>
              <w:rPr>
                <w:noProof/>
                <w:webHidden/>
              </w:rPr>
              <w:fldChar w:fldCharType="begin"/>
            </w:r>
            <w:r>
              <w:rPr>
                <w:noProof/>
                <w:webHidden/>
              </w:rPr>
              <w:instrText xml:space="preserve"> PAGEREF _Toc227586953 \h </w:instrText>
            </w:r>
            <w:r>
              <w:rPr>
                <w:noProof/>
                <w:webHidden/>
              </w:rPr>
            </w:r>
            <w:r>
              <w:rPr>
                <w:noProof/>
                <w:webHidden/>
              </w:rPr>
              <w:fldChar w:fldCharType="separate"/>
            </w:r>
            <w:r>
              <w:rPr>
                <w:noProof/>
                <w:webHidden/>
              </w:rPr>
              <w:t>7</w:t>
            </w:r>
            <w:r>
              <w:rPr>
                <w:noProof/>
                <w:webHidden/>
              </w:rPr>
              <w:fldChar w:fldCharType="end"/>
            </w:r>
          </w:hyperlink>
        </w:p>
        <w:p w14:paraId="778538E1" w14:textId="3731B90F" w:rsidR="000254AE" w:rsidRDefault="000254AE">
          <w:pPr>
            <w:pStyle w:val="TOC3"/>
            <w:tabs>
              <w:tab w:val="right" w:leader="dot" w:pos="9016"/>
            </w:tabs>
            <w:rPr>
              <w:rFonts w:eastAsiaTheme="minorEastAsia"/>
              <w:noProof/>
              <w:lang w:eastAsia="en-GB"/>
            </w:rPr>
          </w:pPr>
          <w:hyperlink w:anchor="_Toc227586954" w:history="1">
            <w:r w:rsidRPr="00FC200B">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_Toc227586954 \h </w:instrText>
            </w:r>
            <w:r>
              <w:rPr>
                <w:noProof/>
                <w:webHidden/>
              </w:rPr>
            </w:r>
            <w:r>
              <w:rPr>
                <w:noProof/>
                <w:webHidden/>
              </w:rPr>
              <w:fldChar w:fldCharType="separate"/>
            </w:r>
            <w:r>
              <w:rPr>
                <w:noProof/>
                <w:webHidden/>
              </w:rPr>
              <w:t>9</w:t>
            </w:r>
            <w:r>
              <w:rPr>
                <w:noProof/>
                <w:webHidden/>
              </w:rPr>
              <w:fldChar w:fldCharType="end"/>
            </w:r>
          </w:hyperlink>
        </w:p>
        <w:p w14:paraId="41B16CD9" w14:textId="4CE40B72" w:rsidR="00123C9B" w:rsidRDefault="00123C9B">
          <w:r>
            <w:rPr>
              <w:b/>
              <w:bCs/>
              <w:noProof/>
            </w:rPr>
            <w:fldChar w:fldCharType="end"/>
          </w:r>
        </w:p>
      </w:sdtContent>
    </w:sdt>
    <w:p w14:paraId="4FF9ACD5" w14:textId="77777777" w:rsidR="00E34EA2" w:rsidRDefault="00E34EA2" w:rsidP="00D25D0E">
      <w:pPr>
        <w:rPr>
          <w:b/>
          <w:bCs/>
        </w:rPr>
      </w:pPr>
    </w:p>
    <w:p w14:paraId="111C8438" w14:textId="77777777" w:rsidR="00E34EA2" w:rsidRDefault="00E34EA2" w:rsidP="00D25D0E">
      <w:pPr>
        <w:rPr>
          <w:b/>
          <w:bCs/>
        </w:rPr>
      </w:pPr>
    </w:p>
    <w:p w14:paraId="0DAC96BB" w14:textId="77777777" w:rsidR="00E34EA2" w:rsidRDefault="00E34EA2" w:rsidP="00D25D0E">
      <w:pPr>
        <w:rPr>
          <w:b/>
          <w:bCs/>
        </w:rPr>
      </w:pPr>
    </w:p>
    <w:p w14:paraId="14B4B34B" w14:textId="77777777" w:rsidR="00E34EA2" w:rsidRDefault="00E34EA2" w:rsidP="00D25D0E">
      <w:pPr>
        <w:rPr>
          <w:b/>
          <w:bCs/>
        </w:rPr>
      </w:pPr>
    </w:p>
    <w:p w14:paraId="3B78F83A" w14:textId="77777777" w:rsidR="00E34EA2" w:rsidRDefault="00E34EA2" w:rsidP="00D25D0E">
      <w:pPr>
        <w:rPr>
          <w:b/>
          <w:bCs/>
        </w:rPr>
      </w:pPr>
    </w:p>
    <w:p w14:paraId="2DF911A9" w14:textId="77777777" w:rsidR="00E34EA2" w:rsidRDefault="00E34EA2" w:rsidP="00D25D0E">
      <w:pPr>
        <w:rPr>
          <w:b/>
          <w:bCs/>
        </w:rPr>
      </w:pPr>
    </w:p>
    <w:p w14:paraId="4C6FB973" w14:textId="77777777" w:rsidR="00E34EA2" w:rsidRDefault="00E34EA2" w:rsidP="00D25D0E">
      <w:pPr>
        <w:rPr>
          <w:b/>
          <w:bCs/>
        </w:rPr>
      </w:pPr>
    </w:p>
    <w:p w14:paraId="74604B57" w14:textId="77777777" w:rsidR="00E34EA2" w:rsidRDefault="00E34EA2" w:rsidP="00D25D0E">
      <w:pPr>
        <w:rPr>
          <w:b/>
          <w:bCs/>
        </w:rPr>
      </w:pPr>
    </w:p>
    <w:p w14:paraId="3CA08291" w14:textId="77777777" w:rsidR="00E34EA2" w:rsidRDefault="00E34EA2" w:rsidP="00D25D0E">
      <w:pPr>
        <w:rPr>
          <w:b/>
          <w:bCs/>
        </w:rPr>
      </w:pPr>
    </w:p>
    <w:p w14:paraId="31AE03DC" w14:textId="77777777" w:rsidR="00E34EA2" w:rsidRDefault="00E34EA2" w:rsidP="00D25D0E">
      <w:pPr>
        <w:rPr>
          <w:b/>
          <w:bCs/>
        </w:rPr>
      </w:pPr>
    </w:p>
    <w:p w14:paraId="7A28C67F" w14:textId="77777777" w:rsidR="00E34EA2" w:rsidRDefault="00E34EA2" w:rsidP="00D25D0E">
      <w:pPr>
        <w:rPr>
          <w:b/>
          <w:bCs/>
        </w:rPr>
      </w:pPr>
    </w:p>
    <w:p w14:paraId="761B2DF8" w14:textId="77777777" w:rsidR="00E34EA2" w:rsidRDefault="00E34EA2" w:rsidP="00D25D0E">
      <w:pPr>
        <w:rPr>
          <w:b/>
          <w:bCs/>
        </w:rPr>
      </w:pPr>
    </w:p>
    <w:p w14:paraId="4B7BFF2F" w14:textId="77777777" w:rsidR="00E34EA2" w:rsidRDefault="00E34EA2" w:rsidP="00D25D0E">
      <w:pPr>
        <w:rPr>
          <w:b/>
          <w:bCs/>
        </w:rPr>
      </w:pPr>
    </w:p>
    <w:p w14:paraId="75759276" w14:textId="77777777" w:rsidR="00E34EA2" w:rsidRDefault="00E34EA2" w:rsidP="00D25D0E">
      <w:pPr>
        <w:rPr>
          <w:b/>
          <w:bCs/>
        </w:rPr>
      </w:pPr>
    </w:p>
    <w:p w14:paraId="7714FB9C" w14:textId="77777777" w:rsidR="00E34EA2" w:rsidRDefault="00E34EA2" w:rsidP="00D25D0E">
      <w:pPr>
        <w:rPr>
          <w:b/>
          <w:bCs/>
        </w:rPr>
      </w:pPr>
    </w:p>
    <w:p w14:paraId="2005AF32" w14:textId="77777777" w:rsidR="00E34EA2" w:rsidRDefault="00E34EA2" w:rsidP="00D25D0E">
      <w:pPr>
        <w:rPr>
          <w:b/>
          <w:bCs/>
        </w:rPr>
      </w:pPr>
    </w:p>
    <w:p w14:paraId="5A1F8597" w14:textId="77777777" w:rsidR="00E34EA2" w:rsidRDefault="00E34EA2" w:rsidP="00D25D0E">
      <w:pPr>
        <w:rPr>
          <w:b/>
          <w:bCs/>
        </w:rPr>
      </w:pPr>
    </w:p>
    <w:p w14:paraId="01E2D1A1" w14:textId="77777777" w:rsidR="00E34EA2" w:rsidRDefault="00E34EA2" w:rsidP="00D25D0E">
      <w:pPr>
        <w:rPr>
          <w:b/>
          <w:bCs/>
        </w:rPr>
      </w:pPr>
    </w:p>
    <w:p w14:paraId="41F32EC1" w14:textId="77777777" w:rsidR="00E34EA2" w:rsidRDefault="00E34EA2" w:rsidP="00D25D0E">
      <w:pPr>
        <w:rPr>
          <w:b/>
          <w:bCs/>
        </w:rPr>
      </w:pPr>
    </w:p>
    <w:p w14:paraId="38CFA1F2" w14:textId="77777777" w:rsidR="00123C9B" w:rsidRDefault="00123C9B" w:rsidP="00D25D0E">
      <w:pPr>
        <w:rPr>
          <w:b/>
          <w:bCs/>
        </w:rPr>
      </w:pPr>
    </w:p>
    <w:p w14:paraId="33E39064" w14:textId="26E49C8F" w:rsidR="009A634E" w:rsidRDefault="000254AE" w:rsidP="000254AE">
      <w:pPr>
        <w:pStyle w:val="Heading3"/>
      </w:pPr>
      <w:bookmarkStart w:id="0" w:name="_Toc227586947"/>
      <w:r>
        <w:t>AI Acknowledgement</w:t>
      </w:r>
      <w:bookmarkEnd w:id="0"/>
    </w:p>
    <w:p w14:paraId="549E3B81" w14:textId="5D99BB6A" w:rsidR="009A634E" w:rsidRPr="009A634E" w:rsidRDefault="009A634E" w:rsidP="009A634E">
      <w:pPr>
        <w:pStyle w:val="NormalWeb"/>
        <w:rPr>
          <w:rFonts w:ascii="Arial" w:hAnsi="Arial" w:cs="Arial"/>
          <w:color w:val="000000"/>
        </w:rPr>
      </w:pPr>
      <w:r w:rsidRPr="009A634E">
        <w:rPr>
          <w:rFonts w:ascii="Arial" w:hAnsi="Arial" w:cs="Arial"/>
          <w:color w:val="000000"/>
        </w:rPr>
        <w:t xml:space="preserve">I acknowledge the use of </w:t>
      </w:r>
      <w:r w:rsidR="00315F5D">
        <w:rPr>
          <w:rFonts w:ascii="Arial" w:hAnsi="Arial" w:cs="Arial"/>
          <w:color w:val="000000"/>
        </w:rPr>
        <w:t>Copilot</w:t>
      </w:r>
      <w:r w:rsidR="003E1D73">
        <w:rPr>
          <w:rFonts w:ascii="Arial" w:hAnsi="Arial" w:cs="Arial"/>
          <w:color w:val="000000"/>
        </w:rPr>
        <w:t xml:space="preserve"> </w:t>
      </w:r>
      <w:r w:rsidR="0060155A">
        <w:rPr>
          <w:rFonts w:ascii="Arial" w:hAnsi="Arial" w:cs="Arial"/>
          <w:color w:val="000000"/>
        </w:rPr>
        <w:t>(https:</w:t>
      </w:r>
      <w:r w:rsidR="00356913">
        <w:rPr>
          <w:rFonts w:ascii="Arial" w:hAnsi="Arial" w:cs="Arial"/>
          <w:color w:val="000000"/>
        </w:rPr>
        <w:t>//copilot.microsoft.com) on 17</w:t>
      </w:r>
      <w:r w:rsidR="00356913" w:rsidRPr="00356913">
        <w:rPr>
          <w:rFonts w:ascii="Arial" w:hAnsi="Arial" w:cs="Arial"/>
          <w:color w:val="000000"/>
          <w:vertAlign w:val="superscript"/>
        </w:rPr>
        <w:t>th</w:t>
      </w:r>
      <w:r w:rsidR="00356913">
        <w:rPr>
          <w:rFonts w:ascii="Arial" w:hAnsi="Arial" w:cs="Arial"/>
          <w:color w:val="000000"/>
        </w:rPr>
        <w:t xml:space="preserve"> April</w:t>
      </w:r>
      <w:r w:rsidRPr="009A634E">
        <w:rPr>
          <w:rFonts w:ascii="Arial" w:hAnsi="Arial" w:cs="Arial"/>
          <w:color w:val="000000"/>
        </w:rPr>
        <w:t xml:space="preserve"> 202</w:t>
      </w:r>
      <w:r w:rsidR="00356913">
        <w:rPr>
          <w:rFonts w:ascii="Arial" w:hAnsi="Arial" w:cs="Arial"/>
          <w:color w:val="000000"/>
        </w:rPr>
        <w:t>6</w:t>
      </w:r>
      <w:r w:rsidRPr="009A634E">
        <w:rPr>
          <w:rFonts w:ascii="Arial" w:hAnsi="Arial" w:cs="Arial"/>
          <w:color w:val="000000"/>
        </w:rPr>
        <w:t xml:space="preserve"> to </w:t>
      </w:r>
      <w:r w:rsidR="00D95319">
        <w:rPr>
          <w:rFonts w:ascii="Arial" w:hAnsi="Arial" w:cs="Arial"/>
          <w:color w:val="000000"/>
        </w:rPr>
        <w:t xml:space="preserve">assist in </w:t>
      </w:r>
      <w:r w:rsidR="00C220AC">
        <w:rPr>
          <w:rFonts w:ascii="Arial" w:hAnsi="Arial" w:cs="Arial"/>
          <w:color w:val="000000"/>
        </w:rPr>
        <w:t xml:space="preserve">reviewing </w:t>
      </w:r>
      <w:r w:rsidR="004400EC">
        <w:rPr>
          <w:rFonts w:ascii="Arial" w:hAnsi="Arial" w:cs="Arial"/>
          <w:color w:val="000000"/>
        </w:rPr>
        <w:t xml:space="preserve">the </w:t>
      </w:r>
      <w:r w:rsidR="00D95319">
        <w:rPr>
          <w:rFonts w:ascii="Arial" w:hAnsi="Arial" w:cs="Arial"/>
          <w:color w:val="000000"/>
        </w:rPr>
        <w:t>sentence structure</w:t>
      </w:r>
      <w:r w:rsidR="00264E7C">
        <w:rPr>
          <w:rFonts w:ascii="Arial" w:hAnsi="Arial" w:cs="Arial"/>
          <w:color w:val="000000"/>
        </w:rPr>
        <w:t xml:space="preserve"> of my first</w:t>
      </w:r>
      <w:r w:rsidR="004400EC">
        <w:rPr>
          <w:rFonts w:ascii="Arial" w:hAnsi="Arial" w:cs="Arial"/>
          <w:color w:val="000000"/>
        </w:rPr>
        <w:t xml:space="preserve"> (full)</w:t>
      </w:r>
      <w:r w:rsidR="00264E7C">
        <w:rPr>
          <w:rFonts w:ascii="Arial" w:hAnsi="Arial" w:cs="Arial"/>
          <w:color w:val="000000"/>
        </w:rPr>
        <w:t xml:space="preserve"> version of this assignment</w:t>
      </w:r>
      <w:r w:rsidRPr="009A634E">
        <w:rPr>
          <w:rFonts w:ascii="Arial" w:hAnsi="Arial" w:cs="Arial"/>
          <w:color w:val="000000"/>
        </w:rPr>
        <w:t>:</w:t>
      </w:r>
    </w:p>
    <w:p w14:paraId="555DACB0" w14:textId="119B7E66" w:rsidR="009A634E" w:rsidRPr="009A634E" w:rsidRDefault="009A634E" w:rsidP="009A634E">
      <w:pPr>
        <w:pStyle w:val="NormalWeb"/>
        <w:rPr>
          <w:rFonts w:ascii="Arial" w:hAnsi="Arial" w:cs="Arial"/>
          <w:color w:val="000000"/>
        </w:rPr>
      </w:pPr>
      <w:r w:rsidRPr="009A634E">
        <w:rPr>
          <w:rFonts w:ascii="Arial" w:hAnsi="Arial" w:cs="Arial"/>
          <w:color w:val="000000"/>
        </w:rPr>
        <w:t xml:space="preserve">1. Please check </w:t>
      </w:r>
      <w:r w:rsidR="00885605">
        <w:rPr>
          <w:rFonts w:ascii="Arial" w:hAnsi="Arial" w:cs="Arial"/>
          <w:color w:val="000000"/>
        </w:rPr>
        <w:t xml:space="preserve">and </w:t>
      </w:r>
      <w:r w:rsidR="00300186">
        <w:rPr>
          <w:rFonts w:ascii="Arial" w:hAnsi="Arial" w:cs="Arial"/>
          <w:color w:val="000000"/>
        </w:rPr>
        <w:t xml:space="preserve">provide </w:t>
      </w:r>
      <w:r w:rsidR="00885605">
        <w:rPr>
          <w:rFonts w:ascii="Arial" w:hAnsi="Arial" w:cs="Arial"/>
          <w:color w:val="000000"/>
        </w:rPr>
        <w:t>advi</w:t>
      </w:r>
      <w:r w:rsidR="00300186">
        <w:rPr>
          <w:rFonts w:ascii="Arial" w:hAnsi="Arial" w:cs="Arial"/>
          <w:color w:val="000000"/>
        </w:rPr>
        <w:t>c</w:t>
      </w:r>
      <w:r w:rsidR="00885605">
        <w:rPr>
          <w:rFonts w:ascii="Arial" w:hAnsi="Arial" w:cs="Arial"/>
          <w:color w:val="000000"/>
        </w:rPr>
        <w:t>e regarding sentence structure</w:t>
      </w:r>
      <w:r w:rsidRPr="009A634E">
        <w:rPr>
          <w:rFonts w:ascii="Arial" w:hAnsi="Arial" w:cs="Arial"/>
          <w:color w:val="000000"/>
        </w:rPr>
        <w:t>.</w:t>
      </w:r>
    </w:p>
    <w:p w14:paraId="05B6BA34" w14:textId="77777777" w:rsidR="009A634E" w:rsidRPr="009A634E" w:rsidRDefault="009A634E" w:rsidP="009A634E">
      <w:pPr>
        <w:pStyle w:val="NormalWeb"/>
        <w:rPr>
          <w:rFonts w:ascii="Arial" w:hAnsi="Arial" w:cs="Arial"/>
          <w:color w:val="000000"/>
        </w:rPr>
      </w:pPr>
      <w:r w:rsidRPr="009A634E">
        <w:rPr>
          <w:rFonts w:ascii="Arial" w:hAnsi="Arial" w:cs="Arial"/>
          <w:color w:val="000000"/>
        </w:rPr>
        <w:t>I confirm that I have not presented any AI generated text as my own work. I confirm I have copies of my drafts, notes, and other resources I used before, and after the use of AI tools which I may be asked to provide in evidence.</w:t>
      </w:r>
    </w:p>
    <w:p w14:paraId="5725ECA8" w14:textId="77777777" w:rsidR="0072683F" w:rsidRDefault="0072683F" w:rsidP="00D25D0E">
      <w:pPr>
        <w:rPr>
          <w:b/>
          <w:bCs/>
        </w:rPr>
      </w:pPr>
    </w:p>
    <w:p w14:paraId="1CF3160A" w14:textId="77777777" w:rsidR="0072683F" w:rsidRDefault="0072683F" w:rsidP="00D25D0E">
      <w:pPr>
        <w:rPr>
          <w:b/>
          <w:bCs/>
        </w:rPr>
      </w:pPr>
    </w:p>
    <w:p w14:paraId="297DD2F9" w14:textId="77777777" w:rsidR="0072683F" w:rsidRDefault="0072683F" w:rsidP="00D25D0E">
      <w:pPr>
        <w:rPr>
          <w:b/>
          <w:bCs/>
        </w:rPr>
      </w:pPr>
    </w:p>
    <w:p w14:paraId="0FA16FFD" w14:textId="77777777" w:rsidR="0072683F" w:rsidRDefault="0072683F" w:rsidP="00D25D0E">
      <w:pPr>
        <w:rPr>
          <w:b/>
          <w:bCs/>
        </w:rPr>
      </w:pPr>
    </w:p>
    <w:p w14:paraId="47F55B50" w14:textId="77777777" w:rsidR="0072683F" w:rsidRDefault="0072683F" w:rsidP="00D25D0E">
      <w:pPr>
        <w:rPr>
          <w:b/>
          <w:bCs/>
        </w:rPr>
      </w:pPr>
    </w:p>
    <w:p w14:paraId="2E75E1F1" w14:textId="77777777" w:rsidR="0072683F" w:rsidRDefault="0072683F" w:rsidP="00D25D0E">
      <w:pPr>
        <w:rPr>
          <w:b/>
          <w:bCs/>
        </w:rPr>
      </w:pPr>
    </w:p>
    <w:p w14:paraId="1E85712B" w14:textId="77777777" w:rsidR="0072683F" w:rsidRDefault="0072683F" w:rsidP="00D25D0E">
      <w:pPr>
        <w:rPr>
          <w:b/>
          <w:bCs/>
        </w:rPr>
      </w:pPr>
    </w:p>
    <w:p w14:paraId="17C3408F" w14:textId="77777777" w:rsidR="0072683F" w:rsidRDefault="0072683F" w:rsidP="00D25D0E">
      <w:pPr>
        <w:rPr>
          <w:b/>
          <w:bCs/>
        </w:rPr>
      </w:pPr>
    </w:p>
    <w:p w14:paraId="19B0C7B4" w14:textId="77777777" w:rsidR="0072683F" w:rsidRDefault="0072683F" w:rsidP="00D25D0E">
      <w:pPr>
        <w:rPr>
          <w:b/>
          <w:bCs/>
        </w:rPr>
      </w:pPr>
    </w:p>
    <w:p w14:paraId="0629D68E" w14:textId="77777777" w:rsidR="0072683F" w:rsidRDefault="0072683F" w:rsidP="00D25D0E">
      <w:pPr>
        <w:rPr>
          <w:b/>
          <w:bCs/>
        </w:rPr>
      </w:pPr>
    </w:p>
    <w:p w14:paraId="64135CE8" w14:textId="77777777" w:rsidR="0072683F" w:rsidRDefault="0072683F" w:rsidP="00D25D0E">
      <w:pPr>
        <w:rPr>
          <w:b/>
          <w:bCs/>
        </w:rPr>
      </w:pPr>
    </w:p>
    <w:p w14:paraId="12918F2A" w14:textId="77777777" w:rsidR="0072683F" w:rsidRDefault="0072683F" w:rsidP="00D25D0E">
      <w:pPr>
        <w:rPr>
          <w:b/>
          <w:bCs/>
        </w:rPr>
      </w:pPr>
    </w:p>
    <w:p w14:paraId="004BD7B4" w14:textId="77777777" w:rsidR="0072683F" w:rsidRDefault="0072683F" w:rsidP="00D25D0E">
      <w:pPr>
        <w:rPr>
          <w:b/>
          <w:bCs/>
        </w:rPr>
      </w:pPr>
    </w:p>
    <w:p w14:paraId="7E4F625A" w14:textId="77777777" w:rsidR="0072683F" w:rsidRDefault="0072683F" w:rsidP="00D25D0E">
      <w:pPr>
        <w:rPr>
          <w:b/>
          <w:bCs/>
        </w:rPr>
      </w:pPr>
    </w:p>
    <w:p w14:paraId="492BF88F" w14:textId="77777777" w:rsidR="0072683F" w:rsidRDefault="0072683F" w:rsidP="00D25D0E">
      <w:pPr>
        <w:rPr>
          <w:b/>
          <w:bCs/>
        </w:rPr>
      </w:pPr>
    </w:p>
    <w:p w14:paraId="7E567F18" w14:textId="77777777" w:rsidR="0072683F" w:rsidRDefault="0072683F" w:rsidP="00D25D0E">
      <w:pPr>
        <w:rPr>
          <w:b/>
          <w:bCs/>
        </w:rPr>
      </w:pPr>
    </w:p>
    <w:p w14:paraId="3679B2CA" w14:textId="77777777" w:rsidR="0072683F" w:rsidRDefault="0072683F" w:rsidP="00D25D0E">
      <w:pPr>
        <w:rPr>
          <w:b/>
          <w:bCs/>
        </w:rPr>
      </w:pPr>
    </w:p>
    <w:p w14:paraId="49E09D71" w14:textId="77777777" w:rsidR="0072683F" w:rsidRDefault="0072683F" w:rsidP="00D25D0E">
      <w:pPr>
        <w:rPr>
          <w:b/>
          <w:bCs/>
        </w:rPr>
      </w:pPr>
    </w:p>
    <w:p w14:paraId="5AAF9595" w14:textId="77777777" w:rsidR="0072683F" w:rsidRDefault="0072683F" w:rsidP="00D25D0E">
      <w:pPr>
        <w:rPr>
          <w:b/>
          <w:bCs/>
        </w:rPr>
      </w:pPr>
    </w:p>
    <w:p w14:paraId="1FD0BB00" w14:textId="77777777" w:rsidR="0072683F" w:rsidRDefault="0072683F" w:rsidP="00D25D0E">
      <w:pPr>
        <w:rPr>
          <w:b/>
          <w:bCs/>
        </w:rPr>
      </w:pPr>
    </w:p>
    <w:p w14:paraId="53C6D0D0" w14:textId="77777777" w:rsidR="0097226A" w:rsidRDefault="0097226A" w:rsidP="00D25D0E">
      <w:pPr>
        <w:rPr>
          <w:b/>
          <w:bCs/>
        </w:rPr>
      </w:pPr>
    </w:p>
    <w:p w14:paraId="41ECEB70" w14:textId="5D7E5D1C" w:rsidR="00D25D0E" w:rsidRPr="00D25D0E" w:rsidRDefault="00D25D0E" w:rsidP="00D25D0E">
      <w:pPr>
        <w:rPr>
          <w:b/>
          <w:bCs/>
        </w:rPr>
      </w:pPr>
      <w:r w:rsidRPr="00D25D0E">
        <w:rPr>
          <w:b/>
          <w:bCs/>
        </w:rPr>
        <w:lastRenderedPageBreak/>
        <w:t>Serious and Organised Crime: A Literary Review</w:t>
      </w:r>
    </w:p>
    <w:p w14:paraId="3910EF3F" w14:textId="77777777" w:rsidR="00D25D0E" w:rsidRDefault="00D25D0E" w:rsidP="00A56DEF">
      <w:pPr>
        <w:pStyle w:val="Heading3"/>
      </w:pPr>
      <w:bookmarkStart w:id="1" w:name="_Toc227586948"/>
      <w:r w:rsidRPr="00D25D0E">
        <w:t>Introduction</w:t>
      </w:r>
      <w:bookmarkEnd w:id="1"/>
    </w:p>
    <w:p w14:paraId="7BD39E15" w14:textId="0C53392E" w:rsidR="005B7A74" w:rsidRDefault="005B7A74" w:rsidP="00D25D0E">
      <w:r w:rsidRPr="003B0A65">
        <w:t xml:space="preserve">This review has been written utilising academic and grey materials, intentionally so to provide opposing viewpoints, ensure balance and mitigate bias. </w:t>
      </w:r>
    </w:p>
    <w:p w14:paraId="1B525D23" w14:textId="4DBD8421" w:rsidR="00E1140B" w:rsidRPr="00E1140B" w:rsidRDefault="00E1140B" w:rsidP="00D25D0E">
      <w:pPr>
        <w:rPr>
          <w:rFonts w:ascii="Arial" w:eastAsia="Times New Roman" w:hAnsi="Arial" w:cs="Arial"/>
          <w:kern w:val="0"/>
          <w:sz w:val="22"/>
          <w:szCs w:val="22"/>
          <w:lang w:eastAsia="en-GB"/>
          <w14:ligatures w14:val="none"/>
        </w:rPr>
      </w:pPr>
      <w:r>
        <w:t xml:space="preserve">Within this review I look back on the identification of </w:t>
      </w:r>
      <w:r w:rsidR="00784538">
        <w:t>organised crime (OC)</w:t>
      </w:r>
      <w:r>
        <w:t xml:space="preserve">, the introduction of the Serious and Organised Crime Agency (SOCA), the associated legislation, the evolution of the National Crime Agency (NCA) leading us to the current day with the recent publication by Home Office (2026) titled </w:t>
      </w:r>
      <w:r w:rsidRPr="00D67810">
        <w:rPr>
          <w:rFonts w:ascii="Arial" w:eastAsia="Times New Roman" w:hAnsi="Arial" w:cs="Arial"/>
          <w:kern w:val="0"/>
          <w:sz w:val="22"/>
          <w:szCs w:val="22"/>
          <w:lang w:eastAsia="en-GB"/>
          <w14:ligatures w14:val="none"/>
        </w:rPr>
        <w:t>From local to national: a new model for policing</w:t>
      </w:r>
      <w:r>
        <w:rPr>
          <w:rFonts w:ascii="Arial" w:eastAsia="Times New Roman" w:hAnsi="Arial" w:cs="Arial"/>
          <w:kern w:val="0"/>
          <w:sz w:val="22"/>
          <w:szCs w:val="22"/>
          <w:lang w:eastAsia="en-GB"/>
          <w14:ligatures w14:val="none"/>
        </w:rPr>
        <w:t>.</w:t>
      </w:r>
    </w:p>
    <w:p w14:paraId="59B70945" w14:textId="0D6A25A0" w:rsidR="00D25D0E" w:rsidRDefault="00D25D0E" w:rsidP="00D25D0E">
      <w:r>
        <w:t xml:space="preserve">Serious and organised crime (SOC) has been a persistent and evolving challenge for law enforcement and policy makers in the United Kingdom. Kirby and Nailer (2013) identified the accelerating growth of </w:t>
      </w:r>
      <w:r w:rsidR="00784538">
        <w:t>OC</w:t>
      </w:r>
      <w:r>
        <w:t>, warning that the adaptability and flexibility of organised crime groups (OCGs) risked overwhelming traditional policing structures. More than a decade later, this observation remains relevant today. Technological advancement, globalisation, and deregulated markets have contributed to an environment in which organised crime is no longer confined to discrete groups or geographical areas. Instead permeating everyday criminality, leading some commentators to describe aspects of OC as volume crime.</w:t>
      </w:r>
    </w:p>
    <w:p w14:paraId="5DEB7D8C" w14:textId="77777777" w:rsidR="00D25D0E" w:rsidRDefault="00D25D0E" w:rsidP="00D25D0E">
      <w:r>
        <w:t xml:space="preserve">Earlier conceptual critiques questioned whether organised crime was being measured accurately or whether it functioned more as a political construct shaped by policy priorities and institutional agendas. </w:t>
      </w:r>
      <w:proofErr w:type="spellStart"/>
      <w:r>
        <w:t>Zoutendijk</w:t>
      </w:r>
      <w:proofErr w:type="spellEnd"/>
      <w:r>
        <w:t xml:space="preserve"> (2010) argued that threat assessments were subjective rather than objective measurements, raising concerns about how organised crime is defined, prioritised, and addressed. These conceptual uncertainties have practical consequences, influencing funding decisions, legislative, and organisational responses within policing.</w:t>
      </w:r>
    </w:p>
    <w:p w14:paraId="2E3C49C3" w14:textId="473A2460" w:rsidR="00D25D0E" w:rsidRDefault="00D25D0E" w:rsidP="00D25D0E">
      <w:r>
        <w:t xml:space="preserve">Kirby and Nailer (2013) and </w:t>
      </w:r>
      <w:proofErr w:type="spellStart"/>
      <w:r w:rsidRPr="00086CCD">
        <w:t>Zoutendijk</w:t>
      </w:r>
      <w:proofErr w:type="spellEnd"/>
      <w:r w:rsidRPr="00086CCD">
        <w:t xml:space="preserve"> (2010)</w:t>
      </w:r>
      <w:r>
        <w:t xml:space="preserve"> draw from multiyear case studies and critical reviews respectively. Whilst Kirby and Nailer (2013) have worked with police forces to obtain their evidence base, they have also been supported by anonymous contributors. Both </w:t>
      </w:r>
      <w:r w:rsidR="00E30819">
        <w:t>papers</w:t>
      </w:r>
      <w:r>
        <w:t xml:space="preserve"> </w:t>
      </w:r>
      <w:r w:rsidR="000A7753">
        <w:t xml:space="preserve">were </w:t>
      </w:r>
      <w:r>
        <w:t>written with the objective of understanding the risk posed by SOC</w:t>
      </w:r>
      <w:r w:rsidR="00202CE7">
        <w:t xml:space="preserve"> </w:t>
      </w:r>
      <w:r>
        <w:t xml:space="preserve">from an academic </w:t>
      </w:r>
      <w:r w:rsidR="00202CE7">
        <w:t>perspective,</w:t>
      </w:r>
      <w:r>
        <w:t xml:space="preserve"> free from the confines of policing or governmental pressures.</w:t>
      </w:r>
    </w:p>
    <w:p w14:paraId="59E698E0" w14:textId="77777777" w:rsidR="00D25D0E" w:rsidRDefault="00D25D0E" w:rsidP="00D25D0E">
      <w:r>
        <w:t>This review traces the development of SOC policy and practice in the United Kingdom. It examines early strategic thinking, the creation and operation of the Serious and Organised Crime Agency (SOCA), its replacement by the National Crime Agency (NCA), and reforms proposed in From Local to National: A New Model for Policing (Home Office, 2026). In doing so, the review critically evaluates whether successive organisational and legislative reforms have delivered meaningful change or whether they have rebranded without meeting the objective of tackling SOC effectively</w:t>
      </w:r>
    </w:p>
    <w:p w14:paraId="7E83BDCF" w14:textId="77777777" w:rsidR="00D25D0E" w:rsidRPr="000962B8" w:rsidRDefault="00D25D0E" w:rsidP="00A56DEF">
      <w:pPr>
        <w:pStyle w:val="Heading3"/>
      </w:pPr>
      <w:bookmarkStart w:id="2" w:name="_Toc227586949"/>
      <w:r w:rsidRPr="000962B8">
        <w:lastRenderedPageBreak/>
        <w:t>Scale and Nature of Serious Organised Crime</w:t>
      </w:r>
      <w:bookmarkEnd w:id="2"/>
    </w:p>
    <w:p w14:paraId="1F15B8BE" w14:textId="74F84AAA" w:rsidR="00D25D0E" w:rsidRDefault="00D25D0E" w:rsidP="00D25D0E">
      <w:r>
        <w:t>The scale of serious organised crime in the UK is significant. In 2020, SOC was estimated to cost the UK economy approximately £47 billion annually, with more than 350,000 individuals believed to be involved in some form of organised criminal activity (Home Office, 2020</w:t>
      </w:r>
      <w:r w:rsidR="00925ECD">
        <w:t xml:space="preserve"> and</w:t>
      </w:r>
      <w:r>
        <w:t xml:space="preserve"> HMICFRS, 2020). These figures highlight not only the economic impact of SOC but also its integration into legitimate business and how it now permeates everyday life.</w:t>
      </w:r>
    </w:p>
    <w:p w14:paraId="1F5D2552" w14:textId="3356267E" w:rsidR="00D25D0E" w:rsidRDefault="00D25D0E" w:rsidP="00D25D0E">
      <w:r>
        <w:t xml:space="preserve">Early material such as One Step Ahead: A 21st Century Strategy to Defeat Organised Crime (Home Office, 2004) highlighted key drivers that continue to shape the SOC landscape. These included the role of technology in facilitating communication with the ability to provide anonymity, the increasing profitability of fraud, and the ability of criminal actors to exploit legislative and geographical vulnerabilities. The NCA (2025) notes continued growth in drug supply, including increases in the supply of cocaine and ketamine, alongside the emergence of synthetic opioids such as </w:t>
      </w:r>
      <w:proofErr w:type="spellStart"/>
      <w:r>
        <w:t>nitazenes</w:t>
      </w:r>
      <w:proofErr w:type="spellEnd"/>
      <w:r>
        <w:t>. These substances exemplify how SOC adapts to maximise profit while minimising risk.</w:t>
      </w:r>
      <w:r w:rsidR="00B61755" w:rsidRPr="00B61755">
        <w:t xml:space="preserve"> </w:t>
      </w:r>
      <w:r w:rsidR="00B61755">
        <w:t xml:space="preserve">Whilst </w:t>
      </w:r>
      <w:r w:rsidR="00CD206C">
        <w:t xml:space="preserve">these </w:t>
      </w:r>
      <w:r w:rsidR="00B61755">
        <w:t xml:space="preserve">threat assessments reinforce concerns and emphasise the impact of SOC threat a degree of caution must be taken when considering the authors. Consciously or not the NCA and Home Office are providing reports whereby bias must be considered. Through experience I have rarely seen grey materials published by such </w:t>
      </w:r>
      <w:proofErr w:type="spellStart"/>
      <w:r w:rsidR="00B61755">
        <w:t>orgnaistaions</w:t>
      </w:r>
      <w:proofErr w:type="spellEnd"/>
      <w:r w:rsidR="00B61755">
        <w:t xml:space="preserve"> that objectively highlight failures</w:t>
      </w:r>
      <w:r w:rsidR="00D62A95">
        <w:t>.</w:t>
      </w:r>
    </w:p>
    <w:p w14:paraId="283AD6B7" w14:textId="400AD237" w:rsidR="00FF3388" w:rsidRDefault="00D25D0E" w:rsidP="00D25D0E">
      <w:r>
        <w:t xml:space="preserve">The Home Office (2023) defines SOC as individuals planning, coordinating, and committing serious offences either individually, in groups, or within transnational networks. While operationally useful, this definition focuses on offenders rather than systems. </w:t>
      </w:r>
      <w:r w:rsidR="00C11A3E" w:rsidRPr="00476C85">
        <w:t>This definition identifies one of the micro level details that has a macro level impact when look</w:t>
      </w:r>
      <w:r w:rsidR="005A208C">
        <w:t>ing</w:t>
      </w:r>
      <w:r w:rsidR="00C11A3E" w:rsidRPr="00476C85">
        <w:t xml:space="preserve"> at tackling or designing a response to </w:t>
      </w:r>
      <w:r w:rsidR="00C11A3E">
        <w:t>SOC</w:t>
      </w:r>
      <w:r w:rsidR="00C11A3E" w:rsidRPr="00476C85">
        <w:t>. This definition focuses on the individuals</w:t>
      </w:r>
      <w:r w:rsidR="00C11A3E">
        <w:t xml:space="preserve"> or groups committing the crime</w:t>
      </w:r>
      <w:r w:rsidR="00C11A3E" w:rsidRPr="00476C85">
        <w:t xml:space="preserve"> and not on the mechanisms that </w:t>
      </w:r>
      <w:r w:rsidR="00C11A3E">
        <w:t xml:space="preserve">help </w:t>
      </w:r>
      <w:r w:rsidR="00C11A3E" w:rsidRPr="00476C85">
        <w:t xml:space="preserve">facilitate the criminality. </w:t>
      </w:r>
      <w:r w:rsidR="00C11A3E">
        <w:t>SOC</w:t>
      </w:r>
      <w:r w:rsidR="00C11A3E" w:rsidRPr="00476C85">
        <w:t xml:space="preserve"> is a business and </w:t>
      </w:r>
      <w:r w:rsidR="00C11A3E">
        <w:t>to</w:t>
      </w:r>
      <w:r w:rsidR="00C11A3E" w:rsidRPr="00476C85">
        <w:t xml:space="preserve"> identify its strengths and weaknesses it should be viewed as such. </w:t>
      </w:r>
    </w:p>
    <w:p w14:paraId="536D7B87" w14:textId="0E82C61C" w:rsidR="00D25D0E" w:rsidRDefault="00D25D0E" w:rsidP="00D25D0E">
      <w:r>
        <w:t>A growing body of literature</w:t>
      </w:r>
      <w:r w:rsidRPr="007B33BF">
        <w:rPr>
          <w:color w:val="000000" w:themeColor="text1"/>
        </w:rPr>
        <w:t xml:space="preserve"> </w:t>
      </w:r>
      <w:r w:rsidRPr="004B5C35">
        <w:rPr>
          <w:color w:val="000000" w:themeColor="text1"/>
        </w:rPr>
        <w:t>Murray (2013</w:t>
      </w:r>
      <w:r>
        <w:rPr>
          <w:color w:val="000000" w:themeColor="text1"/>
        </w:rPr>
        <w:t xml:space="preserve">), </w:t>
      </w:r>
      <w:r>
        <w:t xml:space="preserve">Kirby and Snow (2016) and </w:t>
      </w:r>
      <w:proofErr w:type="spellStart"/>
      <w:r w:rsidRPr="00D4665E">
        <w:rPr>
          <w:rFonts w:ascii="Arial" w:eastAsia="Times New Roman" w:hAnsi="Arial" w:cs="Arial"/>
          <w:color w:val="000000" w:themeColor="text1"/>
          <w:kern w:val="0"/>
          <w:sz w:val="22"/>
          <w:szCs w:val="22"/>
          <w:lang w:eastAsia="en-GB"/>
          <w14:ligatures w14:val="none"/>
        </w:rPr>
        <w:t>Zoutendijk</w:t>
      </w:r>
      <w:proofErr w:type="spellEnd"/>
      <w:r w:rsidRPr="007F27E8">
        <w:rPr>
          <w:rFonts w:ascii="Arial" w:eastAsia="Times New Roman" w:hAnsi="Arial" w:cs="Arial"/>
          <w:color w:val="000000" w:themeColor="text1"/>
          <w:kern w:val="0"/>
          <w:sz w:val="22"/>
          <w:szCs w:val="22"/>
          <w:lang w:eastAsia="en-GB"/>
          <w14:ligatures w14:val="none"/>
        </w:rPr>
        <w:t xml:space="preserve"> (2010</w:t>
      </w:r>
      <w:r>
        <w:rPr>
          <w:rFonts w:ascii="Arial" w:eastAsia="Times New Roman" w:hAnsi="Arial" w:cs="Arial"/>
          <w:color w:val="000000" w:themeColor="text1"/>
          <w:lang w:eastAsia="en-GB"/>
        </w:rPr>
        <w:t xml:space="preserve">) all </w:t>
      </w:r>
      <w:r>
        <w:t xml:space="preserve">argue that such actor‑focused obsession risks obscuring the enabling framework of financial systems, digital platforms, logistics networks, and corrupt relationships that sustain organised criminal activity. Viewing SOC as a business enterprise rather than a collection of groups offers more opportunities to design truly informed disruption. </w:t>
      </w:r>
      <w:r w:rsidR="006434A7">
        <w:t xml:space="preserve">Murray </w:t>
      </w:r>
      <w:r w:rsidR="00C8602D">
        <w:t xml:space="preserve">writes from a predominantly financial </w:t>
      </w:r>
      <w:r w:rsidR="003F5E13">
        <w:t>background</w:t>
      </w:r>
      <w:r w:rsidR="00C8602D">
        <w:t xml:space="preserve">, publishing in the </w:t>
      </w:r>
      <w:r w:rsidR="0074059B">
        <w:t xml:space="preserve">Journal of </w:t>
      </w:r>
      <w:r w:rsidR="00D12D5B">
        <w:t>M</w:t>
      </w:r>
      <w:r w:rsidR="0074059B">
        <w:t xml:space="preserve">oney Laundering Control, whilst his assertions </w:t>
      </w:r>
      <w:r w:rsidR="0065768F">
        <w:t>are mirrored by others it must be noted that his paper only</w:t>
      </w:r>
      <w:r w:rsidR="00DE3286">
        <w:t xml:space="preserve"> explores and or is supported by</w:t>
      </w:r>
      <w:r w:rsidR="0065768F">
        <w:t xml:space="preserve"> 5 </w:t>
      </w:r>
      <w:r w:rsidR="000F3C86">
        <w:t>reference</w:t>
      </w:r>
      <w:r w:rsidR="00DE3286">
        <w:t xml:space="preserve"> materials</w:t>
      </w:r>
      <w:r w:rsidR="0065768F">
        <w:t xml:space="preserve"> and is largely </w:t>
      </w:r>
      <w:r w:rsidR="00E01604">
        <w:t xml:space="preserve">a subjective review whereas Kirby and Snow draw from </w:t>
      </w:r>
      <w:r w:rsidR="00641F78">
        <w:t xml:space="preserve">a far larger sample size </w:t>
      </w:r>
      <w:r w:rsidR="0023056C">
        <w:t>reviewing how police forces have tackled 15 OCG</w:t>
      </w:r>
      <w:r w:rsidR="00A6034B">
        <w:t>s</w:t>
      </w:r>
      <w:r w:rsidR="0023056C">
        <w:t xml:space="preserve"> (99 individuals)</w:t>
      </w:r>
      <w:r w:rsidR="00D12D5B">
        <w:t>.</w:t>
      </w:r>
    </w:p>
    <w:p w14:paraId="2A28C17C" w14:textId="77777777" w:rsidR="00D25D0E" w:rsidRPr="002A1E54" w:rsidRDefault="00D25D0E" w:rsidP="00A56DEF">
      <w:pPr>
        <w:pStyle w:val="Heading3"/>
      </w:pPr>
      <w:bookmarkStart w:id="3" w:name="_Toc227586950"/>
      <w:r w:rsidRPr="002A1E54">
        <w:lastRenderedPageBreak/>
        <w:t>The Serious and Organised Crime Agency</w:t>
      </w:r>
      <w:bookmarkEnd w:id="3"/>
    </w:p>
    <w:p w14:paraId="78938AE9" w14:textId="77777777" w:rsidR="00D25D0E" w:rsidRDefault="00D25D0E" w:rsidP="00D25D0E">
      <w:r>
        <w:t>The Serious and Organised Crime Agency represented a significant shift in the UK’s approach to organised crime. SOCA was created to prevent, detect, and reduce serious organised crime and to mitigate its consequences (Fitzpatrick, 2006). It was formed through the amalgamation of the National Crime Squad, the National Criminal Intelligence Service, and elements of HM Customs and Excise, creating a single nationally governed body with Home Office oversight.</w:t>
      </w:r>
    </w:p>
    <w:p w14:paraId="4F44F6D1" w14:textId="787F45E5" w:rsidR="00D25D0E" w:rsidRDefault="00D25D0E" w:rsidP="00D25D0E">
      <w:r>
        <w:t>This consolidation reflects a recurring assumption that centralisation would improve effectiveness by reducing duplication, enhancing intelligence sharing, and providing strategic coherence. Similar assumptions would later underpin the creation of the NCA and more recent proposals for national policing reform (Home Office</w:t>
      </w:r>
      <w:r w:rsidR="00FA5ACB">
        <w:t>,</w:t>
      </w:r>
      <w:r>
        <w:t xml:space="preserve"> 2026). </w:t>
      </w:r>
    </w:p>
    <w:p w14:paraId="23BD989A" w14:textId="77777777" w:rsidR="00D25D0E" w:rsidRDefault="00D25D0E" w:rsidP="00D25D0E">
      <w:r>
        <w:t>The legislative framework accompanying SOCA sought to provide robust powers to tackle SOC. The Serious Organised Crime and Police Act 2005 expanded investigative capabilities, while the Serious Crime Act 2007 introduced preventative measures such as Serious Crime Prevention Orders (SCPOs), Travel Restriction Orders, and Financial Reporting Orders. These tools were intended to address the high rates of recidivism associated with organised crime by restricting future conduct rather than relying solely on prosecution.</w:t>
      </w:r>
    </w:p>
    <w:p w14:paraId="3B941C45" w14:textId="6F116D02" w:rsidR="00D25D0E" w:rsidRDefault="00D25D0E" w:rsidP="00D25D0E">
      <w:r>
        <w:t>Despite the availability of these measures, their use was limited. Sproat (2012) highlighted that although reoffending rates among individuals convicted of SOC offences were estimated at approximately 85%, only a small proportion were subject to preventative orders. This disparity raised questions about proportionality, necessity, and the deterrent value of existing sanctions. Fitzpatrick (2006) further argued that the absence of highly punitive frameworks comparable to the United States’ RICO legislation weakened the perceived risks of engaging in organised crime, allowing the associated rewards to continue to outweigh the threat of enforcement.</w:t>
      </w:r>
      <w:r w:rsidR="00C9453E">
        <w:t xml:space="preserve"> Fitzpatrick</w:t>
      </w:r>
      <w:r w:rsidR="00D062E4">
        <w:t xml:space="preserve">, a Barrister writes with a purpose to </w:t>
      </w:r>
      <w:r w:rsidR="004645F8">
        <w:t>examine the Organised Crime and Police Act 2025</w:t>
      </w:r>
      <w:r w:rsidR="00692D78">
        <w:t>. Fitzpatrick can</w:t>
      </w:r>
      <w:r w:rsidR="00947C6F">
        <w:t xml:space="preserve"> and does</w:t>
      </w:r>
      <w:r w:rsidR="00692D78">
        <w:t xml:space="preserve"> apply the knowledge and </w:t>
      </w:r>
      <w:r w:rsidR="00243045">
        <w:t>viewpoint</w:t>
      </w:r>
      <w:r w:rsidR="00692D78">
        <w:t xml:space="preserve"> of a practitioner </w:t>
      </w:r>
      <w:r w:rsidR="00214A36">
        <w:t xml:space="preserve">from the perspective of </w:t>
      </w:r>
      <w:r w:rsidR="00D40A9B">
        <w:t xml:space="preserve">offenders once in the criminal justice system however lacks balance when considering the design and or implementation of disruption techniques prior to reaching that point. </w:t>
      </w:r>
      <w:r w:rsidR="00F32DDB">
        <w:t xml:space="preserve">Sproat on the other hand draws from a far wider </w:t>
      </w:r>
      <w:r w:rsidR="00B82733">
        <w:t xml:space="preserve">pool of evidence and </w:t>
      </w:r>
      <w:r w:rsidR="00D352FF">
        <w:t>can</w:t>
      </w:r>
      <w:r w:rsidR="001C0FE7">
        <w:t xml:space="preserve"> provide a more thorough assessment of the Policing </w:t>
      </w:r>
      <w:r w:rsidR="00D352FF">
        <w:t>response</w:t>
      </w:r>
      <w:r w:rsidR="001C0FE7">
        <w:t xml:space="preserve"> </w:t>
      </w:r>
      <w:r w:rsidR="005473D8">
        <w:t>to OC</w:t>
      </w:r>
      <w:r w:rsidR="002E55FF">
        <w:t>.</w:t>
      </w:r>
      <w:r w:rsidR="005473D8">
        <w:t xml:space="preserve"> </w:t>
      </w:r>
      <w:r w:rsidR="002E55FF">
        <w:t>O</w:t>
      </w:r>
      <w:r w:rsidR="005473D8">
        <w:t>ne caveat being that the data refenced originates from SOCA</w:t>
      </w:r>
      <w:r w:rsidR="00516D10">
        <w:t xml:space="preserve">, said data lacks academic scrutiny and could be vulnerable to organisational bias. </w:t>
      </w:r>
    </w:p>
    <w:p w14:paraId="5E5CD515" w14:textId="614D9BB7" w:rsidR="00C065CD" w:rsidRDefault="00D25D0E" w:rsidP="00D25D0E">
      <w:r>
        <w:t>SOCA positioned SOC as a national security threat, adopting rhetoric similar to that used in counter</w:t>
      </w:r>
      <w:r w:rsidR="00FA5ACB">
        <w:t xml:space="preserve"> </w:t>
      </w:r>
      <w:r>
        <w:t xml:space="preserve">terrorism. However, conviction rates and measurable disruption outcomes struggled to justify this. Sproat (2012) characterised the response as largely symbolic, describing a ‘phoney war’ in which the scale of the threat was emphasised </w:t>
      </w:r>
      <w:r>
        <w:lastRenderedPageBreak/>
        <w:t>without the delivery of proportionate impact.</w:t>
      </w:r>
      <w:r w:rsidR="00AA722F" w:rsidRPr="00AA722F">
        <w:t xml:space="preserve"> </w:t>
      </w:r>
      <w:r w:rsidR="00AA722F">
        <w:t xml:space="preserve">Sproat (2012) </w:t>
      </w:r>
      <w:r w:rsidR="000A53A9">
        <w:t xml:space="preserve">continues by </w:t>
      </w:r>
      <w:r w:rsidR="00AA722F">
        <w:t xml:space="preserve">questioning </w:t>
      </w:r>
      <w:r w:rsidR="000E323C">
        <w:t>t</w:t>
      </w:r>
      <w:r w:rsidR="00AA722F">
        <w:t>he conviction rates under SOCA</w:t>
      </w:r>
      <w:r w:rsidR="00294004">
        <w:t xml:space="preserve">, </w:t>
      </w:r>
      <w:r w:rsidR="00A954F4">
        <w:t>statistically</w:t>
      </w:r>
      <w:r w:rsidR="00294004">
        <w:t xml:space="preserve"> </w:t>
      </w:r>
      <w:r w:rsidR="00AA722F">
        <w:t xml:space="preserve">if SOC stood still </w:t>
      </w:r>
      <w:r w:rsidR="00294004">
        <w:t xml:space="preserve">it would </w:t>
      </w:r>
      <w:r w:rsidR="00AA722F">
        <w:t>take the agency 100 years to resolve.</w:t>
      </w:r>
      <w:r>
        <w:t xml:space="preserve"> The relative absence of the systematic evaluation of SOCA’s successes and failures has frustrated opportunities for organisational learning, reducing the ability to learn, evolve and repeat past mistakes.</w:t>
      </w:r>
    </w:p>
    <w:p w14:paraId="66141493" w14:textId="77777777" w:rsidR="00D25D0E" w:rsidRPr="007F11DB" w:rsidRDefault="00D25D0E" w:rsidP="00A56DEF">
      <w:pPr>
        <w:pStyle w:val="Heading3"/>
      </w:pPr>
      <w:bookmarkStart w:id="4" w:name="_Toc227586951"/>
      <w:r w:rsidRPr="007F11DB">
        <w:t>The National Crime Agency</w:t>
      </w:r>
      <w:bookmarkEnd w:id="4"/>
    </w:p>
    <w:p w14:paraId="2B6636C7" w14:textId="77777777" w:rsidR="00D25D0E" w:rsidRDefault="00D25D0E" w:rsidP="00D25D0E">
      <w:r>
        <w:t>SOCA was replaced by the National Crime Agency in 2013, reflecting both dissatisfaction with existing arrangements and renewed ambitions for a national response to organised crime. According to HMICFRS (2021), more than 4,500 recognised organised crime groups operate in the UK.</w:t>
      </w:r>
    </w:p>
    <w:p w14:paraId="0B502EF0" w14:textId="6D52A7AC" w:rsidR="00D25D0E" w:rsidRDefault="00D25D0E" w:rsidP="00D25D0E">
      <w:r>
        <w:t>The NCA identifies a broad spectrum of SOC threats, including child sexual abuse, cybercrime, drug supply, firearms, fraud, illicit finance, modern slavery, organised acquisitive crime, and organised immigration crime. More recently, strategic emphasis has shifted towards understanding cross</w:t>
      </w:r>
      <w:r w:rsidR="00EB5E20">
        <w:t xml:space="preserve"> </w:t>
      </w:r>
      <w:r>
        <w:t>cutting enablers such as the criminal use of technology, vulnerabilities at the UK border, insider threats, and the role of prisons and probation in facilitating continued criminal activity.</w:t>
      </w:r>
    </w:p>
    <w:p w14:paraId="1E255AF9" w14:textId="77777777" w:rsidR="00D25D0E" w:rsidRDefault="00D25D0E" w:rsidP="00D25D0E">
      <w:r>
        <w:t>Risk assessment frameworks such as the Management of Risk in Law Enforcement (</w:t>
      </w:r>
      <w:proofErr w:type="spellStart"/>
      <w:r>
        <w:t>MoRiLE</w:t>
      </w:r>
      <w:proofErr w:type="spellEnd"/>
      <w:r>
        <w:t>) aim to provide consistency in prioritisation across forces and agencies. While this approach supports transparency and comparability, HMICFRS (2025) has identified persistent concerns regarding harm weighting. In particular, OCGs associated with drugs and firearms tend to score more highly than those involved in organised immigration crime (OIC), despite the profound human harm associated with exploitation and trafficking. This raises ethical questions about how harm is conceptualised.</w:t>
      </w:r>
    </w:p>
    <w:p w14:paraId="1A1FB543" w14:textId="6D68E8EF" w:rsidR="00D25D0E" w:rsidRDefault="00D25D0E" w:rsidP="00D25D0E">
      <w:r>
        <w:t>Home Office (2023) and HMICFRS (2025) discuss data</w:t>
      </w:r>
      <w:r w:rsidR="004375BA">
        <w:t xml:space="preserve"> </w:t>
      </w:r>
      <w:r>
        <w:t xml:space="preserve">sharing initiatives, including the SOC </w:t>
      </w:r>
      <w:proofErr w:type="spellStart"/>
      <w:r>
        <w:t>Masterlist</w:t>
      </w:r>
      <w:proofErr w:type="spellEnd"/>
      <w:r>
        <w:t xml:space="preserve"> and the Agency and Partner Management Information System (APMIS), representing significant infrastructural improvements. These systems aim to ensure that SOC threats, developments, and disruptions are recorded consistently across agencies. However, HMICFRS (2020) concluded that structural constraints continue to limit the NCA’s ability to deliver outcomes commensurate with the scale of the threat. Observations by the HMICFRS </w:t>
      </w:r>
      <w:r w:rsidR="009B1834">
        <w:t>should</w:t>
      </w:r>
      <w:r>
        <w:t xml:space="preserve"> be viewed and valued in the context of it being an independent body set up to assess the effectiveness and efficiency of police forces. </w:t>
      </w:r>
    </w:p>
    <w:p w14:paraId="265C2C62" w14:textId="3A73B899" w:rsidR="00A11BAC" w:rsidRPr="00B7070B" w:rsidRDefault="00D25D0E" w:rsidP="00A56DEF">
      <w:pPr>
        <w:pStyle w:val="Heading3"/>
      </w:pPr>
      <w:bookmarkStart w:id="5" w:name="_Toc227586952"/>
      <w:r w:rsidRPr="00B7070B">
        <w:t>Public Perspective and Legitimacy</w:t>
      </w:r>
      <w:bookmarkEnd w:id="5"/>
    </w:p>
    <w:p w14:paraId="12168126" w14:textId="77777777" w:rsidR="00B0683F" w:rsidRDefault="00D25D0E" w:rsidP="00D25D0E">
      <w:r>
        <w:t xml:space="preserve">Public confidence is a critical but often overlooked dimension of the response to SOC. While organised crime is widely recognised as a national problem, its perceived relevance at the local level remains limited. Skidmore et al. (2020) found that although a majority of the public believe organised crime is a serious issue, relatively few perceive it as affecting their own communities directly. </w:t>
      </w:r>
      <w:r w:rsidR="00091FC4">
        <w:t>Skidmore et al.</w:t>
      </w:r>
      <w:r w:rsidR="00C013CF">
        <w:t xml:space="preserve"> (2020)</w:t>
      </w:r>
      <w:r w:rsidR="00091FC4">
        <w:t xml:space="preserve"> draw from </w:t>
      </w:r>
      <w:r w:rsidR="00F90B0D">
        <w:t xml:space="preserve">over 700 </w:t>
      </w:r>
      <w:r w:rsidR="00F90B0D">
        <w:lastRenderedPageBreak/>
        <w:t>recorded crimes, whilst an</w:t>
      </w:r>
      <w:r w:rsidR="00C5794E">
        <w:t xml:space="preserve"> extensive sample size this was limited to one force </w:t>
      </w:r>
      <w:r w:rsidR="00682F1F">
        <w:t>restricting</w:t>
      </w:r>
      <w:r w:rsidR="00124AB8">
        <w:t xml:space="preserve"> variation </w:t>
      </w:r>
      <w:r w:rsidR="00AD2D7A">
        <w:t xml:space="preserve">when considering the </w:t>
      </w:r>
      <w:r w:rsidR="00FB3F58">
        <w:t>socio-economic</w:t>
      </w:r>
      <w:r w:rsidR="00AD2D7A">
        <w:t xml:space="preserve"> factors of said force</w:t>
      </w:r>
      <w:r w:rsidR="0078021B">
        <w:t xml:space="preserve">. </w:t>
      </w:r>
    </w:p>
    <w:p w14:paraId="4309E447" w14:textId="145C73B5" w:rsidR="00F406AB" w:rsidRDefault="00D25D0E" w:rsidP="00D25D0E">
      <w:r>
        <w:t>Victims are often unaware of the organised origins of offences, particularly where fraud or cyber</w:t>
      </w:r>
      <w:r w:rsidR="00F406AB">
        <w:t>-</w:t>
      </w:r>
      <w:r>
        <w:t>enabled crimes are concerned.</w:t>
      </w:r>
      <w:r w:rsidR="006D5B4D">
        <w:t xml:space="preserve"> </w:t>
      </w:r>
      <w:r w:rsidR="00F406AB">
        <w:t xml:space="preserve">Leukfeldt, Lavigna and </w:t>
      </w:r>
      <w:proofErr w:type="spellStart"/>
      <w:r w:rsidR="00F406AB">
        <w:t>Kleemans</w:t>
      </w:r>
      <w:proofErr w:type="spellEnd"/>
      <w:r w:rsidR="00F406AB">
        <w:t xml:space="preserve"> (2016) </w:t>
      </w:r>
      <w:r w:rsidR="00146C72">
        <w:t>dra</w:t>
      </w:r>
      <w:r w:rsidR="00E2211F">
        <w:t>w</w:t>
      </w:r>
      <w:r w:rsidR="005C462B">
        <w:t xml:space="preserve"> from a</w:t>
      </w:r>
      <w:r w:rsidR="00FE2E04">
        <w:t>n international</w:t>
      </w:r>
      <w:r w:rsidR="005C462B">
        <w:t xml:space="preserve"> sample including law enforcement and banking sectors </w:t>
      </w:r>
      <w:r w:rsidR="00E2211F">
        <w:t xml:space="preserve">when considering </w:t>
      </w:r>
      <w:r w:rsidR="00F50296">
        <w:t>phishing</w:t>
      </w:r>
      <w:r w:rsidR="00E2211F">
        <w:t xml:space="preserve"> and malware attacks. </w:t>
      </w:r>
      <w:r w:rsidR="00EC04CA">
        <w:t>Explaining that i</w:t>
      </w:r>
      <w:r w:rsidR="00F50296">
        <w:t>t</w:t>
      </w:r>
      <w:r w:rsidR="005C462B">
        <w:t xml:space="preserve"> is not only the virtual space that makes tackling</w:t>
      </w:r>
      <w:r w:rsidR="001D2D66">
        <w:t xml:space="preserve"> and interpreting</w:t>
      </w:r>
      <w:r w:rsidR="005C462B">
        <w:t xml:space="preserve"> </w:t>
      </w:r>
      <w:r w:rsidR="00EC04CA">
        <w:t>cybercrime</w:t>
      </w:r>
      <w:r w:rsidR="005C462B">
        <w:t xml:space="preserve"> challenging it is also the variety of motivating factors, from financial to ideological and many more in-between.</w:t>
      </w:r>
    </w:p>
    <w:p w14:paraId="293CAF72" w14:textId="705FEA42" w:rsidR="00D25D0E" w:rsidRDefault="00D25D0E" w:rsidP="00D25D0E">
      <w:r>
        <w:t>Home Office (2026) reports that fraud now accounts for 44% of recorded crime in England and Wales. Despite its scale, Bullock and Leeney (2012) argue that fraud generates lower levels of public concern due to its financial rather than physical impact. At a time when public confidence has fallen to approximately 67% (Home Office, 2026), visible focus on crimes perceived as remote or abstract risks further disconnecting policing priorities from public expectations.</w:t>
      </w:r>
      <w:r w:rsidR="00BD0734">
        <w:t xml:space="preserve"> Bullock and Leeney (2012) also reference the significant role the media play in </w:t>
      </w:r>
      <w:r w:rsidR="00F95365">
        <w:t>how the public view SOC threat with said coverage having a signi</w:t>
      </w:r>
      <w:r w:rsidR="003544BA">
        <w:t xml:space="preserve">ficant impact on the </w:t>
      </w:r>
      <w:r w:rsidR="00800C66">
        <w:t>public’s</w:t>
      </w:r>
      <w:r w:rsidR="003544BA">
        <w:t xml:space="preserve"> perception of risk. </w:t>
      </w:r>
      <w:r w:rsidR="00AD3D6E">
        <w:t>Th</w:t>
      </w:r>
      <w:r w:rsidR="005C295D">
        <w:t>e</w:t>
      </w:r>
      <w:r w:rsidR="00AD3D6E">
        <w:t>s</w:t>
      </w:r>
      <w:r w:rsidR="005C295D">
        <w:t>e</w:t>
      </w:r>
      <w:r w:rsidR="00AD3D6E">
        <w:t xml:space="preserve"> </w:t>
      </w:r>
      <w:r w:rsidR="00405D0E">
        <w:t xml:space="preserve">observation bring into question the morality of the media when considering balanced reporting against over </w:t>
      </w:r>
      <w:proofErr w:type="spellStart"/>
      <w:r w:rsidR="00405D0E">
        <w:t>dramati</w:t>
      </w:r>
      <w:r w:rsidR="002A0A2E">
        <w:t>s</w:t>
      </w:r>
      <w:r w:rsidR="00405D0E">
        <w:t>ation</w:t>
      </w:r>
      <w:proofErr w:type="spellEnd"/>
      <w:r w:rsidR="00405D0E">
        <w:t xml:space="preserve"> to increase sales</w:t>
      </w:r>
      <w:r w:rsidR="00800C66">
        <w:t>/popularity.</w:t>
      </w:r>
      <w:r w:rsidR="00D1136D">
        <w:t xml:space="preserve"> </w:t>
      </w:r>
      <w:r w:rsidR="00D54390">
        <w:t>These observations are drawn from focus group data</w:t>
      </w:r>
      <w:r w:rsidR="00634DDC">
        <w:t>, Bullock and Leeney utilised 75 individuals</w:t>
      </w:r>
      <w:r w:rsidR="00CF3F34">
        <w:t>,</w:t>
      </w:r>
      <w:r w:rsidR="00634DDC">
        <w:t xml:space="preserve"> record</w:t>
      </w:r>
      <w:r w:rsidR="00CF3F34">
        <w:t>ing</w:t>
      </w:r>
      <w:r w:rsidR="00634DDC">
        <w:t xml:space="preserve"> the age, race and gender offering a diverse sample size and evidence base. </w:t>
      </w:r>
    </w:p>
    <w:p w14:paraId="18236D80" w14:textId="24DE8619" w:rsidR="00D25D0E" w:rsidRDefault="00D25D0E" w:rsidP="00D25D0E">
      <w:r>
        <w:t>Research suggests that public perceptions of seriousness are shaped primarily by personal harm and disruption to quality of life rather than the categorisation or complexity (</w:t>
      </w:r>
      <w:proofErr w:type="spellStart"/>
      <w:r>
        <w:t>Sorell</w:t>
      </w:r>
      <w:proofErr w:type="spellEnd"/>
      <w:r>
        <w:t>, 2018). In some contexts, organised crime is even romanticised, framed as economically rational behaviour in response to deprivation or inequality (Williams, 2012). Such narratives complicate enforcement</w:t>
      </w:r>
      <w:r w:rsidR="00FC77B1">
        <w:t xml:space="preserve"> </w:t>
      </w:r>
      <w:r>
        <w:t>based strategies and highlight the limits of deterrence where underlying social and economic drivers remain.</w:t>
      </w:r>
      <w:r w:rsidR="00D4503A">
        <w:t xml:space="preserve"> </w:t>
      </w:r>
      <w:proofErr w:type="spellStart"/>
      <w:r w:rsidR="003464BF">
        <w:t>Sorell</w:t>
      </w:r>
      <w:proofErr w:type="spellEnd"/>
      <w:r w:rsidR="003464BF">
        <w:t xml:space="preserve"> and Williams both offer extensively refenced reviews on the topic of SOC providing balanced narrative</w:t>
      </w:r>
      <w:r w:rsidR="00AC72C5">
        <w:t>s</w:t>
      </w:r>
      <w:r w:rsidR="003464BF">
        <w:t xml:space="preserve"> analysing the sociol</w:t>
      </w:r>
      <w:r w:rsidR="00AC72C5">
        <w:t>ogical</w:t>
      </w:r>
      <w:r w:rsidR="003464BF">
        <w:t xml:space="preserve"> and </w:t>
      </w:r>
      <w:r w:rsidR="00AC72C5">
        <w:t xml:space="preserve">economic origins of SOC. </w:t>
      </w:r>
      <w:r w:rsidR="003464BF">
        <w:t xml:space="preserve"> </w:t>
      </w:r>
    </w:p>
    <w:p w14:paraId="222C8D1C" w14:textId="77777777" w:rsidR="00D25D0E" w:rsidRPr="00AF6DA2" w:rsidRDefault="00D25D0E" w:rsidP="00A56DEF">
      <w:pPr>
        <w:pStyle w:val="Heading3"/>
      </w:pPr>
      <w:bookmarkStart w:id="6" w:name="_Toc227586953"/>
      <w:r w:rsidRPr="00AF6DA2">
        <w:t>Conclusion</w:t>
      </w:r>
      <w:bookmarkEnd w:id="6"/>
    </w:p>
    <w:p w14:paraId="222E3B33" w14:textId="39B3C74F" w:rsidR="00D25D0E" w:rsidRDefault="00D25D0E" w:rsidP="00D25D0E">
      <w:r>
        <w:t>This review highlights persistent pressures in the UK’s response to serious and organised crime. Enforcement</w:t>
      </w:r>
      <w:r w:rsidR="008D5BC3">
        <w:t xml:space="preserve"> </w:t>
      </w:r>
      <w:r>
        <w:t>dominant approaches, while politically and institutionally entrenched, often lack the agility required to address fragmented and adaptive criminal activity. Crocker et al. (2019) argue that such mentalities discourage innovation and collaboration, particularly where criminality does not align neatly with established ideals.</w:t>
      </w:r>
      <w:r w:rsidR="00546ED4">
        <w:t xml:space="preserve"> Crocker er al. </w:t>
      </w:r>
      <w:r w:rsidR="009612CA">
        <w:t xml:space="preserve">(2019) </w:t>
      </w:r>
      <w:r w:rsidR="00546ED4">
        <w:t>utilise</w:t>
      </w:r>
      <w:r w:rsidR="003E60F7">
        <w:t>d</w:t>
      </w:r>
      <w:r w:rsidR="00546ED4">
        <w:t xml:space="preserve"> </w:t>
      </w:r>
      <w:r w:rsidR="00491DD0">
        <w:t xml:space="preserve">police </w:t>
      </w:r>
      <w:r w:rsidR="00700658">
        <w:t>data from three deprive</w:t>
      </w:r>
      <w:r w:rsidR="00477632">
        <w:t>d</w:t>
      </w:r>
      <w:r w:rsidR="00700658">
        <w:t xml:space="preserve"> high-crime </w:t>
      </w:r>
      <w:r w:rsidR="00477632">
        <w:t xml:space="preserve">residential </w:t>
      </w:r>
      <w:r w:rsidR="00700658">
        <w:t>neighbourhoods</w:t>
      </w:r>
      <w:r w:rsidR="00B7279D">
        <w:t xml:space="preserve"> including three case studies</w:t>
      </w:r>
      <w:r w:rsidR="003E60F7">
        <w:t xml:space="preserve">. </w:t>
      </w:r>
      <w:r w:rsidR="005D67EF">
        <w:t>Utilising</w:t>
      </w:r>
      <w:r w:rsidR="00744B95">
        <w:t xml:space="preserve"> </w:t>
      </w:r>
      <w:r w:rsidR="00C60E5E">
        <w:t>communities</w:t>
      </w:r>
      <w:r w:rsidR="00744B95">
        <w:t xml:space="preserve"> exposed to higher levels of crime</w:t>
      </w:r>
      <w:r w:rsidR="005D67EF">
        <w:t xml:space="preserve"> risks </w:t>
      </w:r>
      <w:r w:rsidR="006F6356">
        <w:t>a lack of balance</w:t>
      </w:r>
      <w:r w:rsidR="00C77ADB">
        <w:t>.</w:t>
      </w:r>
      <w:r w:rsidR="006F6356">
        <w:t xml:space="preserve"> </w:t>
      </w:r>
      <w:r w:rsidR="00C77ADB">
        <w:t>Consideration must be given to the communities</w:t>
      </w:r>
      <w:r w:rsidR="006F6356">
        <w:t xml:space="preserve"> being desensitised </w:t>
      </w:r>
      <w:r w:rsidR="00C50B56">
        <w:t>because of</w:t>
      </w:r>
      <w:r w:rsidR="006F6356">
        <w:t xml:space="preserve"> over exposure</w:t>
      </w:r>
      <w:r w:rsidR="005E73A1">
        <w:t>, normalised behaviours</w:t>
      </w:r>
      <w:r w:rsidR="003B2D79">
        <w:t xml:space="preserve"> </w:t>
      </w:r>
      <w:r w:rsidR="003B2D79">
        <w:lastRenderedPageBreak/>
        <w:t xml:space="preserve">and </w:t>
      </w:r>
      <w:r w:rsidR="0005204F">
        <w:t>lacks</w:t>
      </w:r>
      <w:r w:rsidR="003B2D79">
        <w:t xml:space="preserve"> the </w:t>
      </w:r>
      <w:r w:rsidR="00B77CDD">
        <w:t>nuanced</w:t>
      </w:r>
      <w:r w:rsidR="003B2D79">
        <w:t xml:space="preserve"> </w:t>
      </w:r>
      <w:r w:rsidR="00B07040">
        <w:t>coverage</w:t>
      </w:r>
      <w:r w:rsidR="00B77CDD">
        <w:t xml:space="preserve"> it could have had if </w:t>
      </w:r>
      <w:r w:rsidR="00C50B56">
        <w:t>observations from</w:t>
      </w:r>
      <w:r w:rsidR="00B77CDD">
        <w:t xml:space="preserve"> lower crime areas</w:t>
      </w:r>
      <w:r w:rsidR="00B07040">
        <w:t xml:space="preserve"> had been incorporated.</w:t>
      </w:r>
      <w:r w:rsidR="00744B95">
        <w:t xml:space="preserve"> </w:t>
      </w:r>
      <w:r w:rsidR="00B07040">
        <w:t>T</w:t>
      </w:r>
      <w:r w:rsidR="00744B95">
        <w:t xml:space="preserve">he paper is </w:t>
      </w:r>
      <w:r w:rsidR="00C50B56">
        <w:t xml:space="preserve">however </w:t>
      </w:r>
      <w:r w:rsidR="00051FBF">
        <w:t>heavily</w:t>
      </w:r>
      <w:r w:rsidR="00744B95">
        <w:t xml:space="preserve"> refe</w:t>
      </w:r>
      <w:r w:rsidR="002B28A1">
        <w:t>re</w:t>
      </w:r>
      <w:r w:rsidR="00744B95">
        <w:t xml:space="preserve">nced with the use of academic materials </w:t>
      </w:r>
      <w:r w:rsidR="00051FBF">
        <w:t>helping</w:t>
      </w:r>
      <w:r w:rsidR="002B28A1">
        <w:t xml:space="preserve"> it</w:t>
      </w:r>
      <w:r w:rsidR="00051FBF">
        <w:t xml:space="preserve"> </w:t>
      </w:r>
      <w:r w:rsidR="00B67FED">
        <w:t>strike</w:t>
      </w:r>
      <w:r w:rsidR="00051FBF">
        <w:t xml:space="preserve"> a</w:t>
      </w:r>
      <w:r w:rsidR="00B67FED">
        <w:t xml:space="preserve"> more</w:t>
      </w:r>
      <w:r w:rsidR="00051FBF">
        <w:t xml:space="preserve"> balanced perspective. </w:t>
      </w:r>
    </w:p>
    <w:p w14:paraId="62A1C6B4" w14:textId="4A8EBD87" w:rsidR="00D25D0E" w:rsidRDefault="00D25D0E" w:rsidP="00D25D0E">
      <w:r>
        <w:t>There is a growing body of literature which supports a shift towards analysing enablers and criminal activities rather than focusing exclusively on organised crime groups.</w:t>
      </w:r>
      <w:r w:rsidRPr="00363A20">
        <w:rPr>
          <w:color w:val="000000" w:themeColor="text1"/>
        </w:rPr>
        <w:t xml:space="preserve"> </w:t>
      </w:r>
      <w:r w:rsidRPr="001E08C8">
        <w:rPr>
          <w:color w:val="000000" w:themeColor="text1"/>
        </w:rPr>
        <w:t xml:space="preserve">Murray (2015) </w:t>
      </w:r>
      <w:r>
        <w:rPr>
          <w:color w:val="000000" w:themeColor="text1"/>
        </w:rPr>
        <w:t>views</w:t>
      </w:r>
      <w:r w:rsidRPr="001E08C8">
        <w:rPr>
          <w:color w:val="000000" w:themeColor="text1"/>
        </w:rPr>
        <w:t xml:space="preserve"> organised crime as “business activity”</w:t>
      </w:r>
      <w:r>
        <w:rPr>
          <w:color w:val="000000" w:themeColor="text1"/>
        </w:rPr>
        <w:t xml:space="preserve">. </w:t>
      </w:r>
      <w:r w:rsidRPr="005824DD">
        <w:t xml:space="preserve"> </w:t>
      </w:r>
      <w:r w:rsidRPr="005824DD">
        <w:rPr>
          <w:color w:val="000000" w:themeColor="text1"/>
        </w:rPr>
        <w:t>Hopkins, Keighley and Sanders (2024) similarly emphasise the need to prioritise acts over structures when designing preventative responses.</w:t>
      </w:r>
      <w:r w:rsidR="00D56243">
        <w:rPr>
          <w:color w:val="000000" w:themeColor="text1"/>
        </w:rPr>
        <w:t xml:space="preserve"> Hopkins, Keighley and Sanders review SOC </w:t>
      </w:r>
      <w:r w:rsidR="00755770">
        <w:rPr>
          <w:color w:val="000000" w:themeColor="text1"/>
        </w:rPr>
        <w:t xml:space="preserve">with a principal focus on exploitation utilising evidence from the criminal justice and charitable sectors offering a </w:t>
      </w:r>
      <w:r w:rsidR="0048372A">
        <w:rPr>
          <w:color w:val="000000" w:themeColor="text1"/>
        </w:rPr>
        <w:t>well-rounded</w:t>
      </w:r>
      <w:r w:rsidR="00755770">
        <w:rPr>
          <w:color w:val="000000" w:themeColor="text1"/>
        </w:rPr>
        <w:t xml:space="preserve"> overview</w:t>
      </w:r>
      <w:r w:rsidR="0082079A">
        <w:rPr>
          <w:color w:val="000000" w:themeColor="text1"/>
        </w:rPr>
        <w:t xml:space="preserve">. </w:t>
      </w:r>
      <w:r w:rsidR="00D56243">
        <w:rPr>
          <w:color w:val="000000" w:themeColor="text1"/>
        </w:rPr>
        <w:t xml:space="preserve"> </w:t>
      </w:r>
    </w:p>
    <w:p w14:paraId="7350C38D" w14:textId="714A4788" w:rsidR="00D25D0E" w:rsidRDefault="00D25D0E" w:rsidP="00D25D0E">
      <w:r>
        <w:t xml:space="preserve">Conceptualising SOC as a business enterprise provides a coherent framework for understanding profit motives, risk management, and </w:t>
      </w:r>
      <w:r w:rsidR="00DA79E9">
        <w:t>decision-making</w:t>
      </w:r>
      <w:r>
        <w:t xml:space="preserve"> processes. Rational choice theory reinforces this, positioning offenders as actors who balance risk against reward (Kirby and Snow, 2016). </w:t>
      </w:r>
      <w:r w:rsidR="00EF2641">
        <w:t xml:space="preserve">Williams (2012) describes profit in the context of rational choice as being the prime motivator for those engaged with SOC. </w:t>
      </w:r>
      <w:r w:rsidR="00EF2641" w:rsidRPr="007D5F2D">
        <w:rPr>
          <w:color w:val="000000" w:themeColor="text1"/>
        </w:rPr>
        <w:t xml:space="preserve">Kirby and Nailer (2013) elaborate on the points above advocating that practitioners should be encouraged through the use of rational </w:t>
      </w:r>
      <w:r w:rsidR="00EF2641">
        <w:t xml:space="preserve">choice theory to understand the crime from the offender’s perspective when devising the intervention. </w:t>
      </w:r>
      <w:r>
        <w:t>Effective disruption therefore requires multidisciplinary capability, incorporating financial analysis, behavioural insight, and strategic thinking alongside traditional investigative skills.</w:t>
      </w:r>
    </w:p>
    <w:p w14:paraId="62633D9B" w14:textId="77777777" w:rsidR="003076E2" w:rsidRDefault="00D25D0E" w:rsidP="00D25D0E">
      <w:r>
        <w:t>The Home Office’s From Local to National (2016) proposals offer ambition but risk reproducing earlier patterns of structural reform without substantive impact. Without honest assessment of past limitations and sustained investment in analytical capability and partnership working, further reorganisation may deliver visibility rather than effectiveness. Meaningful disruption of serious and organised crime will depend not on scale alone, but on adaptability, insight, and the ability to target systemic vulnerabilities across criminal markets.</w:t>
      </w:r>
    </w:p>
    <w:p w14:paraId="7C6AE218" w14:textId="18161B93" w:rsidR="00D25D0E" w:rsidRDefault="00942F0B" w:rsidP="00D25D0E">
      <w:r>
        <w:t xml:space="preserve">Incorporating </w:t>
      </w:r>
      <w:r w:rsidR="00A53205">
        <w:t>considerations and evidence</w:t>
      </w:r>
      <w:r>
        <w:t xml:space="preserve"> from academic studies</w:t>
      </w:r>
      <w:r w:rsidR="003E640C">
        <w:t xml:space="preserve"> helps</w:t>
      </w:r>
      <w:r w:rsidR="00A53205">
        <w:t xml:space="preserve"> to</w:t>
      </w:r>
      <w:r w:rsidR="003E640C">
        <w:t xml:space="preserve"> strike </w:t>
      </w:r>
      <w:r w:rsidR="00A53205">
        <w:t xml:space="preserve">a </w:t>
      </w:r>
      <w:r w:rsidR="003E640C">
        <w:t>balance when considering the narratives and statistical coverage provide</w:t>
      </w:r>
      <w:r w:rsidR="009F6257">
        <w:t>d</w:t>
      </w:r>
      <w:r w:rsidR="003E640C">
        <w:t xml:space="preserve"> b</w:t>
      </w:r>
      <w:r w:rsidR="009F6257">
        <w:t>y</w:t>
      </w:r>
      <w:r w:rsidR="00F33B4D">
        <w:t xml:space="preserve"> </w:t>
      </w:r>
      <w:r w:rsidR="00C03590">
        <w:t>organisations such as the NCA and Home Office</w:t>
      </w:r>
      <w:r w:rsidR="003E640C">
        <w:t xml:space="preserve">. This </w:t>
      </w:r>
      <w:r w:rsidR="00D82D23">
        <w:t xml:space="preserve">layered </w:t>
      </w:r>
      <w:r w:rsidR="003E640C">
        <w:t>approach</w:t>
      </w:r>
      <w:r w:rsidR="00C03590">
        <w:t xml:space="preserve"> </w:t>
      </w:r>
      <w:r w:rsidR="003E640C">
        <w:t xml:space="preserve">helps </w:t>
      </w:r>
      <w:r w:rsidR="00BB7F97">
        <w:t xml:space="preserve">to shine a light </w:t>
      </w:r>
      <w:r>
        <w:t>on</w:t>
      </w:r>
      <w:r w:rsidR="006C2D8F">
        <w:t xml:space="preserve"> why </w:t>
      </w:r>
      <w:r w:rsidR="00751172">
        <w:t>approaches to the disruption of SOC have been ineffective to date</w:t>
      </w:r>
      <w:r w:rsidR="00D82D23">
        <w:t>, by acknowl</w:t>
      </w:r>
      <w:r w:rsidR="003632B7">
        <w:t>edging past failure future models of disruption stand a far greater chance of success</w:t>
      </w:r>
      <w:r w:rsidR="00791339">
        <w:t>.</w:t>
      </w:r>
      <w:r w:rsidR="00751172">
        <w:t xml:space="preserve"> </w:t>
      </w:r>
      <w:r w:rsidR="00B00721">
        <w:t xml:space="preserve">SOC continues to evolve and law enforcement must do the same. </w:t>
      </w:r>
      <w:r w:rsidR="00D25D0E">
        <w:br/>
      </w:r>
    </w:p>
    <w:p w14:paraId="4633B18F" w14:textId="77777777" w:rsidR="007012F7" w:rsidRDefault="007012F7" w:rsidP="00100854">
      <w:pPr>
        <w:spacing w:after="0" w:line="240" w:lineRule="auto"/>
      </w:pPr>
    </w:p>
    <w:p w14:paraId="4D8A4BF5" w14:textId="77777777" w:rsidR="005054C8" w:rsidRDefault="005054C8" w:rsidP="00100854">
      <w:pPr>
        <w:spacing w:after="0" w:line="240" w:lineRule="auto"/>
        <w:rPr>
          <w:rFonts w:ascii="Arial" w:eastAsia="Times New Roman" w:hAnsi="Arial" w:cs="Arial"/>
          <w:kern w:val="0"/>
          <w:sz w:val="22"/>
          <w:szCs w:val="22"/>
          <w:lang w:eastAsia="en-GB"/>
          <w14:ligatures w14:val="none"/>
        </w:rPr>
      </w:pPr>
    </w:p>
    <w:p w14:paraId="24336CED" w14:textId="77777777" w:rsidR="00B8299B" w:rsidRDefault="00B8299B" w:rsidP="00100854">
      <w:pPr>
        <w:spacing w:after="0" w:line="240" w:lineRule="auto"/>
        <w:rPr>
          <w:rFonts w:ascii="Arial" w:eastAsia="Times New Roman" w:hAnsi="Arial" w:cs="Arial"/>
          <w:kern w:val="0"/>
          <w:sz w:val="22"/>
          <w:szCs w:val="22"/>
          <w:lang w:eastAsia="en-GB"/>
          <w14:ligatures w14:val="none"/>
        </w:rPr>
      </w:pPr>
    </w:p>
    <w:p w14:paraId="1F228F94" w14:textId="17194814" w:rsidR="00B8299B" w:rsidRPr="00B8299B" w:rsidRDefault="00B8299B" w:rsidP="00A56DEF">
      <w:pPr>
        <w:pStyle w:val="Heading3"/>
        <w:rPr>
          <w:rFonts w:eastAsia="Times New Roman"/>
          <w:lang w:eastAsia="en-GB"/>
        </w:rPr>
      </w:pPr>
      <w:bookmarkStart w:id="7" w:name="_Toc227586954"/>
      <w:r w:rsidRPr="00B8299B">
        <w:rPr>
          <w:rFonts w:eastAsia="Times New Roman"/>
          <w:lang w:eastAsia="en-GB"/>
        </w:rPr>
        <w:lastRenderedPageBreak/>
        <w:t>Refe</w:t>
      </w:r>
      <w:r>
        <w:rPr>
          <w:rFonts w:eastAsia="Times New Roman"/>
          <w:lang w:eastAsia="en-GB"/>
        </w:rPr>
        <w:t>re</w:t>
      </w:r>
      <w:r w:rsidRPr="00B8299B">
        <w:rPr>
          <w:rFonts w:eastAsia="Times New Roman"/>
          <w:lang w:eastAsia="en-GB"/>
        </w:rPr>
        <w:t>nce List</w:t>
      </w:r>
      <w:bookmarkEnd w:id="7"/>
    </w:p>
    <w:p w14:paraId="4EEAD182" w14:textId="77777777" w:rsidR="00B8299B" w:rsidRDefault="00B8299B" w:rsidP="00100854">
      <w:pPr>
        <w:spacing w:after="0" w:line="240" w:lineRule="auto"/>
        <w:rPr>
          <w:rFonts w:ascii="Arial" w:eastAsia="Times New Roman" w:hAnsi="Arial" w:cs="Arial"/>
          <w:kern w:val="0"/>
          <w:sz w:val="22"/>
          <w:szCs w:val="22"/>
          <w:lang w:eastAsia="en-GB"/>
          <w14:ligatures w14:val="none"/>
        </w:rPr>
      </w:pPr>
    </w:p>
    <w:p w14:paraId="126FD0EC" w14:textId="1EA467EB" w:rsidR="00100854" w:rsidRDefault="00100854" w:rsidP="00100854">
      <w:pPr>
        <w:spacing w:after="0" w:line="240" w:lineRule="auto"/>
        <w:rPr>
          <w:rFonts w:ascii="Arial" w:eastAsia="Times New Roman" w:hAnsi="Arial" w:cs="Arial"/>
          <w:kern w:val="0"/>
          <w:sz w:val="22"/>
          <w:szCs w:val="22"/>
          <w:lang w:eastAsia="en-GB"/>
          <w14:ligatures w14:val="none"/>
        </w:rPr>
      </w:pPr>
      <w:r w:rsidRPr="001C6D69">
        <w:rPr>
          <w:rFonts w:ascii="Arial" w:eastAsia="Times New Roman" w:hAnsi="Arial" w:cs="Arial"/>
          <w:kern w:val="0"/>
          <w:sz w:val="22"/>
          <w:szCs w:val="22"/>
          <w:lang w:eastAsia="en-GB"/>
          <w14:ligatures w14:val="none"/>
        </w:rPr>
        <w:t xml:space="preserve">Bullock, K. and Leeney, D. (2012) “Public concern about serious organised crime,” </w:t>
      </w:r>
      <w:r w:rsidRPr="001C6D69">
        <w:rPr>
          <w:rFonts w:ascii="Arial" w:eastAsia="Times New Roman" w:hAnsi="Arial" w:cs="Arial"/>
          <w:i/>
          <w:iCs/>
          <w:kern w:val="0"/>
          <w:sz w:val="22"/>
          <w:szCs w:val="22"/>
          <w:lang w:eastAsia="en-GB"/>
          <w14:ligatures w14:val="none"/>
        </w:rPr>
        <w:t>Crime prevention and community safety</w:t>
      </w:r>
      <w:r w:rsidRPr="001C6D69">
        <w:rPr>
          <w:rFonts w:ascii="Arial" w:eastAsia="Times New Roman" w:hAnsi="Arial" w:cs="Arial"/>
          <w:kern w:val="0"/>
          <w:sz w:val="22"/>
          <w:szCs w:val="22"/>
          <w:lang w:eastAsia="en-GB"/>
          <w14:ligatures w14:val="none"/>
        </w:rPr>
        <w:t xml:space="preserve">, 14(4), pp. 278–292. Available at: </w:t>
      </w:r>
      <w:hyperlink r:id="rId11" w:history="1">
        <w:r w:rsidRPr="001C6D69">
          <w:rPr>
            <w:rStyle w:val="Hyperlink"/>
            <w:rFonts w:ascii="Arial" w:eastAsia="Times New Roman" w:hAnsi="Arial" w:cs="Arial"/>
            <w:kern w:val="0"/>
            <w:sz w:val="22"/>
            <w:szCs w:val="22"/>
            <w:lang w:eastAsia="en-GB"/>
            <w14:ligatures w14:val="none"/>
          </w:rPr>
          <w:t>https://doi.org/10.1057/cpcs.2012.8</w:t>
        </w:r>
      </w:hyperlink>
      <w:r w:rsidRPr="001C6D69">
        <w:rPr>
          <w:rFonts w:ascii="Arial" w:eastAsia="Times New Roman" w:hAnsi="Arial" w:cs="Arial"/>
          <w:kern w:val="0"/>
          <w:sz w:val="22"/>
          <w:szCs w:val="22"/>
          <w:lang w:eastAsia="en-GB"/>
          <w14:ligatures w14:val="none"/>
        </w:rPr>
        <w:t>.</w:t>
      </w:r>
    </w:p>
    <w:p w14:paraId="55FAF450" w14:textId="77777777" w:rsidR="00100854" w:rsidRPr="008D123B" w:rsidRDefault="00100854" w:rsidP="00100854">
      <w:pPr>
        <w:spacing w:after="0" w:line="240" w:lineRule="auto"/>
        <w:rPr>
          <w:rFonts w:ascii="Arial" w:eastAsia="Times New Roman" w:hAnsi="Arial" w:cs="Arial"/>
          <w:kern w:val="0"/>
          <w:sz w:val="22"/>
          <w:szCs w:val="22"/>
          <w:lang w:eastAsia="en-GB"/>
          <w14:ligatures w14:val="none"/>
        </w:rPr>
      </w:pPr>
    </w:p>
    <w:p w14:paraId="177B7D14" w14:textId="77777777" w:rsidR="00100854" w:rsidRPr="001C6D69" w:rsidRDefault="00100854" w:rsidP="00100854">
      <w:pPr>
        <w:spacing w:after="0" w:line="240" w:lineRule="auto"/>
        <w:rPr>
          <w:rFonts w:ascii="Arial" w:eastAsia="Times New Roman" w:hAnsi="Arial" w:cs="Arial"/>
          <w:kern w:val="0"/>
          <w:sz w:val="22"/>
          <w:szCs w:val="22"/>
          <w:lang w:eastAsia="en-GB"/>
          <w14:ligatures w14:val="none"/>
        </w:rPr>
      </w:pPr>
      <w:r w:rsidRPr="000A4F85">
        <w:rPr>
          <w:rFonts w:ascii="Arial" w:eastAsia="Times New Roman" w:hAnsi="Arial" w:cs="Arial"/>
          <w:kern w:val="0"/>
          <w:sz w:val="22"/>
          <w:szCs w:val="22"/>
          <w:lang w:eastAsia="en-GB"/>
          <w14:ligatures w14:val="none"/>
        </w:rPr>
        <w:t>Crocker,</w:t>
      </w:r>
      <w:r>
        <w:rPr>
          <w:rFonts w:ascii="Arial" w:eastAsia="Times New Roman" w:hAnsi="Arial" w:cs="Arial"/>
          <w:kern w:val="0"/>
          <w:sz w:val="22"/>
          <w:szCs w:val="22"/>
          <w:lang w:eastAsia="en-GB"/>
          <w14:ligatures w14:val="none"/>
        </w:rPr>
        <w:t xml:space="preserve"> R.</w:t>
      </w:r>
      <w:r w:rsidRPr="000A4F85">
        <w:rPr>
          <w:rFonts w:ascii="Arial" w:eastAsia="Times New Roman" w:hAnsi="Arial" w:cs="Arial"/>
          <w:kern w:val="0"/>
          <w:sz w:val="22"/>
          <w:szCs w:val="22"/>
          <w:lang w:eastAsia="en-GB"/>
          <w14:ligatures w14:val="none"/>
        </w:rPr>
        <w:t xml:space="preserve"> Webb,</w:t>
      </w:r>
      <w:r>
        <w:rPr>
          <w:rFonts w:ascii="Arial" w:eastAsia="Times New Roman" w:hAnsi="Arial" w:cs="Arial"/>
          <w:kern w:val="0"/>
          <w:sz w:val="22"/>
          <w:szCs w:val="22"/>
          <w:lang w:eastAsia="en-GB"/>
          <w14:ligatures w14:val="none"/>
        </w:rPr>
        <w:t xml:space="preserve"> S.</w:t>
      </w:r>
      <w:r w:rsidRPr="000A4F85">
        <w:rPr>
          <w:rFonts w:ascii="Arial" w:eastAsia="Times New Roman" w:hAnsi="Arial" w:cs="Arial"/>
          <w:kern w:val="0"/>
          <w:sz w:val="22"/>
          <w:szCs w:val="22"/>
          <w:lang w:eastAsia="en-GB"/>
          <w14:ligatures w14:val="none"/>
        </w:rPr>
        <w:t xml:space="preserve"> Skidmore,</w:t>
      </w:r>
      <w:r>
        <w:rPr>
          <w:rFonts w:ascii="Arial" w:eastAsia="Times New Roman" w:hAnsi="Arial" w:cs="Arial"/>
          <w:kern w:val="0"/>
          <w:sz w:val="22"/>
          <w:szCs w:val="22"/>
          <w:lang w:eastAsia="en-GB"/>
          <w14:ligatures w14:val="none"/>
        </w:rPr>
        <w:t xml:space="preserve"> M.</w:t>
      </w:r>
      <w:r w:rsidRPr="000A4F85">
        <w:rPr>
          <w:rFonts w:ascii="Arial" w:eastAsia="Times New Roman" w:hAnsi="Arial" w:cs="Arial"/>
          <w:kern w:val="0"/>
          <w:sz w:val="22"/>
          <w:szCs w:val="22"/>
          <w:lang w:eastAsia="en-GB"/>
          <w14:ligatures w14:val="none"/>
        </w:rPr>
        <w:t xml:space="preserve"> Garner,</w:t>
      </w:r>
      <w:r>
        <w:rPr>
          <w:rFonts w:ascii="Arial" w:eastAsia="Times New Roman" w:hAnsi="Arial" w:cs="Arial"/>
          <w:kern w:val="0"/>
          <w:sz w:val="22"/>
          <w:szCs w:val="22"/>
          <w:lang w:eastAsia="en-GB"/>
          <w14:ligatures w14:val="none"/>
        </w:rPr>
        <w:t xml:space="preserve"> S.</w:t>
      </w:r>
      <w:r w:rsidRPr="000A4F85">
        <w:rPr>
          <w:rFonts w:ascii="Arial" w:eastAsia="Times New Roman" w:hAnsi="Arial" w:cs="Arial"/>
          <w:kern w:val="0"/>
          <w:sz w:val="22"/>
          <w:szCs w:val="22"/>
          <w:lang w:eastAsia="en-GB"/>
          <w14:ligatures w14:val="none"/>
        </w:rPr>
        <w:t xml:space="preserve"> Gill, </w:t>
      </w:r>
      <w:r>
        <w:rPr>
          <w:rFonts w:ascii="Arial" w:eastAsia="Times New Roman" w:hAnsi="Arial" w:cs="Arial"/>
          <w:kern w:val="0"/>
          <w:sz w:val="22"/>
          <w:szCs w:val="22"/>
          <w:lang w:eastAsia="en-GB"/>
          <w14:ligatures w14:val="none"/>
        </w:rPr>
        <w:t xml:space="preserve">M </w:t>
      </w:r>
      <w:r w:rsidRPr="000A4F85">
        <w:rPr>
          <w:rFonts w:ascii="Arial" w:eastAsia="Times New Roman" w:hAnsi="Arial" w:cs="Arial"/>
          <w:kern w:val="0"/>
          <w:sz w:val="22"/>
          <w:szCs w:val="22"/>
          <w:lang w:eastAsia="en-GB"/>
          <w14:ligatures w14:val="none"/>
        </w:rPr>
        <w:t>and Graham</w:t>
      </w:r>
      <w:r>
        <w:rPr>
          <w:rFonts w:ascii="Arial" w:eastAsia="Times New Roman" w:hAnsi="Arial" w:cs="Arial"/>
          <w:kern w:val="0"/>
          <w:sz w:val="22"/>
          <w:szCs w:val="22"/>
          <w:lang w:eastAsia="en-GB"/>
          <w14:ligatures w14:val="none"/>
        </w:rPr>
        <w:t xml:space="preserve">, J. </w:t>
      </w:r>
      <w:r w:rsidRPr="00EE678E">
        <w:rPr>
          <w:rFonts w:ascii="Arial" w:eastAsia="Times New Roman" w:hAnsi="Arial" w:cs="Arial"/>
          <w:kern w:val="0"/>
          <w:sz w:val="22"/>
          <w:szCs w:val="22"/>
          <w:lang w:eastAsia="en-GB"/>
          <w14:ligatures w14:val="none"/>
        </w:rPr>
        <w:t xml:space="preserve">(2019) “Tackling local organised crime groups: lessons from research in two UK cities,” </w:t>
      </w:r>
      <w:r w:rsidRPr="00EE678E">
        <w:rPr>
          <w:rFonts w:ascii="Arial" w:eastAsia="Times New Roman" w:hAnsi="Arial" w:cs="Arial"/>
          <w:i/>
          <w:iCs/>
          <w:kern w:val="0"/>
          <w:sz w:val="22"/>
          <w:szCs w:val="22"/>
          <w:lang w:eastAsia="en-GB"/>
          <w14:ligatures w14:val="none"/>
        </w:rPr>
        <w:t>Trends in organized crime</w:t>
      </w:r>
      <w:r w:rsidRPr="00EE678E">
        <w:rPr>
          <w:rFonts w:ascii="Arial" w:eastAsia="Times New Roman" w:hAnsi="Arial" w:cs="Arial"/>
          <w:kern w:val="0"/>
          <w:sz w:val="22"/>
          <w:szCs w:val="22"/>
          <w:lang w:eastAsia="en-GB"/>
          <w14:ligatures w14:val="none"/>
        </w:rPr>
        <w:t xml:space="preserve">, 22(4), pp. 433–449. Available at: </w:t>
      </w:r>
      <w:hyperlink r:id="rId12" w:history="1">
        <w:r w:rsidRPr="00EE678E">
          <w:rPr>
            <w:rStyle w:val="Hyperlink"/>
            <w:rFonts w:ascii="Arial" w:eastAsia="Times New Roman" w:hAnsi="Arial" w:cs="Arial"/>
            <w:kern w:val="0"/>
            <w:sz w:val="22"/>
            <w:szCs w:val="22"/>
            <w:lang w:eastAsia="en-GB"/>
            <w14:ligatures w14:val="none"/>
          </w:rPr>
          <w:t>https://doi.org/10.1007/s12117-018-9335-x</w:t>
        </w:r>
      </w:hyperlink>
      <w:r w:rsidRPr="00EE678E">
        <w:rPr>
          <w:rFonts w:ascii="Arial" w:eastAsia="Times New Roman" w:hAnsi="Arial" w:cs="Arial"/>
          <w:kern w:val="0"/>
          <w:sz w:val="22"/>
          <w:szCs w:val="22"/>
          <w:lang w:eastAsia="en-GB"/>
          <w14:ligatures w14:val="none"/>
        </w:rPr>
        <w:t>.</w:t>
      </w:r>
    </w:p>
    <w:p w14:paraId="22D79614" w14:textId="77777777" w:rsidR="00100854" w:rsidRDefault="00100854" w:rsidP="00100854">
      <w:pPr>
        <w:spacing w:after="0" w:line="240" w:lineRule="auto"/>
        <w:rPr>
          <w:rFonts w:ascii="Arial" w:eastAsia="Times New Roman" w:hAnsi="Arial" w:cs="Arial"/>
          <w:kern w:val="0"/>
          <w:sz w:val="22"/>
          <w:szCs w:val="22"/>
          <w:lang w:eastAsia="en-GB"/>
          <w14:ligatures w14:val="none"/>
        </w:rPr>
      </w:pPr>
    </w:p>
    <w:p w14:paraId="43A53024" w14:textId="77777777" w:rsidR="00100854" w:rsidRDefault="00100854" w:rsidP="00100854">
      <w:pPr>
        <w:spacing w:after="0" w:line="240" w:lineRule="auto"/>
        <w:rPr>
          <w:rFonts w:ascii="Arial" w:eastAsia="Times New Roman" w:hAnsi="Arial" w:cs="Arial"/>
          <w:kern w:val="0"/>
          <w:sz w:val="22"/>
          <w:szCs w:val="22"/>
          <w:lang w:eastAsia="en-GB"/>
          <w14:ligatures w14:val="none"/>
        </w:rPr>
      </w:pPr>
      <w:r w:rsidRPr="007C0957">
        <w:rPr>
          <w:rFonts w:ascii="Arial" w:eastAsia="Times New Roman" w:hAnsi="Arial" w:cs="Arial"/>
          <w:kern w:val="0"/>
          <w:sz w:val="22"/>
          <w:szCs w:val="22"/>
          <w:lang w:eastAsia="en-GB"/>
          <w14:ligatures w14:val="none"/>
        </w:rPr>
        <w:t>Fitzpatrick, D. (2006) “Crime fighting in the twenty</w:t>
      </w:r>
      <w:r w:rsidRPr="007C0957">
        <w:rPr>
          <w:rFonts w:ascii="Cambria Math" w:eastAsia="Times New Roman" w:hAnsi="Cambria Math" w:cs="Cambria Math"/>
          <w:kern w:val="0"/>
          <w:sz w:val="22"/>
          <w:szCs w:val="22"/>
          <w:lang w:eastAsia="en-GB"/>
          <w14:ligatures w14:val="none"/>
        </w:rPr>
        <w:t>‐</w:t>
      </w:r>
      <w:r w:rsidRPr="007C0957">
        <w:rPr>
          <w:rFonts w:ascii="Arial" w:eastAsia="Times New Roman" w:hAnsi="Arial" w:cs="Arial"/>
          <w:kern w:val="0"/>
          <w:sz w:val="22"/>
          <w:szCs w:val="22"/>
          <w:lang w:eastAsia="en-GB"/>
          <w14:ligatures w14:val="none"/>
        </w:rPr>
        <w:t xml:space="preserve">first century?: A practitioner’s assessment of the Serious Organised Crime and Police Act 2005,” </w:t>
      </w:r>
      <w:r w:rsidRPr="007C0957">
        <w:rPr>
          <w:rFonts w:ascii="Arial" w:eastAsia="Times New Roman" w:hAnsi="Arial" w:cs="Arial"/>
          <w:i/>
          <w:iCs/>
          <w:kern w:val="0"/>
          <w:sz w:val="22"/>
          <w:szCs w:val="22"/>
          <w:lang w:eastAsia="en-GB"/>
          <w14:ligatures w14:val="none"/>
        </w:rPr>
        <w:t>Journal of money laundering control</w:t>
      </w:r>
      <w:r w:rsidRPr="007C0957">
        <w:rPr>
          <w:rFonts w:ascii="Arial" w:eastAsia="Times New Roman" w:hAnsi="Arial" w:cs="Arial"/>
          <w:kern w:val="0"/>
          <w:sz w:val="22"/>
          <w:szCs w:val="22"/>
          <w:lang w:eastAsia="en-GB"/>
          <w14:ligatures w14:val="none"/>
        </w:rPr>
        <w:t xml:space="preserve">, 9(2), pp. 129–140. Available at: </w:t>
      </w:r>
      <w:hyperlink r:id="rId13" w:history="1">
        <w:r w:rsidRPr="007C0957">
          <w:rPr>
            <w:rStyle w:val="Hyperlink"/>
            <w:rFonts w:ascii="Arial" w:eastAsia="Times New Roman" w:hAnsi="Arial" w:cs="Arial"/>
            <w:kern w:val="0"/>
            <w:sz w:val="22"/>
            <w:szCs w:val="22"/>
            <w:lang w:eastAsia="en-GB"/>
            <w14:ligatures w14:val="none"/>
          </w:rPr>
          <w:t>https://doi.org/10.1108/13685200610660952</w:t>
        </w:r>
      </w:hyperlink>
      <w:r w:rsidRPr="007C0957">
        <w:rPr>
          <w:rFonts w:ascii="Arial" w:eastAsia="Times New Roman" w:hAnsi="Arial" w:cs="Arial"/>
          <w:kern w:val="0"/>
          <w:sz w:val="22"/>
          <w:szCs w:val="22"/>
          <w:lang w:eastAsia="en-GB"/>
          <w14:ligatures w14:val="none"/>
        </w:rPr>
        <w:t>.</w:t>
      </w:r>
    </w:p>
    <w:p w14:paraId="3334BBBB" w14:textId="77777777" w:rsidR="00100854" w:rsidRDefault="00100854" w:rsidP="00100854">
      <w:pPr>
        <w:spacing w:after="0" w:line="240" w:lineRule="auto"/>
        <w:rPr>
          <w:rFonts w:ascii="Arial" w:eastAsia="Times New Roman" w:hAnsi="Arial" w:cs="Arial"/>
          <w:kern w:val="0"/>
          <w:sz w:val="22"/>
          <w:szCs w:val="22"/>
          <w:lang w:eastAsia="en-GB"/>
          <w14:ligatures w14:val="none"/>
        </w:rPr>
      </w:pPr>
    </w:p>
    <w:p w14:paraId="0912C8EF" w14:textId="77777777" w:rsidR="00100854" w:rsidRPr="00CB1D9B" w:rsidRDefault="00100854" w:rsidP="00100854">
      <w:pPr>
        <w:spacing w:after="0" w:line="300" w:lineRule="atLeast"/>
        <w:rPr>
          <w:rFonts w:ascii="Arial" w:eastAsia="Times New Roman" w:hAnsi="Arial" w:cs="Arial"/>
          <w:kern w:val="0"/>
          <w:sz w:val="22"/>
          <w:szCs w:val="22"/>
          <w:lang w:eastAsia="en-GB"/>
          <w14:ligatures w14:val="none"/>
        </w:rPr>
      </w:pPr>
      <w:r w:rsidRPr="00CB1D9B">
        <w:rPr>
          <w:rFonts w:ascii="Arial" w:eastAsia="Times New Roman" w:hAnsi="Arial" w:cs="Arial"/>
          <w:kern w:val="0"/>
          <w:sz w:val="22"/>
          <w:szCs w:val="22"/>
          <w:lang w:eastAsia="en-GB"/>
          <w14:ligatures w14:val="none"/>
        </w:rPr>
        <w:t>Her Majesty’s Inspectorate of Constabulary and Fire &amp; Rescue Services (HMICFRS) (2020) State of policing: the annual assessment of policing in England and Wales 2019</w:t>
      </w:r>
      <w:r w:rsidRPr="00CB1D9B">
        <w:rPr>
          <w:rFonts w:ascii="Arial" w:eastAsia="Times New Roman" w:hAnsi="Arial" w:cs="Arial"/>
          <w:i/>
          <w:iCs/>
          <w:kern w:val="0"/>
          <w:sz w:val="22"/>
          <w:szCs w:val="22"/>
          <w:lang w:eastAsia="en-GB"/>
          <w14:ligatures w14:val="none"/>
        </w:rPr>
        <w:t>.</w:t>
      </w:r>
      <w:r w:rsidRPr="00CB1D9B">
        <w:rPr>
          <w:rFonts w:ascii="Arial" w:eastAsia="Times New Roman" w:hAnsi="Arial" w:cs="Arial"/>
          <w:kern w:val="0"/>
          <w:sz w:val="22"/>
          <w:szCs w:val="22"/>
          <w:lang w:eastAsia="en-GB"/>
          <w14:ligatures w14:val="none"/>
        </w:rPr>
        <w:t xml:space="preserve"> </w:t>
      </w:r>
      <w:r w:rsidRPr="00CB1D9B">
        <w:rPr>
          <w:rFonts w:ascii="Arial" w:eastAsia="Times New Roman" w:hAnsi="Arial" w:cs="Arial"/>
          <w:i/>
          <w:iCs/>
          <w:kern w:val="0"/>
          <w:sz w:val="22"/>
          <w:szCs w:val="22"/>
          <w:lang w:eastAsia="en-GB"/>
          <w14:ligatures w14:val="none"/>
        </w:rPr>
        <w:t>HMICFRS</w:t>
      </w:r>
      <w:r w:rsidRPr="00CB1D9B">
        <w:rPr>
          <w:rFonts w:ascii="Arial" w:eastAsia="Times New Roman" w:hAnsi="Arial" w:cs="Arial"/>
          <w:kern w:val="0"/>
          <w:sz w:val="22"/>
          <w:szCs w:val="22"/>
          <w:lang w:eastAsia="en-GB"/>
          <w14:ligatures w14:val="none"/>
        </w:rPr>
        <w:t xml:space="preserve">. Available at: https://www.justiceinspectorates.gov.uk/hmicfrs/ (Accessed: </w:t>
      </w:r>
      <w:r w:rsidRPr="008D123B">
        <w:rPr>
          <w:rFonts w:ascii="Arial" w:eastAsia="Times New Roman" w:hAnsi="Arial" w:cs="Arial"/>
          <w:kern w:val="0"/>
          <w:sz w:val="22"/>
          <w:szCs w:val="22"/>
          <w:lang w:eastAsia="en-GB"/>
          <w14:ligatures w14:val="none"/>
        </w:rPr>
        <w:t>March 2026</w:t>
      </w:r>
      <w:r w:rsidRPr="00CB1D9B">
        <w:rPr>
          <w:rFonts w:ascii="Arial" w:eastAsia="Times New Roman" w:hAnsi="Arial" w:cs="Arial"/>
          <w:kern w:val="0"/>
          <w:sz w:val="22"/>
          <w:szCs w:val="22"/>
          <w:lang w:eastAsia="en-GB"/>
          <w14:ligatures w14:val="none"/>
        </w:rPr>
        <w:t>).</w:t>
      </w:r>
    </w:p>
    <w:p w14:paraId="30B31DB1" w14:textId="77777777" w:rsidR="00100854" w:rsidRPr="008D123B" w:rsidRDefault="00100854" w:rsidP="00100854">
      <w:pPr>
        <w:spacing w:after="0" w:line="240" w:lineRule="auto"/>
        <w:rPr>
          <w:rFonts w:ascii="Arial" w:eastAsia="Times New Roman" w:hAnsi="Arial" w:cs="Arial"/>
          <w:kern w:val="0"/>
          <w:sz w:val="22"/>
          <w:szCs w:val="22"/>
          <w:lang w:eastAsia="en-GB"/>
          <w14:ligatures w14:val="none"/>
        </w:rPr>
      </w:pPr>
    </w:p>
    <w:p w14:paraId="6286D0DC" w14:textId="77777777" w:rsidR="00100854" w:rsidRDefault="00100854" w:rsidP="00100854">
      <w:pPr>
        <w:spacing w:after="0" w:line="300" w:lineRule="atLeast"/>
        <w:rPr>
          <w:rFonts w:ascii="Arial" w:eastAsia="Times New Roman" w:hAnsi="Arial" w:cs="Arial"/>
          <w:kern w:val="0"/>
          <w:sz w:val="22"/>
          <w:szCs w:val="22"/>
          <w:lang w:eastAsia="en-GB"/>
          <w14:ligatures w14:val="none"/>
        </w:rPr>
      </w:pPr>
      <w:r w:rsidRPr="00CB1D9B">
        <w:rPr>
          <w:rFonts w:ascii="Arial" w:eastAsia="Times New Roman" w:hAnsi="Arial" w:cs="Arial"/>
          <w:kern w:val="0"/>
          <w:sz w:val="22"/>
          <w:szCs w:val="22"/>
          <w:lang w:eastAsia="en-GB"/>
          <w14:ligatures w14:val="none"/>
        </w:rPr>
        <w:t>Her Majesty’s Inspectorate of Constabulary and Fire &amp; Rescue Services (HMICFRS)</w:t>
      </w:r>
      <w:r w:rsidRPr="00E53013">
        <w:rPr>
          <w:rFonts w:ascii="Arial" w:eastAsia="Times New Roman" w:hAnsi="Arial" w:cs="Arial"/>
          <w:kern w:val="0"/>
          <w:sz w:val="22"/>
          <w:szCs w:val="22"/>
          <w:lang w:eastAsia="en-GB"/>
          <w14:ligatures w14:val="none"/>
        </w:rPr>
        <w:t xml:space="preserve"> (2021) Regional Organised Crime Units: An inspection of the effectiveness of the Regional Organised Crime Units. </w:t>
      </w:r>
      <w:r w:rsidRPr="00E53013">
        <w:rPr>
          <w:rFonts w:ascii="Arial" w:eastAsia="Times New Roman" w:hAnsi="Arial" w:cs="Arial"/>
          <w:i/>
          <w:iCs/>
          <w:kern w:val="0"/>
          <w:sz w:val="22"/>
          <w:szCs w:val="22"/>
          <w:lang w:eastAsia="en-GB"/>
          <w14:ligatures w14:val="none"/>
        </w:rPr>
        <w:t>HMICFRS.</w:t>
      </w:r>
      <w:r w:rsidRPr="008D123B">
        <w:rPr>
          <w:rFonts w:ascii="Arial" w:eastAsia="Times New Roman" w:hAnsi="Arial" w:cs="Arial"/>
          <w:i/>
          <w:iCs/>
          <w:kern w:val="0"/>
          <w:sz w:val="22"/>
          <w:szCs w:val="22"/>
          <w:lang w:eastAsia="en-GB"/>
          <w14:ligatures w14:val="none"/>
        </w:rPr>
        <w:t xml:space="preserve"> </w:t>
      </w:r>
      <w:r w:rsidRPr="00E53013">
        <w:rPr>
          <w:rFonts w:ascii="Arial" w:eastAsia="Times New Roman" w:hAnsi="Arial" w:cs="Arial"/>
          <w:kern w:val="0"/>
          <w:sz w:val="22"/>
          <w:szCs w:val="22"/>
          <w:lang w:eastAsia="en-GB"/>
          <w14:ligatures w14:val="none"/>
        </w:rPr>
        <w:t>Available at:</w:t>
      </w:r>
      <w:r w:rsidRPr="008D123B">
        <w:rPr>
          <w:rFonts w:ascii="Arial" w:eastAsia="Times New Roman" w:hAnsi="Arial" w:cs="Arial"/>
          <w:kern w:val="0"/>
          <w:sz w:val="22"/>
          <w:szCs w:val="22"/>
          <w:lang w:eastAsia="en-GB"/>
          <w14:ligatures w14:val="none"/>
        </w:rPr>
        <w:t xml:space="preserve"> </w:t>
      </w:r>
      <w:r w:rsidRPr="00E53013">
        <w:rPr>
          <w:rFonts w:ascii="Arial" w:eastAsia="Times New Roman" w:hAnsi="Arial" w:cs="Arial"/>
          <w:kern w:val="0"/>
          <w:sz w:val="22"/>
          <w:szCs w:val="22"/>
          <w:lang w:eastAsia="en-GB"/>
          <w14:ligatures w14:val="none"/>
        </w:rPr>
        <w:t xml:space="preserve">https://www.justiceinspectorates.gov.uk/hmicfrs (Accessed: </w:t>
      </w:r>
      <w:r w:rsidRPr="008D123B">
        <w:rPr>
          <w:rFonts w:ascii="Arial" w:eastAsia="Times New Roman" w:hAnsi="Arial" w:cs="Arial"/>
          <w:kern w:val="0"/>
          <w:sz w:val="22"/>
          <w:szCs w:val="22"/>
          <w:lang w:eastAsia="en-GB"/>
          <w14:ligatures w14:val="none"/>
        </w:rPr>
        <w:t>March 2026).</w:t>
      </w:r>
    </w:p>
    <w:p w14:paraId="690785A6" w14:textId="77777777" w:rsidR="00100854" w:rsidRDefault="00100854" w:rsidP="00100854">
      <w:pPr>
        <w:spacing w:after="0" w:line="300" w:lineRule="atLeast"/>
        <w:rPr>
          <w:rFonts w:ascii="Arial" w:eastAsia="Times New Roman" w:hAnsi="Arial" w:cs="Arial"/>
          <w:kern w:val="0"/>
          <w:sz w:val="22"/>
          <w:szCs w:val="22"/>
          <w:lang w:eastAsia="en-GB"/>
          <w14:ligatures w14:val="none"/>
        </w:rPr>
      </w:pPr>
    </w:p>
    <w:p w14:paraId="609F2990" w14:textId="77777777" w:rsidR="00100854" w:rsidRDefault="00100854" w:rsidP="00100854">
      <w:pPr>
        <w:spacing w:after="0" w:line="300" w:lineRule="atLeast"/>
        <w:rPr>
          <w:rFonts w:ascii="Arial" w:eastAsia="Times New Roman" w:hAnsi="Arial" w:cs="Arial"/>
          <w:kern w:val="0"/>
          <w:sz w:val="22"/>
          <w:szCs w:val="22"/>
          <w:lang w:eastAsia="en-GB"/>
          <w14:ligatures w14:val="none"/>
        </w:rPr>
      </w:pPr>
      <w:r w:rsidRPr="00CB1D9B">
        <w:rPr>
          <w:rFonts w:ascii="Arial" w:eastAsia="Times New Roman" w:hAnsi="Arial" w:cs="Arial"/>
          <w:kern w:val="0"/>
          <w:sz w:val="22"/>
          <w:szCs w:val="22"/>
          <w:lang w:eastAsia="en-GB"/>
          <w14:ligatures w14:val="none"/>
        </w:rPr>
        <w:t>Her Majesty’s Inspectorate of Constabulary and Fire &amp; Rescue Services (HMICFRS)</w:t>
      </w:r>
      <w:r w:rsidRPr="00A43C04">
        <w:rPr>
          <w:rFonts w:ascii="Arial" w:eastAsia="Times New Roman" w:hAnsi="Arial" w:cs="Arial"/>
          <w:kern w:val="0"/>
          <w:sz w:val="22"/>
          <w:szCs w:val="22"/>
          <w:lang w:eastAsia="en-GB"/>
          <w14:ligatures w14:val="none"/>
        </w:rPr>
        <w:t xml:space="preserve"> (2025</w:t>
      </w:r>
      <w:r>
        <w:rPr>
          <w:rFonts w:ascii="Arial" w:eastAsia="Times New Roman" w:hAnsi="Arial" w:cs="Arial"/>
          <w:kern w:val="0"/>
          <w:sz w:val="22"/>
          <w:szCs w:val="22"/>
          <w:lang w:eastAsia="en-GB"/>
          <w14:ligatures w14:val="none"/>
        </w:rPr>
        <w:t>a</w:t>
      </w:r>
      <w:r w:rsidRPr="00A43C04">
        <w:rPr>
          <w:rFonts w:ascii="Arial" w:eastAsia="Times New Roman" w:hAnsi="Arial" w:cs="Arial"/>
          <w:kern w:val="0"/>
          <w:sz w:val="22"/>
          <w:szCs w:val="22"/>
          <w:lang w:eastAsia="en-GB"/>
          <w14:ligatures w14:val="none"/>
        </w:rPr>
        <w:t xml:space="preserve">) Improving the response to organised immigration crime. </w:t>
      </w:r>
      <w:r w:rsidRPr="00A43C04">
        <w:rPr>
          <w:rFonts w:ascii="Arial" w:eastAsia="Times New Roman" w:hAnsi="Arial" w:cs="Arial"/>
          <w:i/>
          <w:iCs/>
          <w:kern w:val="0"/>
          <w:sz w:val="22"/>
          <w:szCs w:val="22"/>
          <w:lang w:eastAsia="en-GB"/>
          <w14:ligatures w14:val="none"/>
        </w:rPr>
        <w:t>HMICFRS</w:t>
      </w:r>
      <w:r w:rsidRPr="00A43C04">
        <w:rPr>
          <w:rFonts w:ascii="Arial" w:eastAsia="Times New Roman" w:hAnsi="Arial" w:cs="Arial"/>
          <w:kern w:val="0"/>
          <w:sz w:val="22"/>
          <w:szCs w:val="22"/>
          <w:lang w:eastAsia="en-GB"/>
          <w14:ligatures w14:val="none"/>
        </w:rPr>
        <w:t>.</w:t>
      </w:r>
      <w:r w:rsidRPr="00A43C04">
        <w:rPr>
          <w:rFonts w:ascii="Arial" w:eastAsia="Times New Roman" w:hAnsi="Arial" w:cs="Arial"/>
          <w:kern w:val="0"/>
          <w:sz w:val="22"/>
          <w:szCs w:val="22"/>
          <w:lang w:eastAsia="en-GB"/>
          <w14:ligatures w14:val="none"/>
        </w:rPr>
        <w:br/>
        <w:t xml:space="preserve">Available at: https://hmicfrs.justiceinspectorates.gov.uk (Accessed: </w:t>
      </w:r>
      <w:r w:rsidRPr="008D123B">
        <w:rPr>
          <w:rFonts w:ascii="Arial" w:eastAsia="Times New Roman" w:hAnsi="Arial" w:cs="Arial"/>
          <w:kern w:val="0"/>
          <w:sz w:val="22"/>
          <w:szCs w:val="22"/>
          <w:lang w:eastAsia="en-GB"/>
          <w14:ligatures w14:val="none"/>
        </w:rPr>
        <w:t>March 2026).</w:t>
      </w:r>
    </w:p>
    <w:p w14:paraId="0B358D8A" w14:textId="77777777" w:rsidR="00100854" w:rsidRDefault="00100854" w:rsidP="00100854">
      <w:pPr>
        <w:spacing w:after="0" w:line="300" w:lineRule="atLeast"/>
        <w:rPr>
          <w:rFonts w:ascii="Arial" w:eastAsia="Times New Roman" w:hAnsi="Arial" w:cs="Arial"/>
          <w:kern w:val="0"/>
          <w:sz w:val="22"/>
          <w:szCs w:val="22"/>
          <w:lang w:eastAsia="en-GB"/>
          <w14:ligatures w14:val="none"/>
        </w:rPr>
      </w:pPr>
    </w:p>
    <w:p w14:paraId="20838DA6" w14:textId="53C8C853" w:rsidR="00100854" w:rsidRPr="00A43C04" w:rsidRDefault="00100854" w:rsidP="00100854">
      <w:pPr>
        <w:spacing w:after="0" w:line="300" w:lineRule="atLeast"/>
        <w:rPr>
          <w:rFonts w:ascii="Arial" w:eastAsia="Times New Roman" w:hAnsi="Arial" w:cs="Arial"/>
          <w:kern w:val="0"/>
          <w:sz w:val="22"/>
          <w:szCs w:val="22"/>
          <w:lang w:eastAsia="en-GB"/>
          <w14:ligatures w14:val="none"/>
        </w:rPr>
      </w:pPr>
      <w:r w:rsidRPr="00CB1D9B">
        <w:rPr>
          <w:rFonts w:ascii="Arial" w:eastAsia="Times New Roman" w:hAnsi="Arial" w:cs="Arial"/>
          <w:kern w:val="0"/>
          <w:sz w:val="22"/>
          <w:szCs w:val="22"/>
          <w:lang w:eastAsia="en-GB"/>
          <w14:ligatures w14:val="none"/>
        </w:rPr>
        <w:t>Her Majesty’s Inspectorate of Constabulary and Fire &amp; Rescue Services (HMICFRS)</w:t>
      </w:r>
      <w:r w:rsidRPr="00A43C04">
        <w:rPr>
          <w:rFonts w:ascii="Arial" w:eastAsia="Times New Roman" w:hAnsi="Arial" w:cs="Arial"/>
          <w:kern w:val="0"/>
          <w:sz w:val="22"/>
          <w:szCs w:val="22"/>
          <w:lang w:eastAsia="en-GB"/>
          <w14:ligatures w14:val="none"/>
        </w:rPr>
        <w:t xml:space="preserve"> (2025</w:t>
      </w:r>
      <w:r>
        <w:rPr>
          <w:rFonts w:ascii="Arial" w:eastAsia="Times New Roman" w:hAnsi="Arial" w:cs="Arial"/>
          <w:kern w:val="0"/>
          <w:sz w:val="22"/>
          <w:szCs w:val="22"/>
          <w:lang w:eastAsia="en-GB"/>
          <w14:ligatures w14:val="none"/>
        </w:rPr>
        <w:t>b</w:t>
      </w:r>
      <w:r w:rsidRPr="00A43C04">
        <w:rPr>
          <w:rFonts w:ascii="Arial" w:eastAsia="Times New Roman" w:hAnsi="Arial" w:cs="Arial"/>
          <w:kern w:val="0"/>
          <w:sz w:val="22"/>
          <w:szCs w:val="22"/>
          <w:lang w:eastAsia="en-GB"/>
          <w14:ligatures w14:val="none"/>
        </w:rPr>
        <w:t xml:space="preserve">) An inspection of the Yorkshire and Humber regional response to serious and organised crime. </w:t>
      </w:r>
      <w:r w:rsidRPr="00A43C04">
        <w:rPr>
          <w:rFonts w:ascii="Arial" w:eastAsia="Times New Roman" w:hAnsi="Arial" w:cs="Arial"/>
          <w:i/>
          <w:iCs/>
          <w:kern w:val="0"/>
          <w:sz w:val="22"/>
          <w:szCs w:val="22"/>
          <w:lang w:eastAsia="en-GB"/>
          <w14:ligatures w14:val="none"/>
        </w:rPr>
        <w:t>HMICFRS</w:t>
      </w:r>
      <w:r w:rsidRPr="00A43C04">
        <w:rPr>
          <w:rFonts w:ascii="Arial" w:eastAsia="Times New Roman" w:hAnsi="Arial" w:cs="Arial"/>
          <w:kern w:val="0"/>
          <w:sz w:val="22"/>
          <w:szCs w:val="22"/>
          <w:lang w:eastAsia="en-GB"/>
          <w14:ligatures w14:val="none"/>
        </w:rPr>
        <w:t>.</w:t>
      </w:r>
      <w:r w:rsidR="00F816E3">
        <w:rPr>
          <w:rFonts w:ascii="Arial" w:eastAsia="Times New Roman" w:hAnsi="Arial" w:cs="Arial"/>
          <w:kern w:val="0"/>
          <w:sz w:val="22"/>
          <w:szCs w:val="22"/>
          <w:lang w:eastAsia="en-GB"/>
          <w14:ligatures w14:val="none"/>
        </w:rPr>
        <w:t xml:space="preserve"> </w:t>
      </w:r>
      <w:r w:rsidRPr="00A43C04">
        <w:rPr>
          <w:rFonts w:ascii="Arial" w:eastAsia="Times New Roman" w:hAnsi="Arial" w:cs="Arial"/>
          <w:kern w:val="0"/>
          <w:sz w:val="22"/>
          <w:szCs w:val="22"/>
          <w:lang w:eastAsia="en-GB"/>
          <w14:ligatures w14:val="none"/>
        </w:rPr>
        <w:t xml:space="preserve">Available at: https://hmicfrs.justiceinspectorates.gov.uk (Accessed: </w:t>
      </w:r>
      <w:r w:rsidRPr="008D123B">
        <w:rPr>
          <w:rFonts w:ascii="Arial" w:eastAsia="Times New Roman" w:hAnsi="Arial" w:cs="Arial"/>
          <w:kern w:val="0"/>
          <w:sz w:val="22"/>
          <w:szCs w:val="22"/>
          <w:lang w:eastAsia="en-GB"/>
          <w14:ligatures w14:val="none"/>
        </w:rPr>
        <w:t>March 2026</w:t>
      </w:r>
      <w:r w:rsidRPr="00A43C04">
        <w:rPr>
          <w:rFonts w:ascii="Arial" w:eastAsia="Times New Roman" w:hAnsi="Arial" w:cs="Arial"/>
          <w:kern w:val="0"/>
          <w:sz w:val="22"/>
          <w:szCs w:val="22"/>
          <w:lang w:eastAsia="en-GB"/>
          <w14:ligatures w14:val="none"/>
        </w:rPr>
        <w:t>).</w:t>
      </w:r>
    </w:p>
    <w:p w14:paraId="71DDDAB7" w14:textId="77777777" w:rsidR="00100854" w:rsidRDefault="00100854" w:rsidP="00100854">
      <w:pPr>
        <w:spacing w:after="0" w:line="300" w:lineRule="atLeast"/>
        <w:rPr>
          <w:rFonts w:ascii="Arial" w:eastAsia="Times New Roman" w:hAnsi="Arial" w:cs="Arial"/>
          <w:kern w:val="0"/>
          <w:sz w:val="22"/>
          <w:szCs w:val="22"/>
          <w:lang w:eastAsia="en-GB"/>
          <w14:ligatures w14:val="none"/>
        </w:rPr>
      </w:pPr>
    </w:p>
    <w:p w14:paraId="671C8E45" w14:textId="77777777" w:rsidR="00100854" w:rsidRPr="00A43C04" w:rsidRDefault="00100854" w:rsidP="00100854">
      <w:pPr>
        <w:spacing w:after="0" w:line="300" w:lineRule="atLeast"/>
        <w:rPr>
          <w:rFonts w:ascii="Arial" w:eastAsia="Times New Roman" w:hAnsi="Arial" w:cs="Arial"/>
          <w:kern w:val="0"/>
          <w:sz w:val="22"/>
          <w:szCs w:val="22"/>
          <w:lang w:eastAsia="en-GB"/>
          <w14:ligatures w14:val="none"/>
        </w:rPr>
      </w:pPr>
      <w:r w:rsidRPr="0097017E">
        <w:rPr>
          <w:rFonts w:ascii="Arial" w:eastAsia="Times New Roman" w:hAnsi="Arial" w:cs="Arial"/>
          <w:kern w:val="0"/>
          <w:sz w:val="22"/>
          <w:szCs w:val="22"/>
          <w:lang w:eastAsia="en-GB"/>
          <w14:ligatures w14:val="none"/>
        </w:rPr>
        <w:t>HM Government (2021) From harm to hope: a 10</w:t>
      </w:r>
      <w:r w:rsidRPr="0097017E">
        <w:rPr>
          <w:rFonts w:ascii="Arial" w:eastAsia="Times New Roman" w:hAnsi="Arial" w:cs="Arial"/>
          <w:kern w:val="0"/>
          <w:sz w:val="22"/>
          <w:szCs w:val="22"/>
          <w:lang w:eastAsia="en-GB"/>
          <w14:ligatures w14:val="none"/>
        </w:rPr>
        <w:noBreakHyphen/>
        <w:t>year drugs plan to cut crime and save lives</w:t>
      </w:r>
      <w:r w:rsidRPr="0097017E">
        <w:rPr>
          <w:rFonts w:ascii="Arial" w:eastAsia="Times New Roman" w:hAnsi="Arial" w:cs="Arial"/>
          <w:i/>
          <w:iCs/>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Pr="0097017E">
        <w:rPr>
          <w:rFonts w:ascii="Arial" w:eastAsia="Times New Roman" w:hAnsi="Arial" w:cs="Arial"/>
          <w:i/>
          <w:iCs/>
          <w:kern w:val="0"/>
          <w:sz w:val="22"/>
          <w:szCs w:val="22"/>
          <w:lang w:eastAsia="en-GB"/>
          <w14:ligatures w14:val="none"/>
        </w:rPr>
        <w:t>HM Government</w:t>
      </w:r>
      <w:r w:rsidRPr="0097017E">
        <w:rPr>
          <w:rFonts w:ascii="Arial" w:eastAsia="Times New Roman" w:hAnsi="Arial" w:cs="Arial"/>
          <w:kern w:val="0"/>
          <w:sz w:val="22"/>
          <w:szCs w:val="22"/>
          <w:lang w:eastAsia="en-GB"/>
          <w14:ligatures w14:val="none"/>
        </w:rPr>
        <w:t xml:space="preserve">. Available at: https://www.gov.uk/government/publications/from-harm-to-hope-a-10-year-drugs-plan-to-cut-crime-and-save-lives (Accessed: </w:t>
      </w:r>
      <w:r w:rsidRPr="008D123B">
        <w:rPr>
          <w:rFonts w:ascii="Arial" w:eastAsia="Times New Roman" w:hAnsi="Arial" w:cs="Arial"/>
          <w:i/>
          <w:iCs/>
          <w:kern w:val="0"/>
          <w:sz w:val="22"/>
          <w:szCs w:val="22"/>
          <w:lang w:eastAsia="en-GB"/>
          <w14:ligatures w14:val="none"/>
        </w:rPr>
        <w:t>March 2026</w:t>
      </w:r>
      <w:r w:rsidRPr="0097017E">
        <w:rPr>
          <w:rFonts w:ascii="Arial" w:eastAsia="Times New Roman" w:hAnsi="Arial" w:cs="Arial"/>
          <w:kern w:val="0"/>
          <w:sz w:val="22"/>
          <w:szCs w:val="22"/>
          <w:lang w:eastAsia="en-GB"/>
          <w14:ligatures w14:val="none"/>
        </w:rPr>
        <w:t>).</w:t>
      </w:r>
    </w:p>
    <w:p w14:paraId="4D8AED91" w14:textId="77777777" w:rsidR="00100854" w:rsidRPr="008D123B" w:rsidRDefault="00100854" w:rsidP="00100854">
      <w:pPr>
        <w:spacing w:after="0" w:line="240" w:lineRule="auto"/>
        <w:rPr>
          <w:rFonts w:ascii="Arial" w:eastAsia="Times New Roman" w:hAnsi="Arial" w:cs="Arial"/>
          <w:kern w:val="0"/>
          <w:sz w:val="22"/>
          <w:szCs w:val="22"/>
          <w:lang w:eastAsia="en-GB"/>
          <w14:ligatures w14:val="none"/>
        </w:rPr>
      </w:pPr>
    </w:p>
    <w:p w14:paraId="65C8C138" w14:textId="5EFBEDE0" w:rsidR="00100854" w:rsidRPr="00E72A11" w:rsidRDefault="00100854" w:rsidP="00100854">
      <w:pPr>
        <w:spacing w:after="0" w:line="300" w:lineRule="atLeast"/>
        <w:rPr>
          <w:rFonts w:ascii="Arial" w:eastAsia="Times New Roman" w:hAnsi="Arial" w:cs="Arial"/>
          <w:kern w:val="0"/>
          <w:sz w:val="22"/>
          <w:szCs w:val="22"/>
          <w:lang w:eastAsia="en-GB"/>
          <w14:ligatures w14:val="none"/>
        </w:rPr>
      </w:pPr>
      <w:r w:rsidRPr="002D0A8C">
        <w:rPr>
          <w:rFonts w:ascii="Arial" w:eastAsia="Times New Roman" w:hAnsi="Arial" w:cs="Arial"/>
          <w:kern w:val="0"/>
          <w:sz w:val="22"/>
          <w:szCs w:val="22"/>
          <w:lang w:eastAsia="en-GB"/>
          <w14:ligatures w14:val="none"/>
        </w:rPr>
        <w:t xml:space="preserve">Home Office (2004) One Step Ahead: A 21st Century Strategy to Defeat Organised Crime. </w:t>
      </w:r>
      <w:r w:rsidRPr="008D123B">
        <w:rPr>
          <w:rFonts w:ascii="Arial" w:eastAsia="Times New Roman" w:hAnsi="Arial" w:cs="Arial"/>
          <w:i/>
          <w:iCs/>
          <w:kern w:val="0"/>
          <w:sz w:val="22"/>
          <w:szCs w:val="22"/>
          <w:lang w:eastAsia="en-GB"/>
          <w14:ligatures w14:val="none"/>
        </w:rPr>
        <w:t xml:space="preserve">Home Office. </w:t>
      </w:r>
      <w:r w:rsidRPr="008D123B">
        <w:rPr>
          <w:rFonts w:ascii="Arial" w:eastAsia="Times New Roman" w:hAnsi="Arial" w:cs="Arial"/>
          <w:kern w:val="0"/>
          <w:sz w:val="22"/>
          <w:szCs w:val="22"/>
          <w:lang w:eastAsia="en-GB"/>
          <w14:ligatures w14:val="none"/>
        </w:rPr>
        <w:t xml:space="preserve">Available at: </w:t>
      </w:r>
      <w:hyperlink r:id="rId14" w:history="1">
        <w:r w:rsidRPr="008D123B">
          <w:rPr>
            <w:rStyle w:val="Hyperlink"/>
            <w:rFonts w:ascii="Arial" w:eastAsia="Times New Roman" w:hAnsi="Arial" w:cs="Arial"/>
            <w:kern w:val="0"/>
            <w:sz w:val="22"/>
            <w:szCs w:val="22"/>
            <w:lang w:eastAsia="en-GB"/>
            <w14:ligatures w14:val="none"/>
          </w:rPr>
          <w:t>https://www.gov.uk/government/publications/one-step-ahead-a-21st-century-strategy-to-defeat-organised-crime</w:t>
        </w:r>
      </w:hyperlink>
      <w:r w:rsidRPr="008D123B">
        <w:rPr>
          <w:rFonts w:ascii="Arial" w:eastAsia="Times New Roman" w:hAnsi="Arial" w:cs="Arial"/>
          <w:kern w:val="0"/>
          <w:sz w:val="22"/>
          <w:szCs w:val="22"/>
          <w:lang w:eastAsia="en-GB"/>
          <w14:ligatures w14:val="none"/>
        </w:rPr>
        <w:t xml:space="preserve"> (Accessed: March 2026)</w:t>
      </w:r>
      <w:r w:rsidR="00A87C90">
        <w:rPr>
          <w:rFonts w:ascii="Arial" w:eastAsia="Times New Roman" w:hAnsi="Arial" w:cs="Arial"/>
          <w:kern w:val="0"/>
          <w:sz w:val="22"/>
          <w:szCs w:val="22"/>
          <w:lang w:eastAsia="en-GB"/>
          <w14:ligatures w14:val="none"/>
        </w:rPr>
        <w:t>.</w:t>
      </w:r>
    </w:p>
    <w:p w14:paraId="61A9709C" w14:textId="77777777" w:rsidR="00100854" w:rsidRPr="00DA44C1" w:rsidRDefault="00100854" w:rsidP="00100854">
      <w:pPr>
        <w:spacing w:after="0" w:line="240" w:lineRule="auto"/>
        <w:rPr>
          <w:rFonts w:ascii="Arial" w:eastAsia="Times New Roman" w:hAnsi="Arial" w:cs="Arial"/>
          <w:kern w:val="0"/>
          <w:sz w:val="22"/>
          <w:szCs w:val="22"/>
          <w:lang w:eastAsia="en-GB"/>
          <w14:ligatures w14:val="none"/>
        </w:rPr>
      </w:pPr>
    </w:p>
    <w:p w14:paraId="3C5206C2" w14:textId="01E19347" w:rsidR="00100854" w:rsidRDefault="00100854" w:rsidP="00100854">
      <w:pPr>
        <w:spacing w:after="0" w:line="300" w:lineRule="atLeast"/>
        <w:rPr>
          <w:rFonts w:ascii="Arial" w:eastAsia="Times New Roman" w:hAnsi="Arial" w:cs="Arial"/>
          <w:kern w:val="0"/>
          <w:sz w:val="22"/>
          <w:szCs w:val="22"/>
          <w:lang w:eastAsia="en-GB"/>
          <w14:ligatures w14:val="none"/>
        </w:rPr>
      </w:pPr>
      <w:r w:rsidRPr="00E72A11">
        <w:rPr>
          <w:rFonts w:ascii="Arial" w:eastAsia="Times New Roman" w:hAnsi="Arial" w:cs="Arial"/>
          <w:kern w:val="0"/>
          <w:sz w:val="22"/>
          <w:szCs w:val="22"/>
          <w:lang w:eastAsia="en-GB"/>
          <w14:ligatures w14:val="none"/>
        </w:rPr>
        <w:t xml:space="preserve">Home Office (2023) No Place to Hide: Serious and Organised Crime Strategy 2023–2028. </w:t>
      </w:r>
      <w:r w:rsidRPr="00E72A11">
        <w:rPr>
          <w:rFonts w:ascii="Arial" w:eastAsia="Times New Roman" w:hAnsi="Arial" w:cs="Arial"/>
          <w:i/>
          <w:iCs/>
          <w:kern w:val="0"/>
          <w:sz w:val="22"/>
          <w:szCs w:val="22"/>
          <w:lang w:eastAsia="en-GB"/>
          <w14:ligatures w14:val="none"/>
        </w:rPr>
        <w:t>Home Office.</w:t>
      </w:r>
      <w:r w:rsidRPr="008D123B">
        <w:rPr>
          <w:rFonts w:ascii="Arial" w:eastAsia="Times New Roman" w:hAnsi="Arial" w:cs="Arial"/>
          <w:i/>
          <w:iCs/>
          <w:kern w:val="0"/>
          <w:sz w:val="22"/>
          <w:szCs w:val="22"/>
          <w:lang w:eastAsia="en-GB"/>
          <w14:ligatures w14:val="none"/>
        </w:rPr>
        <w:t xml:space="preserve"> </w:t>
      </w:r>
      <w:r w:rsidRPr="008D123B">
        <w:rPr>
          <w:rFonts w:ascii="Arial" w:eastAsia="Times New Roman" w:hAnsi="Arial" w:cs="Arial"/>
          <w:kern w:val="0"/>
          <w:sz w:val="22"/>
          <w:szCs w:val="22"/>
          <w:lang w:eastAsia="en-GB"/>
          <w14:ligatures w14:val="none"/>
        </w:rPr>
        <w:t xml:space="preserve">Available at: </w:t>
      </w:r>
      <w:hyperlink r:id="rId15" w:history="1">
        <w:r w:rsidRPr="008D123B">
          <w:rPr>
            <w:rStyle w:val="Hyperlink"/>
            <w:rFonts w:ascii="Arial" w:eastAsia="Times New Roman" w:hAnsi="Arial" w:cs="Arial"/>
            <w:kern w:val="0"/>
            <w:sz w:val="22"/>
            <w:szCs w:val="22"/>
            <w:lang w:eastAsia="en-GB"/>
            <w14:ligatures w14:val="none"/>
          </w:rPr>
          <w:t>https://assets.publishing.service.gov.uk/media/65798633254aaa0010050bdc/SOC_Strategy_23-28_V9_Web_Accessible.pdf</w:t>
        </w:r>
      </w:hyperlink>
      <w:r w:rsidRPr="008D123B">
        <w:rPr>
          <w:rFonts w:ascii="Arial" w:eastAsia="Times New Roman" w:hAnsi="Arial" w:cs="Arial"/>
          <w:kern w:val="0"/>
          <w:sz w:val="22"/>
          <w:szCs w:val="22"/>
          <w:lang w:eastAsia="en-GB"/>
          <w14:ligatures w14:val="none"/>
        </w:rPr>
        <w:t xml:space="preserve"> (Accessed: March 2026)</w:t>
      </w:r>
      <w:r w:rsidR="00A87C90">
        <w:rPr>
          <w:rFonts w:ascii="Arial" w:eastAsia="Times New Roman" w:hAnsi="Arial" w:cs="Arial"/>
          <w:kern w:val="0"/>
          <w:sz w:val="22"/>
          <w:szCs w:val="22"/>
          <w:lang w:eastAsia="en-GB"/>
          <w14:ligatures w14:val="none"/>
        </w:rPr>
        <w:t>.</w:t>
      </w:r>
    </w:p>
    <w:p w14:paraId="31DA2482" w14:textId="77777777" w:rsidR="00100854" w:rsidRDefault="00100854" w:rsidP="00100854">
      <w:pPr>
        <w:rPr>
          <w:rFonts w:ascii="Arial" w:hAnsi="Arial" w:cs="Arial"/>
          <w:color w:val="FF0000"/>
          <w:sz w:val="22"/>
          <w:szCs w:val="22"/>
        </w:rPr>
      </w:pPr>
    </w:p>
    <w:p w14:paraId="18B75583" w14:textId="77777777" w:rsidR="00100854" w:rsidRDefault="00100854" w:rsidP="00100854">
      <w:pPr>
        <w:spacing w:after="0" w:line="300" w:lineRule="atLeast"/>
        <w:rPr>
          <w:rFonts w:ascii="Arial" w:eastAsia="Times New Roman" w:hAnsi="Arial" w:cs="Arial"/>
          <w:kern w:val="0"/>
          <w:sz w:val="22"/>
          <w:szCs w:val="22"/>
          <w:lang w:eastAsia="en-GB"/>
          <w14:ligatures w14:val="none"/>
        </w:rPr>
      </w:pPr>
      <w:r w:rsidRPr="00D67810">
        <w:rPr>
          <w:rFonts w:ascii="Arial" w:eastAsia="Times New Roman" w:hAnsi="Arial" w:cs="Arial"/>
          <w:kern w:val="0"/>
          <w:sz w:val="22"/>
          <w:szCs w:val="22"/>
          <w:lang w:eastAsia="en-GB"/>
          <w14:ligatures w14:val="none"/>
        </w:rPr>
        <w:t>Home Office (2026) From local to national: a new model for policing</w:t>
      </w:r>
      <w:r w:rsidRPr="00D67810">
        <w:rPr>
          <w:rFonts w:ascii="Arial" w:eastAsia="Times New Roman" w:hAnsi="Arial" w:cs="Arial"/>
          <w:i/>
          <w:iCs/>
          <w:kern w:val="0"/>
          <w:sz w:val="22"/>
          <w:szCs w:val="22"/>
          <w:lang w:eastAsia="en-GB"/>
          <w14:ligatures w14:val="none"/>
        </w:rPr>
        <w:t>.</w:t>
      </w:r>
      <w:r w:rsidRPr="008D123B">
        <w:rPr>
          <w:rFonts w:ascii="Arial" w:eastAsia="Times New Roman" w:hAnsi="Arial" w:cs="Arial"/>
          <w:kern w:val="0"/>
          <w:sz w:val="22"/>
          <w:szCs w:val="22"/>
          <w:lang w:eastAsia="en-GB"/>
          <w14:ligatures w14:val="none"/>
        </w:rPr>
        <w:t xml:space="preserve"> </w:t>
      </w:r>
      <w:r w:rsidRPr="00D67810">
        <w:rPr>
          <w:rFonts w:ascii="Arial" w:eastAsia="Times New Roman" w:hAnsi="Arial" w:cs="Arial"/>
          <w:i/>
          <w:iCs/>
          <w:kern w:val="0"/>
          <w:sz w:val="22"/>
          <w:szCs w:val="22"/>
          <w:lang w:eastAsia="en-GB"/>
          <w14:ligatures w14:val="none"/>
        </w:rPr>
        <w:t>Home Office</w:t>
      </w:r>
      <w:r w:rsidRPr="00D67810">
        <w:rPr>
          <w:rFonts w:ascii="Arial" w:eastAsia="Times New Roman" w:hAnsi="Arial" w:cs="Arial"/>
          <w:kern w:val="0"/>
          <w:sz w:val="22"/>
          <w:szCs w:val="22"/>
          <w:lang w:eastAsia="en-GB"/>
          <w14:ligatures w14:val="none"/>
        </w:rPr>
        <w:t xml:space="preserve">. Available at: https://www.gov.uk/official-documents (Accessed: </w:t>
      </w:r>
      <w:r w:rsidRPr="008D123B">
        <w:rPr>
          <w:rFonts w:ascii="Arial" w:eastAsia="Times New Roman" w:hAnsi="Arial" w:cs="Arial"/>
          <w:kern w:val="0"/>
          <w:sz w:val="22"/>
          <w:szCs w:val="22"/>
          <w:lang w:eastAsia="en-GB"/>
          <w14:ligatures w14:val="none"/>
        </w:rPr>
        <w:t>March 2026</w:t>
      </w:r>
      <w:r w:rsidRPr="00D67810">
        <w:rPr>
          <w:rFonts w:ascii="Arial" w:eastAsia="Times New Roman" w:hAnsi="Arial" w:cs="Arial"/>
          <w:kern w:val="0"/>
          <w:sz w:val="22"/>
          <w:szCs w:val="22"/>
          <w:lang w:eastAsia="en-GB"/>
          <w14:ligatures w14:val="none"/>
        </w:rPr>
        <w:t>).</w:t>
      </w:r>
    </w:p>
    <w:p w14:paraId="4C58449A" w14:textId="77777777" w:rsidR="00100854" w:rsidRDefault="00100854" w:rsidP="00100854">
      <w:pPr>
        <w:spacing w:after="0" w:line="240" w:lineRule="auto"/>
        <w:rPr>
          <w:rFonts w:ascii="Arial" w:eastAsia="Times New Roman" w:hAnsi="Arial" w:cs="Arial"/>
          <w:kern w:val="0"/>
          <w:sz w:val="22"/>
          <w:szCs w:val="22"/>
          <w:lang w:eastAsia="en-GB"/>
          <w14:ligatures w14:val="none"/>
        </w:rPr>
      </w:pPr>
    </w:p>
    <w:p w14:paraId="240CCC03" w14:textId="771CC5A6" w:rsidR="00100854" w:rsidRDefault="00100854" w:rsidP="00B8299B">
      <w:pPr>
        <w:spacing w:after="0" w:line="240" w:lineRule="auto"/>
        <w:rPr>
          <w:rFonts w:ascii="Arial" w:eastAsia="Times New Roman" w:hAnsi="Arial" w:cs="Arial"/>
          <w:kern w:val="0"/>
          <w:sz w:val="22"/>
          <w:szCs w:val="22"/>
          <w:lang w:eastAsia="en-GB"/>
          <w14:ligatures w14:val="none"/>
        </w:rPr>
      </w:pPr>
      <w:r w:rsidRPr="008F3375">
        <w:rPr>
          <w:rFonts w:ascii="Arial" w:eastAsia="Times New Roman" w:hAnsi="Arial" w:cs="Arial"/>
          <w:kern w:val="0"/>
          <w:sz w:val="22"/>
          <w:szCs w:val="22"/>
          <w:lang w:eastAsia="en-GB"/>
          <w14:ligatures w14:val="none"/>
        </w:rPr>
        <w:lastRenderedPageBreak/>
        <w:t xml:space="preserve">Hopkins, M., Keighley, R. and Sanders, T. (2024) “Organised Crime and the ecosystems of sexual exploitation in the United Kingdom: How supply and demand generate sexual exploitation and protection from prosecution,” </w:t>
      </w:r>
      <w:r w:rsidRPr="008F3375">
        <w:rPr>
          <w:rFonts w:ascii="Arial" w:eastAsia="Times New Roman" w:hAnsi="Arial" w:cs="Arial"/>
          <w:i/>
          <w:iCs/>
          <w:kern w:val="0"/>
          <w:sz w:val="22"/>
          <w:szCs w:val="22"/>
          <w:lang w:eastAsia="en-GB"/>
          <w14:ligatures w14:val="none"/>
        </w:rPr>
        <w:t>Trends in organized crime</w:t>
      </w:r>
      <w:r w:rsidRPr="008F3375">
        <w:rPr>
          <w:rFonts w:ascii="Arial" w:eastAsia="Times New Roman" w:hAnsi="Arial" w:cs="Arial"/>
          <w:kern w:val="0"/>
          <w:sz w:val="22"/>
          <w:szCs w:val="22"/>
          <w:lang w:eastAsia="en-GB"/>
          <w14:ligatures w14:val="none"/>
        </w:rPr>
        <w:t xml:space="preserve">, 27(1), pp. 56–76. Available at: </w:t>
      </w:r>
      <w:hyperlink r:id="rId16" w:history="1">
        <w:r w:rsidR="00B8299B" w:rsidRPr="00404437">
          <w:rPr>
            <w:rStyle w:val="Hyperlink"/>
            <w:rFonts w:ascii="Arial" w:eastAsia="Times New Roman" w:hAnsi="Arial" w:cs="Arial"/>
            <w:kern w:val="0"/>
            <w:sz w:val="22"/>
            <w:szCs w:val="22"/>
            <w:lang w:eastAsia="en-GB"/>
            <w14:ligatures w14:val="none"/>
          </w:rPr>
          <w:t>https://doi.org/10.1007/s12117-023-09517-x</w:t>
        </w:r>
      </w:hyperlink>
      <w:r w:rsidRPr="008F3375">
        <w:rPr>
          <w:rFonts w:ascii="Arial" w:eastAsia="Times New Roman" w:hAnsi="Arial" w:cs="Arial"/>
          <w:kern w:val="0"/>
          <w:sz w:val="22"/>
          <w:szCs w:val="22"/>
          <w:lang w:eastAsia="en-GB"/>
          <w14:ligatures w14:val="none"/>
        </w:rPr>
        <w:t>.</w:t>
      </w:r>
    </w:p>
    <w:p w14:paraId="3095DD5C" w14:textId="77777777" w:rsidR="00B8299B" w:rsidRPr="00B8299B" w:rsidRDefault="00B8299B" w:rsidP="00B8299B">
      <w:pPr>
        <w:spacing w:after="0" w:line="240" w:lineRule="auto"/>
        <w:rPr>
          <w:rFonts w:ascii="Arial" w:eastAsia="Times New Roman" w:hAnsi="Arial" w:cs="Arial"/>
          <w:kern w:val="0"/>
          <w:sz w:val="22"/>
          <w:szCs w:val="22"/>
          <w:lang w:eastAsia="en-GB"/>
          <w14:ligatures w14:val="none"/>
        </w:rPr>
      </w:pPr>
    </w:p>
    <w:p w14:paraId="19FB5959" w14:textId="77777777" w:rsidR="00100854" w:rsidRPr="009B265C" w:rsidRDefault="00100854" w:rsidP="00100854">
      <w:pPr>
        <w:spacing w:after="0" w:line="240" w:lineRule="auto"/>
        <w:rPr>
          <w:rFonts w:ascii="Arial" w:eastAsia="Times New Roman" w:hAnsi="Arial" w:cs="Arial"/>
          <w:kern w:val="0"/>
          <w:sz w:val="22"/>
          <w:szCs w:val="22"/>
          <w:lang w:eastAsia="en-GB"/>
          <w14:ligatures w14:val="none"/>
        </w:rPr>
      </w:pPr>
      <w:r w:rsidRPr="009B265C">
        <w:rPr>
          <w:rFonts w:ascii="Arial" w:eastAsia="Times New Roman" w:hAnsi="Arial" w:cs="Arial"/>
          <w:kern w:val="0"/>
          <w:sz w:val="22"/>
          <w:szCs w:val="22"/>
          <w:lang w:eastAsia="en-GB"/>
          <w14:ligatures w14:val="none"/>
        </w:rPr>
        <w:t xml:space="preserve">Kirby, S. and Nailer, L. (2013) “Reducing the offending of a UK organized crime group using an opportunity-reducing framework—a three year case study,” </w:t>
      </w:r>
      <w:r w:rsidRPr="009B265C">
        <w:rPr>
          <w:rFonts w:ascii="Arial" w:eastAsia="Times New Roman" w:hAnsi="Arial" w:cs="Arial"/>
          <w:i/>
          <w:iCs/>
          <w:kern w:val="0"/>
          <w:sz w:val="22"/>
          <w:szCs w:val="22"/>
          <w:lang w:eastAsia="en-GB"/>
          <w14:ligatures w14:val="none"/>
        </w:rPr>
        <w:t>Trends in organized crime</w:t>
      </w:r>
      <w:r w:rsidRPr="009B265C">
        <w:rPr>
          <w:rFonts w:ascii="Arial" w:eastAsia="Times New Roman" w:hAnsi="Arial" w:cs="Arial"/>
          <w:kern w:val="0"/>
          <w:sz w:val="22"/>
          <w:szCs w:val="22"/>
          <w:lang w:eastAsia="en-GB"/>
          <w14:ligatures w14:val="none"/>
        </w:rPr>
        <w:t>, 16(4), pp. 397–412. Available at: https://doi.org/10.1007/s12117-013-9195-3.</w:t>
      </w:r>
    </w:p>
    <w:p w14:paraId="5A9F5F08" w14:textId="77777777" w:rsidR="00100854" w:rsidRPr="008D123B" w:rsidRDefault="00100854" w:rsidP="00100854">
      <w:pPr>
        <w:rPr>
          <w:rFonts w:ascii="Arial" w:hAnsi="Arial" w:cs="Arial"/>
          <w:color w:val="FF0000"/>
          <w:sz w:val="22"/>
          <w:szCs w:val="22"/>
        </w:rPr>
      </w:pPr>
    </w:p>
    <w:p w14:paraId="38390E13" w14:textId="4196B6E3" w:rsidR="00100854" w:rsidRDefault="00100854" w:rsidP="00B8299B">
      <w:pPr>
        <w:spacing w:after="0" w:line="240" w:lineRule="auto"/>
        <w:rPr>
          <w:rFonts w:ascii="Arial" w:eastAsia="Times New Roman" w:hAnsi="Arial" w:cs="Arial"/>
          <w:kern w:val="0"/>
          <w:sz w:val="22"/>
          <w:szCs w:val="22"/>
          <w:lang w:eastAsia="en-GB"/>
          <w14:ligatures w14:val="none"/>
        </w:rPr>
      </w:pPr>
      <w:r w:rsidRPr="002048CA">
        <w:rPr>
          <w:rFonts w:ascii="Arial" w:eastAsia="Times New Roman" w:hAnsi="Arial" w:cs="Arial"/>
          <w:kern w:val="0"/>
          <w:sz w:val="22"/>
          <w:szCs w:val="22"/>
          <w:lang w:eastAsia="en-GB"/>
          <w14:ligatures w14:val="none"/>
        </w:rPr>
        <w:t xml:space="preserve">Kirby, S. and Snow, N. (2016) “Praxis and the disruption of organized crime groups,” </w:t>
      </w:r>
      <w:r w:rsidRPr="002048CA">
        <w:rPr>
          <w:rFonts w:ascii="Arial" w:eastAsia="Times New Roman" w:hAnsi="Arial" w:cs="Arial"/>
          <w:i/>
          <w:iCs/>
          <w:kern w:val="0"/>
          <w:sz w:val="22"/>
          <w:szCs w:val="22"/>
          <w:lang w:eastAsia="en-GB"/>
          <w14:ligatures w14:val="none"/>
        </w:rPr>
        <w:t>Trends in organized crime</w:t>
      </w:r>
      <w:r w:rsidRPr="002048CA">
        <w:rPr>
          <w:rFonts w:ascii="Arial" w:eastAsia="Times New Roman" w:hAnsi="Arial" w:cs="Arial"/>
          <w:kern w:val="0"/>
          <w:sz w:val="22"/>
          <w:szCs w:val="22"/>
          <w:lang w:eastAsia="en-GB"/>
          <w14:ligatures w14:val="none"/>
        </w:rPr>
        <w:t xml:space="preserve">, 19(2), pp. 111–124. Available at: </w:t>
      </w:r>
      <w:hyperlink r:id="rId17" w:history="1">
        <w:r w:rsidR="00B8299B" w:rsidRPr="00404437">
          <w:rPr>
            <w:rStyle w:val="Hyperlink"/>
            <w:rFonts w:ascii="Arial" w:eastAsia="Times New Roman" w:hAnsi="Arial" w:cs="Arial"/>
            <w:kern w:val="0"/>
            <w:sz w:val="22"/>
            <w:szCs w:val="22"/>
            <w:lang w:eastAsia="en-GB"/>
            <w14:ligatures w14:val="none"/>
          </w:rPr>
          <w:t>https://doi.org/10.1007/s12117-016-9269-0</w:t>
        </w:r>
      </w:hyperlink>
      <w:r w:rsidRPr="002048CA">
        <w:rPr>
          <w:rFonts w:ascii="Arial" w:eastAsia="Times New Roman" w:hAnsi="Arial" w:cs="Arial"/>
          <w:kern w:val="0"/>
          <w:sz w:val="22"/>
          <w:szCs w:val="22"/>
          <w:lang w:eastAsia="en-GB"/>
          <w14:ligatures w14:val="none"/>
        </w:rPr>
        <w:t>.</w:t>
      </w:r>
    </w:p>
    <w:p w14:paraId="5A0B068B" w14:textId="77777777" w:rsidR="007F399A" w:rsidRDefault="007F399A" w:rsidP="00B8299B">
      <w:pPr>
        <w:spacing w:after="0" w:line="240" w:lineRule="auto"/>
        <w:rPr>
          <w:rFonts w:ascii="Arial" w:eastAsia="Times New Roman" w:hAnsi="Arial" w:cs="Arial"/>
          <w:kern w:val="0"/>
          <w:sz w:val="22"/>
          <w:szCs w:val="22"/>
          <w:lang w:eastAsia="en-GB"/>
          <w14:ligatures w14:val="none"/>
        </w:rPr>
      </w:pPr>
    </w:p>
    <w:p w14:paraId="2D2D1ECC" w14:textId="07E46C62" w:rsidR="007F399A" w:rsidRPr="007F399A" w:rsidRDefault="007F399A" w:rsidP="007F399A">
      <w:pPr>
        <w:spacing w:after="0" w:line="300" w:lineRule="atLeast"/>
        <w:rPr>
          <w:rFonts w:ascii="Arial" w:eastAsia="Times New Roman" w:hAnsi="Arial" w:cs="Arial"/>
          <w:kern w:val="0"/>
          <w:sz w:val="22"/>
          <w:szCs w:val="22"/>
          <w:lang w:eastAsia="en-GB"/>
          <w14:ligatures w14:val="none"/>
        </w:rPr>
      </w:pPr>
      <w:r w:rsidRPr="007F399A">
        <w:rPr>
          <w:rFonts w:ascii="Arial" w:eastAsia="Times New Roman" w:hAnsi="Arial" w:cs="Arial"/>
          <w:kern w:val="0"/>
          <w:sz w:val="22"/>
          <w:szCs w:val="22"/>
          <w:lang w:eastAsia="en-GB"/>
          <w14:ligatures w14:val="none"/>
        </w:rPr>
        <w:t xml:space="preserve">Leukfeldt, E.R., Lavorgna, A. and </w:t>
      </w:r>
      <w:proofErr w:type="spellStart"/>
      <w:r w:rsidRPr="007F399A">
        <w:rPr>
          <w:rFonts w:ascii="Arial" w:eastAsia="Times New Roman" w:hAnsi="Arial" w:cs="Arial"/>
          <w:kern w:val="0"/>
          <w:sz w:val="22"/>
          <w:szCs w:val="22"/>
          <w:lang w:eastAsia="en-GB"/>
          <w14:ligatures w14:val="none"/>
        </w:rPr>
        <w:t>Kleemans</w:t>
      </w:r>
      <w:proofErr w:type="spellEnd"/>
      <w:r w:rsidRPr="007F399A">
        <w:rPr>
          <w:rFonts w:ascii="Arial" w:eastAsia="Times New Roman" w:hAnsi="Arial" w:cs="Arial"/>
          <w:kern w:val="0"/>
          <w:sz w:val="22"/>
          <w:szCs w:val="22"/>
          <w:lang w:eastAsia="en-GB"/>
          <w14:ligatures w14:val="none"/>
        </w:rPr>
        <w:t xml:space="preserve">, E.R. (2017) </w:t>
      </w:r>
      <w:r w:rsidR="001F2901">
        <w:rPr>
          <w:rFonts w:ascii="Arial" w:eastAsia="Times New Roman" w:hAnsi="Arial" w:cs="Arial"/>
          <w:kern w:val="0"/>
          <w:sz w:val="22"/>
          <w:szCs w:val="22"/>
          <w:lang w:eastAsia="en-GB"/>
          <w14:ligatures w14:val="none"/>
        </w:rPr>
        <w:t>“</w:t>
      </w:r>
      <w:r w:rsidRPr="007F399A">
        <w:rPr>
          <w:rFonts w:ascii="Arial" w:eastAsia="Times New Roman" w:hAnsi="Arial" w:cs="Arial"/>
          <w:kern w:val="0"/>
          <w:sz w:val="22"/>
          <w:szCs w:val="22"/>
          <w:lang w:eastAsia="en-GB"/>
          <w14:ligatures w14:val="none"/>
        </w:rPr>
        <w:t>Organised cybercrime or cybercrime that is organised? An assessment of the conceptualisation of financial</w:t>
      </w:r>
      <w:r w:rsidRPr="007F399A">
        <w:rPr>
          <w:rFonts w:ascii="Arial" w:eastAsia="Times New Roman" w:hAnsi="Arial" w:cs="Arial"/>
          <w:i/>
          <w:iCs/>
          <w:kern w:val="0"/>
          <w:sz w:val="22"/>
          <w:szCs w:val="22"/>
          <w:lang w:eastAsia="en-GB"/>
          <w14:ligatures w14:val="none"/>
        </w:rPr>
        <w:t xml:space="preserve"> </w:t>
      </w:r>
      <w:r w:rsidRPr="007F399A">
        <w:rPr>
          <w:rFonts w:ascii="Arial" w:eastAsia="Times New Roman" w:hAnsi="Arial" w:cs="Arial"/>
          <w:kern w:val="0"/>
          <w:sz w:val="22"/>
          <w:szCs w:val="22"/>
          <w:lang w:eastAsia="en-GB"/>
          <w14:ligatures w14:val="none"/>
        </w:rPr>
        <w:t>cybercrime as organised crime</w:t>
      </w:r>
      <w:r w:rsidR="001F2901" w:rsidRPr="001F2901">
        <w:rPr>
          <w:rFonts w:ascii="Arial" w:eastAsia="Times New Roman" w:hAnsi="Arial" w:cs="Arial"/>
          <w:kern w:val="0"/>
          <w:sz w:val="22"/>
          <w:szCs w:val="22"/>
          <w:lang w:eastAsia="en-GB"/>
          <w14:ligatures w14:val="none"/>
        </w:rPr>
        <w:t>,”</w:t>
      </w:r>
      <w:r w:rsidRPr="007F399A">
        <w:rPr>
          <w:rFonts w:ascii="Arial" w:eastAsia="Times New Roman" w:hAnsi="Arial" w:cs="Arial"/>
          <w:kern w:val="0"/>
          <w:sz w:val="22"/>
          <w:szCs w:val="22"/>
          <w:lang w:eastAsia="en-GB"/>
          <w14:ligatures w14:val="none"/>
        </w:rPr>
        <w:t xml:space="preserve"> </w:t>
      </w:r>
      <w:r w:rsidRPr="007F399A">
        <w:rPr>
          <w:rFonts w:ascii="Arial" w:eastAsia="Times New Roman" w:hAnsi="Arial" w:cs="Arial"/>
          <w:i/>
          <w:iCs/>
          <w:kern w:val="0"/>
          <w:sz w:val="22"/>
          <w:szCs w:val="22"/>
          <w:lang w:eastAsia="en-GB"/>
          <w14:ligatures w14:val="none"/>
        </w:rPr>
        <w:t>European Journal of Criminal Policy and Research</w:t>
      </w:r>
      <w:r w:rsidRPr="007F399A">
        <w:rPr>
          <w:rFonts w:ascii="Arial" w:eastAsia="Times New Roman" w:hAnsi="Arial" w:cs="Arial"/>
          <w:kern w:val="0"/>
          <w:sz w:val="22"/>
          <w:szCs w:val="22"/>
          <w:lang w:eastAsia="en-GB"/>
          <w14:ligatures w14:val="none"/>
        </w:rPr>
        <w:t xml:space="preserve">, 23(3), pp. 287–300. </w:t>
      </w:r>
      <w:hyperlink r:id="rId18" w:history="1">
        <w:r w:rsidR="007F53FD" w:rsidRPr="007F399A">
          <w:rPr>
            <w:rStyle w:val="Hyperlink"/>
            <w:rFonts w:ascii="Arial" w:eastAsia="Times New Roman" w:hAnsi="Arial" w:cs="Arial"/>
            <w:kern w:val="0"/>
            <w:sz w:val="22"/>
            <w:szCs w:val="22"/>
            <w:lang w:eastAsia="en-GB"/>
            <w14:ligatures w14:val="none"/>
          </w:rPr>
          <w:t>https://doi.org/10.1007/s10610-016-9332-z</w:t>
        </w:r>
      </w:hyperlink>
      <w:r w:rsidR="007F53FD">
        <w:rPr>
          <w:rFonts w:ascii="Arial" w:eastAsia="Times New Roman" w:hAnsi="Arial" w:cs="Arial"/>
          <w:kern w:val="0"/>
          <w:sz w:val="22"/>
          <w:szCs w:val="22"/>
          <w:lang w:eastAsia="en-GB"/>
          <w14:ligatures w14:val="none"/>
        </w:rPr>
        <w:t xml:space="preserve">. </w:t>
      </w:r>
    </w:p>
    <w:p w14:paraId="256B8783" w14:textId="77777777" w:rsidR="00100854" w:rsidRPr="008D123B" w:rsidRDefault="00100854" w:rsidP="00100854">
      <w:pPr>
        <w:spacing w:after="0" w:line="240" w:lineRule="auto"/>
        <w:rPr>
          <w:rFonts w:ascii="Arial" w:eastAsia="Times New Roman" w:hAnsi="Arial" w:cs="Arial"/>
          <w:kern w:val="0"/>
          <w:sz w:val="22"/>
          <w:szCs w:val="22"/>
          <w:lang w:eastAsia="en-GB"/>
          <w14:ligatures w14:val="none"/>
        </w:rPr>
      </w:pPr>
    </w:p>
    <w:p w14:paraId="293A7ABE" w14:textId="25331746" w:rsidR="00100854" w:rsidRPr="006A7912" w:rsidRDefault="00100854" w:rsidP="00100854">
      <w:pPr>
        <w:spacing w:after="0" w:line="240" w:lineRule="auto"/>
        <w:rPr>
          <w:rFonts w:ascii="Arial" w:eastAsia="Times New Roman" w:hAnsi="Arial" w:cs="Arial"/>
          <w:kern w:val="0"/>
          <w:sz w:val="22"/>
          <w:szCs w:val="22"/>
          <w:lang w:eastAsia="en-GB"/>
          <w14:ligatures w14:val="none"/>
        </w:rPr>
      </w:pPr>
      <w:r w:rsidRPr="006A7912">
        <w:rPr>
          <w:rFonts w:ascii="Arial" w:eastAsia="Times New Roman" w:hAnsi="Arial" w:cs="Arial"/>
          <w:kern w:val="0"/>
          <w:sz w:val="22"/>
          <w:szCs w:val="22"/>
          <w:lang w:eastAsia="en-GB"/>
          <w14:ligatures w14:val="none"/>
        </w:rPr>
        <w:t>Murray, K.</w:t>
      </w:r>
      <w:r w:rsidR="0000310A">
        <w:rPr>
          <w:rFonts w:ascii="Arial" w:eastAsia="Times New Roman" w:hAnsi="Arial" w:cs="Arial"/>
          <w:kern w:val="0"/>
          <w:sz w:val="22"/>
          <w:szCs w:val="22"/>
          <w:lang w:eastAsia="en-GB"/>
          <w14:ligatures w14:val="none"/>
        </w:rPr>
        <w:t>R.</w:t>
      </w:r>
      <w:r w:rsidRPr="006A7912">
        <w:rPr>
          <w:rFonts w:ascii="Arial" w:eastAsia="Times New Roman" w:hAnsi="Arial" w:cs="Arial"/>
          <w:kern w:val="0"/>
          <w:sz w:val="22"/>
          <w:szCs w:val="22"/>
          <w:lang w:eastAsia="en-GB"/>
          <w14:ligatures w14:val="none"/>
        </w:rPr>
        <w:t xml:space="preserve"> (2013) “A square go: tackling organised crime where it doesn’t want to be tackled,” </w:t>
      </w:r>
      <w:r w:rsidRPr="006A7912">
        <w:rPr>
          <w:rFonts w:ascii="Arial" w:eastAsia="Times New Roman" w:hAnsi="Arial" w:cs="Arial"/>
          <w:i/>
          <w:iCs/>
          <w:kern w:val="0"/>
          <w:sz w:val="22"/>
          <w:szCs w:val="22"/>
          <w:lang w:eastAsia="en-GB"/>
          <w14:ligatures w14:val="none"/>
        </w:rPr>
        <w:t>Journal of money laundering control</w:t>
      </w:r>
      <w:r w:rsidRPr="006A7912">
        <w:rPr>
          <w:rFonts w:ascii="Arial" w:eastAsia="Times New Roman" w:hAnsi="Arial" w:cs="Arial"/>
          <w:kern w:val="0"/>
          <w:sz w:val="22"/>
          <w:szCs w:val="22"/>
          <w:lang w:eastAsia="en-GB"/>
          <w14:ligatures w14:val="none"/>
        </w:rPr>
        <w:t>, 16(2), pp. 99–108. Available at: https://doi.org/10.1108/13685201311318458.</w:t>
      </w:r>
    </w:p>
    <w:p w14:paraId="2930C84D" w14:textId="77777777" w:rsidR="00100854" w:rsidRDefault="00100854" w:rsidP="00100854">
      <w:pPr>
        <w:spacing w:after="0" w:line="240" w:lineRule="auto"/>
        <w:rPr>
          <w:rFonts w:ascii="Arial" w:eastAsia="Times New Roman" w:hAnsi="Arial" w:cs="Arial"/>
          <w:kern w:val="0"/>
          <w:sz w:val="22"/>
          <w:szCs w:val="22"/>
          <w:lang w:eastAsia="en-GB"/>
          <w14:ligatures w14:val="none"/>
        </w:rPr>
      </w:pPr>
    </w:p>
    <w:p w14:paraId="4F80EC1E" w14:textId="77777777" w:rsidR="00100854" w:rsidRDefault="00100854" w:rsidP="00100854">
      <w:pPr>
        <w:spacing w:after="0" w:line="240" w:lineRule="auto"/>
        <w:rPr>
          <w:rFonts w:ascii="Arial" w:eastAsia="Times New Roman" w:hAnsi="Arial" w:cs="Arial"/>
          <w:kern w:val="0"/>
          <w:sz w:val="22"/>
          <w:szCs w:val="22"/>
          <w:lang w:eastAsia="en-GB"/>
          <w14:ligatures w14:val="none"/>
        </w:rPr>
      </w:pPr>
      <w:r w:rsidRPr="00CB2465">
        <w:rPr>
          <w:rFonts w:ascii="Arial" w:eastAsia="Times New Roman" w:hAnsi="Arial" w:cs="Arial"/>
          <w:kern w:val="0"/>
          <w:sz w:val="22"/>
          <w:szCs w:val="22"/>
          <w:lang w:eastAsia="en-GB"/>
          <w14:ligatures w14:val="none"/>
        </w:rPr>
        <w:t xml:space="preserve">Murray, K.R. (2015) “Walking the walk: practical measures to undermine the business of organised crime,” </w:t>
      </w:r>
      <w:r w:rsidRPr="00CB2465">
        <w:rPr>
          <w:rFonts w:ascii="Arial" w:eastAsia="Times New Roman" w:hAnsi="Arial" w:cs="Arial"/>
          <w:i/>
          <w:iCs/>
          <w:kern w:val="0"/>
          <w:sz w:val="22"/>
          <w:szCs w:val="22"/>
          <w:lang w:eastAsia="en-GB"/>
          <w14:ligatures w14:val="none"/>
        </w:rPr>
        <w:t>Journal of financial crime</w:t>
      </w:r>
      <w:r w:rsidRPr="00CB2465">
        <w:rPr>
          <w:rFonts w:ascii="Arial" w:eastAsia="Times New Roman" w:hAnsi="Arial" w:cs="Arial"/>
          <w:kern w:val="0"/>
          <w:sz w:val="22"/>
          <w:szCs w:val="22"/>
          <w:lang w:eastAsia="en-GB"/>
          <w14:ligatures w14:val="none"/>
        </w:rPr>
        <w:t xml:space="preserve">, 22(2), pp. 199–207. Available at: </w:t>
      </w:r>
      <w:hyperlink r:id="rId19" w:history="1">
        <w:r w:rsidRPr="00CB2465">
          <w:rPr>
            <w:rStyle w:val="Hyperlink"/>
            <w:rFonts w:ascii="Arial" w:eastAsia="Times New Roman" w:hAnsi="Arial" w:cs="Arial"/>
            <w:kern w:val="0"/>
            <w:sz w:val="22"/>
            <w:szCs w:val="22"/>
            <w:lang w:eastAsia="en-GB"/>
            <w14:ligatures w14:val="none"/>
          </w:rPr>
          <w:t>https://doi.org/10.1108/JFC-05-2014-0024</w:t>
        </w:r>
      </w:hyperlink>
      <w:r w:rsidRPr="00CB2465">
        <w:rPr>
          <w:rFonts w:ascii="Arial" w:eastAsia="Times New Roman" w:hAnsi="Arial" w:cs="Arial"/>
          <w:kern w:val="0"/>
          <w:sz w:val="22"/>
          <w:szCs w:val="22"/>
          <w:lang w:eastAsia="en-GB"/>
          <w14:ligatures w14:val="none"/>
        </w:rPr>
        <w:t>.</w:t>
      </w:r>
    </w:p>
    <w:p w14:paraId="1FEF12F1" w14:textId="77777777" w:rsidR="00100854" w:rsidRDefault="00100854" w:rsidP="00100854">
      <w:pPr>
        <w:spacing w:after="0" w:line="240" w:lineRule="auto"/>
        <w:rPr>
          <w:rFonts w:ascii="Arial" w:eastAsia="Times New Roman" w:hAnsi="Arial" w:cs="Arial"/>
          <w:kern w:val="0"/>
          <w:sz w:val="22"/>
          <w:szCs w:val="22"/>
          <w:lang w:eastAsia="en-GB"/>
          <w14:ligatures w14:val="none"/>
        </w:rPr>
      </w:pPr>
    </w:p>
    <w:p w14:paraId="31B66B70" w14:textId="45DBC9A8" w:rsidR="00100854" w:rsidRDefault="00100854" w:rsidP="00100854">
      <w:pPr>
        <w:spacing w:after="0" w:line="300" w:lineRule="atLeast"/>
        <w:rPr>
          <w:rFonts w:ascii="Arial" w:eastAsia="Times New Roman" w:hAnsi="Arial" w:cs="Arial"/>
          <w:kern w:val="0"/>
          <w:sz w:val="22"/>
          <w:szCs w:val="22"/>
          <w:lang w:eastAsia="en-GB"/>
          <w14:ligatures w14:val="none"/>
        </w:rPr>
      </w:pPr>
      <w:r w:rsidRPr="00E72A11">
        <w:rPr>
          <w:rFonts w:ascii="Arial" w:eastAsia="Times New Roman" w:hAnsi="Arial" w:cs="Arial"/>
          <w:kern w:val="0"/>
          <w:sz w:val="22"/>
          <w:szCs w:val="22"/>
          <w:lang w:eastAsia="en-GB"/>
          <w14:ligatures w14:val="none"/>
        </w:rPr>
        <w:t xml:space="preserve">National Crime Agency (2025) National Strategic Assessment 2025 of Serious and Organised Crime. </w:t>
      </w:r>
      <w:r w:rsidRPr="00E72A11">
        <w:rPr>
          <w:rFonts w:ascii="Arial" w:eastAsia="Times New Roman" w:hAnsi="Arial" w:cs="Arial"/>
          <w:i/>
          <w:iCs/>
          <w:kern w:val="0"/>
          <w:sz w:val="22"/>
          <w:szCs w:val="22"/>
          <w:lang w:eastAsia="en-GB"/>
          <w14:ligatures w14:val="none"/>
        </w:rPr>
        <w:t>NCA</w:t>
      </w:r>
      <w:r w:rsidRPr="00E72A11">
        <w:rPr>
          <w:rFonts w:ascii="Arial" w:eastAsia="Times New Roman" w:hAnsi="Arial" w:cs="Arial"/>
          <w:kern w:val="0"/>
          <w:sz w:val="22"/>
          <w:szCs w:val="22"/>
          <w:lang w:eastAsia="en-GB"/>
          <w14:ligatures w14:val="none"/>
        </w:rPr>
        <w:t>.</w:t>
      </w:r>
      <w:r w:rsidRPr="008D123B">
        <w:rPr>
          <w:rFonts w:ascii="Arial" w:eastAsia="Times New Roman" w:hAnsi="Arial" w:cs="Arial"/>
          <w:kern w:val="0"/>
          <w:sz w:val="22"/>
          <w:szCs w:val="22"/>
          <w:lang w:eastAsia="en-GB"/>
          <w14:ligatures w14:val="none"/>
        </w:rPr>
        <w:t xml:space="preserve"> Available at: </w:t>
      </w:r>
      <w:hyperlink r:id="rId20" w:history="1">
        <w:r w:rsidRPr="008D123B">
          <w:rPr>
            <w:rStyle w:val="Hyperlink"/>
            <w:rFonts w:ascii="Arial" w:eastAsia="Times New Roman" w:hAnsi="Arial" w:cs="Arial"/>
            <w:kern w:val="0"/>
            <w:sz w:val="22"/>
            <w:szCs w:val="22"/>
            <w:lang w:eastAsia="en-GB"/>
            <w14:ligatures w14:val="none"/>
          </w:rPr>
          <w:t>https://www.nationalcrimeagency.gov.uk/nsa-overview-of-soc-2025</w:t>
        </w:r>
      </w:hyperlink>
      <w:r w:rsidRPr="008D123B">
        <w:rPr>
          <w:rFonts w:ascii="Arial" w:eastAsia="Times New Roman" w:hAnsi="Arial" w:cs="Arial"/>
          <w:kern w:val="0"/>
          <w:sz w:val="22"/>
          <w:szCs w:val="22"/>
          <w:lang w:eastAsia="en-GB"/>
          <w14:ligatures w14:val="none"/>
        </w:rPr>
        <w:t xml:space="preserve"> (Accessed: March 2026)</w:t>
      </w:r>
      <w:r w:rsidR="00A87C90">
        <w:rPr>
          <w:rFonts w:ascii="Arial" w:eastAsia="Times New Roman" w:hAnsi="Arial" w:cs="Arial"/>
          <w:kern w:val="0"/>
          <w:sz w:val="22"/>
          <w:szCs w:val="22"/>
          <w:lang w:eastAsia="en-GB"/>
          <w14:ligatures w14:val="none"/>
        </w:rPr>
        <w:t>.</w:t>
      </w:r>
    </w:p>
    <w:p w14:paraId="3E4470E5" w14:textId="77777777" w:rsidR="00100854" w:rsidRDefault="00100854" w:rsidP="00100854">
      <w:pPr>
        <w:spacing w:after="0" w:line="300" w:lineRule="atLeast"/>
        <w:rPr>
          <w:rFonts w:ascii="Arial" w:eastAsia="Times New Roman" w:hAnsi="Arial" w:cs="Arial"/>
          <w:kern w:val="0"/>
          <w:sz w:val="22"/>
          <w:szCs w:val="22"/>
          <w:lang w:eastAsia="en-GB"/>
          <w14:ligatures w14:val="none"/>
        </w:rPr>
      </w:pPr>
    </w:p>
    <w:p w14:paraId="62ABC66C" w14:textId="1BD41B16" w:rsidR="00100854" w:rsidRDefault="00100854" w:rsidP="00100854">
      <w:pPr>
        <w:spacing w:after="0" w:line="300" w:lineRule="atLeast"/>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National Crime Agency (2026) NCA Launches the National Strategic Assessment 2026. </w:t>
      </w:r>
      <w:r>
        <w:rPr>
          <w:rFonts w:ascii="Arial" w:eastAsia="Times New Roman" w:hAnsi="Arial" w:cs="Arial"/>
          <w:i/>
          <w:iCs/>
          <w:kern w:val="0"/>
          <w:sz w:val="22"/>
          <w:szCs w:val="22"/>
          <w:lang w:eastAsia="en-GB"/>
          <w14:ligatures w14:val="none"/>
        </w:rPr>
        <w:t xml:space="preserve">NCA. </w:t>
      </w:r>
      <w:r>
        <w:rPr>
          <w:rFonts w:ascii="Arial" w:eastAsia="Times New Roman" w:hAnsi="Arial" w:cs="Arial"/>
          <w:kern w:val="0"/>
          <w:sz w:val="22"/>
          <w:szCs w:val="22"/>
          <w:lang w:eastAsia="en-GB"/>
          <w14:ligatures w14:val="none"/>
        </w:rPr>
        <w:t xml:space="preserve">Available at: </w:t>
      </w:r>
      <w:r w:rsidRPr="00DD7042">
        <w:rPr>
          <w:rFonts w:ascii="Arial" w:eastAsia="Times New Roman" w:hAnsi="Arial" w:cs="Arial"/>
          <w:kern w:val="0"/>
          <w:sz w:val="22"/>
          <w:szCs w:val="22"/>
          <w:lang w:eastAsia="en-GB"/>
          <w14:ligatures w14:val="none"/>
        </w:rPr>
        <w:t xml:space="preserve">https://www.nationalcrimeagency.gov.uk/news/nca-launches-the-national-strategic-assessment-2026 </w:t>
      </w:r>
      <w:r>
        <w:rPr>
          <w:rFonts w:ascii="Arial" w:eastAsia="Times New Roman" w:hAnsi="Arial" w:cs="Arial"/>
          <w:kern w:val="0"/>
          <w:sz w:val="22"/>
          <w:szCs w:val="22"/>
          <w:lang w:eastAsia="en-GB"/>
          <w14:ligatures w14:val="none"/>
        </w:rPr>
        <w:t>(Accessed: March 2026)</w:t>
      </w:r>
      <w:r w:rsidR="00A87C90">
        <w:rPr>
          <w:rFonts w:ascii="Arial" w:eastAsia="Times New Roman" w:hAnsi="Arial" w:cs="Arial"/>
          <w:kern w:val="0"/>
          <w:sz w:val="22"/>
          <w:szCs w:val="22"/>
          <w:lang w:eastAsia="en-GB"/>
          <w14:ligatures w14:val="none"/>
        </w:rPr>
        <w:t>.</w:t>
      </w:r>
    </w:p>
    <w:p w14:paraId="72E81724" w14:textId="77777777" w:rsidR="00100854" w:rsidRDefault="00100854" w:rsidP="00100854">
      <w:pPr>
        <w:spacing w:after="0" w:line="300" w:lineRule="atLeast"/>
        <w:rPr>
          <w:rFonts w:ascii="Arial" w:eastAsia="Times New Roman" w:hAnsi="Arial" w:cs="Arial"/>
          <w:kern w:val="0"/>
          <w:sz w:val="22"/>
          <w:szCs w:val="22"/>
          <w:lang w:eastAsia="en-GB"/>
          <w14:ligatures w14:val="none"/>
        </w:rPr>
      </w:pPr>
    </w:p>
    <w:p w14:paraId="4CCCAE39" w14:textId="77777777" w:rsidR="00100854" w:rsidRPr="00E72A11" w:rsidRDefault="00100854" w:rsidP="00100854">
      <w:pPr>
        <w:spacing w:after="0" w:line="300" w:lineRule="atLeast"/>
        <w:rPr>
          <w:rFonts w:ascii="Arial" w:eastAsia="Times New Roman" w:hAnsi="Arial" w:cs="Arial"/>
          <w:kern w:val="0"/>
          <w:sz w:val="22"/>
          <w:szCs w:val="22"/>
          <w:lang w:eastAsia="en-GB"/>
          <w14:ligatures w14:val="none"/>
        </w:rPr>
      </w:pPr>
      <w:r w:rsidRPr="00E24839">
        <w:rPr>
          <w:rFonts w:ascii="Arial" w:eastAsia="Times New Roman" w:hAnsi="Arial" w:cs="Arial"/>
          <w:kern w:val="0"/>
          <w:sz w:val="22"/>
          <w:szCs w:val="22"/>
          <w:lang w:eastAsia="en-GB"/>
          <w14:ligatures w14:val="none"/>
        </w:rPr>
        <w:t>Serious Organise Crime Agency (SOCA) (2011) “Annual Report and Accounts 2010/11,” Home Office. Available at: https://assets.publishing.service.gov.uk/media/5a7c3312e5274a1f5cc76744/1241.pdf (Accessed: March 2026)</w:t>
      </w:r>
      <w:r>
        <w:rPr>
          <w:rFonts w:ascii="Arial" w:eastAsia="Times New Roman" w:hAnsi="Arial" w:cs="Arial"/>
          <w:kern w:val="0"/>
          <w:sz w:val="22"/>
          <w:szCs w:val="22"/>
          <w:lang w:eastAsia="en-GB"/>
          <w14:ligatures w14:val="none"/>
        </w:rPr>
        <w:t>.</w:t>
      </w:r>
    </w:p>
    <w:p w14:paraId="63449B25" w14:textId="77777777" w:rsidR="00100854" w:rsidRDefault="00100854" w:rsidP="00100854">
      <w:pPr>
        <w:spacing w:after="0" w:line="240" w:lineRule="auto"/>
        <w:rPr>
          <w:rFonts w:ascii="Arial" w:eastAsia="Times New Roman" w:hAnsi="Arial" w:cs="Arial"/>
          <w:kern w:val="0"/>
          <w:sz w:val="22"/>
          <w:szCs w:val="22"/>
          <w:lang w:eastAsia="en-GB"/>
          <w14:ligatures w14:val="none"/>
        </w:rPr>
      </w:pPr>
    </w:p>
    <w:p w14:paraId="5A00BD7F" w14:textId="77777777" w:rsidR="00100854" w:rsidRPr="00E04135" w:rsidRDefault="00100854" w:rsidP="00100854">
      <w:pPr>
        <w:spacing w:after="0" w:line="240" w:lineRule="auto"/>
        <w:rPr>
          <w:rFonts w:ascii="Arial" w:eastAsia="Times New Roman" w:hAnsi="Arial" w:cs="Arial"/>
          <w:kern w:val="0"/>
          <w:sz w:val="22"/>
          <w:szCs w:val="22"/>
          <w:lang w:eastAsia="en-GB"/>
          <w14:ligatures w14:val="none"/>
        </w:rPr>
      </w:pPr>
      <w:r w:rsidRPr="00E04135">
        <w:rPr>
          <w:rFonts w:ascii="Arial" w:hAnsi="Arial" w:cs="Arial"/>
          <w:color w:val="3A3A3A"/>
          <w:sz w:val="22"/>
          <w:szCs w:val="22"/>
          <w:shd w:val="clear" w:color="auto" w:fill="FFFFFF"/>
        </w:rPr>
        <w:t>Skidmore, M. Crocker, R. Webb, S. Gill, M. Garner, S and Graham, J</w:t>
      </w:r>
      <w:r w:rsidRPr="00E04135">
        <w:rPr>
          <w:rFonts w:ascii="Arial" w:eastAsia="Times New Roman" w:hAnsi="Arial" w:cs="Arial"/>
          <w:kern w:val="0"/>
          <w:sz w:val="22"/>
          <w:szCs w:val="22"/>
          <w:lang w:eastAsia="en-GB"/>
          <w14:ligatures w14:val="none"/>
        </w:rPr>
        <w:t xml:space="preserve"> </w:t>
      </w:r>
      <w:r w:rsidRPr="00290155">
        <w:rPr>
          <w:rFonts w:ascii="Arial" w:eastAsia="Times New Roman" w:hAnsi="Arial" w:cs="Arial"/>
          <w:kern w:val="0"/>
          <w:sz w:val="22"/>
          <w:szCs w:val="22"/>
          <w:lang w:eastAsia="en-GB"/>
          <w14:ligatures w14:val="none"/>
        </w:rPr>
        <w:t xml:space="preserve">(2020) “Peeling back the layers of organised crime in local communities: integrating data and analyses to strengthen the narrative,” </w:t>
      </w:r>
      <w:r w:rsidRPr="00290155">
        <w:rPr>
          <w:rFonts w:ascii="Arial" w:eastAsia="Times New Roman" w:hAnsi="Arial" w:cs="Arial"/>
          <w:i/>
          <w:iCs/>
          <w:kern w:val="0"/>
          <w:sz w:val="22"/>
          <w:szCs w:val="22"/>
          <w:lang w:eastAsia="en-GB"/>
          <w14:ligatures w14:val="none"/>
        </w:rPr>
        <w:t>Crime prevention and community safety</w:t>
      </w:r>
      <w:r w:rsidRPr="00290155">
        <w:rPr>
          <w:rFonts w:ascii="Arial" w:eastAsia="Times New Roman" w:hAnsi="Arial" w:cs="Arial"/>
          <w:kern w:val="0"/>
          <w:sz w:val="22"/>
          <w:szCs w:val="22"/>
          <w:lang w:eastAsia="en-GB"/>
          <w14:ligatures w14:val="none"/>
        </w:rPr>
        <w:t xml:space="preserve">, 22(3), pp. 191–209. Available at: </w:t>
      </w:r>
      <w:hyperlink r:id="rId21" w:history="1">
        <w:r w:rsidRPr="00290155">
          <w:rPr>
            <w:rStyle w:val="Hyperlink"/>
            <w:rFonts w:ascii="Arial" w:eastAsia="Times New Roman" w:hAnsi="Arial" w:cs="Arial"/>
            <w:kern w:val="0"/>
            <w:sz w:val="22"/>
            <w:szCs w:val="22"/>
            <w:lang w:eastAsia="en-GB"/>
            <w14:ligatures w14:val="none"/>
          </w:rPr>
          <w:t>https://doi.org/10.1057/s41300-020-00092-9</w:t>
        </w:r>
      </w:hyperlink>
      <w:r w:rsidRPr="00290155">
        <w:rPr>
          <w:rFonts w:ascii="Arial" w:eastAsia="Times New Roman" w:hAnsi="Arial" w:cs="Arial"/>
          <w:kern w:val="0"/>
          <w:sz w:val="22"/>
          <w:szCs w:val="22"/>
          <w:lang w:eastAsia="en-GB"/>
          <w14:ligatures w14:val="none"/>
        </w:rPr>
        <w:t>.</w:t>
      </w:r>
    </w:p>
    <w:p w14:paraId="6B0821F4" w14:textId="77777777" w:rsidR="00100854" w:rsidRPr="00290155" w:rsidRDefault="00100854" w:rsidP="00100854">
      <w:pPr>
        <w:spacing w:after="0" w:line="240" w:lineRule="auto"/>
        <w:rPr>
          <w:rFonts w:ascii="Arial" w:eastAsia="Times New Roman" w:hAnsi="Arial" w:cs="Arial"/>
          <w:kern w:val="0"/>
          <w:sz w:val="22"/>
          <w:szCs w:val="22"/>
          <w:lang w:eastAsia="en-GB"/>
          <w14:ligatures w14:val="none"/>
        </w:rPr>
      </w:pPr>
    </w:p>
    <w:p w14:paraId="320B89F3" w14:textId="77777777" w:rsidR="00100854" w:rsidRDefault="00100854" w:rsidP="00100854">
      <w:pPr>
        <w:spacing w:after="0" w:line="240" w:lineRule="auto"/>
        <w:rPr>
          <w:rFonts w:ascii="Arial" w:eastAsia="Times New Roman" w:hAnsi="Arial" w:cs="Arial"/>
          <w:kern w:val="0"/>
          <w:sz w:val="22"/>
          <w:szCs w:val="22"/>
          <w:lang w:eastAsia="en-GB"/>
          <w14:ligatures w14:val="none"/>
        </w:rPr>
      </w:pPr>
      <w:proofErr w:type="spellStart"/>
      <w:r w:rsidRPr="00E24839">
        <w:rPr>
          <w:rFonts w:ascii="Arial" w:eastAsia="Times New Roman" w:hAnsi="Arial" w:cs="Arial"/>
          <w:kern w:val="0"/>
          <w:sz w:val="22"/>
          <w:szCs w:val="22"/>
          <w:lang w:eastAsia="en-GB"/>
          <w14:ligatures w14:val="none"/>
        </w:rPr>
        <w:t>Sorell</w:t>
      </w:r>
      <w:proofErr w:type="spellEnd"/>
      <w:r w:rsidRPr="00E24839">
        <w:rPr>
          <w:rFonts w:ascii="Arial" w:eastAsia="Times New Roman" w:hAnsi="Arial" w:cs="Arial"/>
          <w:kern w:val="0"/>
          <w:sz w:val="22"/>
          <w:szCs w:val="22"/>
          <w:lang w:eastAsia="en-GB"/>
          <w14:ligatures w14:val="none"/>
        </w:rPr>
        <w:t>, T. (2018) “Organized Crime and Preventive Justice,” Ethical theory and moral practice, 21(1), pp. 137–153. Available at: https://doi.org/10.1007/s10677-017-9861-7.</w:t>
      </w:r>
    </w:p>
    <w:p w14:paraId="7FB7EFF0" w14:textId="77777777" w:rsidR="00100854" w:rsidRDefault="00100854" w:rsidP="00100854">
      <w:pPr>
        <w:spacing w:after="0" w:line="240" w:lineRule="auto"/>
        <w:rPr>
          <w:rFonts w:ascii="Arial" w:eastAsia="Times New Roman" w:hAnsi="Arial" w:cs="Arial"/>
          <w:kern w:val="0"/>
          <w:sz w:val="22"/>
          <w:szCs w:val="22"/>
          <w:lang w:eastAsia="en-GB"/>
          <w14:ligatures w14:val="none"/>
        </w:rPr>
      </w:pPr>
    </w:p>
    <w:p w14:paraId="337B54CD" w14:textId="37D8570C" w:rsidR="00100854" w:rsidRPr="008D123B" w:rsidRDefault="00100854" w:rsidP="00100854">
      <w:pPr>
        <w:spacing w:after="0" w:line="240" w:lineRule="auto"/>
        <w:rPr>
          <w:rFonts w:ascii="Arial" w:eastAsia="Times New Roman" w:hAnsi="Arial" w:cs="Arial"/>
          <w:kern w:val="0"/>
          <w:sz w:val="22"/>
          <w:szCs w:val="22"/>
          <w:lang w:eastAsia="en-GB"/>
          <w14:ligatures w14:val="none"/>
        </w:rPr>
      </w:pPr>
      <w:r w:rsidRPr="00DA5766">
        <w:rPr>
          <w:rFonts w:ascii="Arial" w:eastAsia="Times New Roman" w:hAnsi="Arial" w:cs="Arial"/>
          <w:kern w:val="0"/>
          <w:sz w:val="22"/>
          <w:szCs w:val="22"/>
          <w:lang w:eastAsia="en-GB"/>
          <w14:ligatures w14:val="none"/>
        </w:rPr>
        <w:t xml:space="preserve">Sproat, P.A. (2012) “Phoney war or appeasement? The policing of organised crime in the UK,” </w:t>
      </w:r>
      <w:r w:rsidRPr="00DA5766">
        <w:rPr>
          <w:rFonts w:ascii="Arial" w:eastAsia="Times New Roman" w:hAnsi="Arial" w:cs="Arial"/>
          <w:i/>
          <w:iCs/>
          <w:kern w:val="0"/>
          <w:sz w:val="22"/>
          <w:szCs w:val="22"/>
          <w:lang w:eastAsia="en-GB"/>
          <w14:ligatures w14:val="none"/>
        </w:rPr>
        <w:t>Trends in organized crime</w:t>
      </w:r>
      <w:r w:rsidRPr="00DA5766">
        <w:rPr>
          <w:rFonts w:ascii="Arial" w:eastAsia="Times New Roman" w:hAnsi="Arial" w:cs="Arial"/>
          <w:kern w:val="0"/>
          <w:sz w:val="22"/>
          <w:szCs w:val="22"/>
          <w:lang w:eastAsia="en-GB"/>
          <w14:ligatures w14:val="none"/>
        </w:rPr>
        <w:t>, 15(4), pp. 313–330. Available at: https://doi.org/10.1007/s12117-012-9154-4.</w:t>
      </w:r>
    </w:p>
    <w:p w14:paraId="1D70F9FE" w14:textId="77777777" w:rsidR="00100854" w:rsidRPr="008D123B" w:rsidRDefault="00100854" w:rsidP="00100854">
      <w:pPr>
        <w:spacing w:after="0" w:line="240" w:lineRule="auto"/>
        <w:rPr>
          <w:rFonts w:ascii="Arial" w:eastAsia="Times New Roman" w:hAnsi="Arial" w:cs="Arial"/>
          <w:kern w:val="0"/>
          <w:sz w:val="22"/>
          <w:szCs w:val="22"/>
          <w:lang w:eastAsia="en-GB"/>
          <w14:ligatures w14:val="none"/>
        </w:rPr>
      </w:pPr>
      <w:r w:rsidRPr="0066526E">
        <w:rPr>
          <w:rFonts w:ascii="Arial" w:eastAsia="Times New Roman" w:hAnsi="Arial" w:cs="Arial"/>
          <w:kern w:val="0"/>
          <w:sz w:val="22"/>
          <w:szCs w:val="22"/>
          <w:lang w:eastAsia="en-GB"/>
          <w14:ligatures w14:val="none"/>
        </w:rPr>
        <w:lastRenderedPageBreak/>
        <w:t xml:space="preserve">Williams, G.W.E. (2012) “Policy implications of different theoretical approaches to organised crime,” </w:t>
      </w:r>
      <w:r w:rsidRPr="0066526E">
        <w:rPr>
          <w:rFonts w:ascii="Arial" w:eastAsia="Times New Roman" w:hAnsi="Arial" w:cs="Arial"/>
          <w:i/>
          <w:iCs/>
          <w:kern w:val="0"/>
          <w:sz w:val="22"/>
          <w:szCs w:val="22"/>
          <w:lang w:eastAsia="en-GB"/>
          <w14:ligatures w14:val="none"/>
        </w:rPr>
        <w:t>Journal of financial crime</w:t>
      </w:r>
      <w:r w:rsidRPr="0066526E">
        <w:rPr>
          <w:rFonts w:ascii="Arial" w:eastAsia="Times New Roman" w:hAnsi="Arial" w:cs="Arial"/>
          <w:kern w:val="0"/>
          <w:sz w:val="22"/>
          <w:szCs w:val="22"/>
          <w:lang w:eastAsia="en-GB"/>
          <w14:ligatures w14:val="none"/>
        </w:rPr>
        <w:t xml:space="preserve">, 19(4), pp. 400–409. Available at: </w:t>
      </w:r>
      <w:hyperlink r:id="rId22" w:history="1">
        <w:r w:rsidRPr="0066526E">
          <w:rPr>
            <w:rStyle w:val="Hyperlink"/>
            <w:rFonts w:ascii="Arial" w:eastAsia="Times New Roman" w:hAnsi="Arial" w:cs="Arial"/>
            <w:kern w:val="0"/>
            <w:sz w:val="22"/>
            <w:szCs w:val="22"/>
            <w:lang w:eastAsia="en-GB"/>
            <w14:ligatures w14:val="none"/>
          </w:rPr>
          <w:t>https://doi.org/10.1108/13590791211266386</w:t>
        </w:r>
      </w:hyperlink>
      <w:r w:rsidRPr="0066526E">
        <w:rPr>
          <w:rFonts w:ascii="Arial" w:eastAsia="Times New Roman" w:hAnsi="Arial" w:cs="Arial"/>
          <w:kern w:val="0"/>
          <w:sz w:val="22"/>
          <w:szCs w:val="22"/>
          <w:lang w:eastAsia="en-GB"/>
          <w14:ligatures w14:val="none"/>
        </w:rPr>
        <w:t>.</w:t>
      </w:r>
    </w:p>
    <w:p w14:paraId="12333D9F" w14:textId="77777777" w:rsidR="00100854" w:rsidRPr="008D123B" w:rsidRDefault="00100854" w:rsidP="00100854">
      <w:pPr>
        <w:spacing w:after="0" w:line="240" w:lineRule="auto"/>
        <w:rPr>
          <w:rFonts w:ascii="Arial" w:eastAsia="Times New Roman" w:hAnsi="Arial" w:cs="Arial"/>
          <w:kern w:val="0"/>
          <w:sz w:val="22"/>
          <w:szCs w:val="22"/>
          <w:lang w:eastAsia="en-GB"/>
          <w14:ligatures w14:val="none"/>
        </w:rPr>
      </w:pPr>
    </w:p>
    <w:p w14:paraId="52CFC704" w14:textId="77777777" w:rsidR="00100854" w:rsidRPr="008D123B" w:rsidRDefault="00100854" w:rsidP="00100854">
      <w:pPr>
        <w:spacing w:after="0" w:line="240" w:lineRule="auto"/>
        <w:rPr>
          <w:rFonts w:ascii="Arial" w:eastAsia="Times New Roman" w:hAnsi="Arial" w:cs="Arial"/>
          <w:kern w:val="0"/>
          <w:sz w:val="22"/>
          <w:szCs w:val="22"/>
          <w:lang w:eastAsia="en-GB"/>
          <w14:ligatures w14:val="none"/>
        </w:rPr>
      </w:pPr>
      <w:proofErr w:type="spellStart"/>
      <w:r w:rsidRPr="00D4665E">
        <w:rPr>
          <w:rFonts w:ascii="Arial" w:eastAsia="Times New Roman" w:hAnsi="Arial" w:cs="Arial"/>
          <w:kern w:val="0"/>
          <w:sz w:val="22"/>
          <w:szCs w:val="22"/>
          <w:lang w:eastAsia="en-GB"/>
          <w14:ligatures w14:val="none"/>
        </w:rPr>
        <w:t>Zoutendijk</w:t>
      </w:r>
      <w:proofErr w:type="spellEnd"/>
      <w:r w:rsidRPr="00D4665E">
        <w:rPr>
          <w:rFonts w:ascii="Arial" w:eastAsia="Times New Roman" w:hAnsi="Arial" w:cs="Arial"/>
          <w:kern w:val="0"/>
          <w:sz w:val="22"/>
          <w:szCs w:val="22"/>
          <w:lang w:eastAsia="en-GB"/>
          <w14:ligatures w14:val="none"/>
        </w:rPr>
        <w:t xml:space="preserve">, A.J. (2010) “Organised crime threat assessments: a critical review,” </w:t>
      </w:r>
      <w:r w:rsidRPr="00D4665E">
        <w:rPr>
          <w:rFonts w:ascii="Arial" w:eastAsia="Times New Roman" w:hAnsi="Arial" w:cs="Arial"/>
          <w:i/>
          <w:iCs/>
          <w:kern w:val="0"/>
          <w:sz w:val="22"/>
          <w:szCs w:val="22"/>
          <w:lang w:eastAsia="en-GB"/>
          <w14:ligatures w14:val="none"/>
        </w:rPr>
        <w:t>Crime, law, and social change</w:t>
      </w:r>
      <w:r w:rsidRPr="00D4665E">
        <w:rPr>
          <w:rFonts w:ascii="Arial" w:eastAsia="Times New Roman" w:hAnsi="Arial" w:cs="Arial"/>
          <w:kern w:val="0"/>
          <w:sz w:val="22"/>
          <w:szCs w:val="22"/>
          <w:lang w:eastAsia="en-GB"/>
          <w14:ligatures w14:val="none"/>
        </w:rPr>
        <w:t xml:space="preserve">, 54(1), pp. 63–86. Available at: </w:t>
      </w:r>
      <w:hyperlink r:id="rId23" w:history="1">
        <w:r w:rsidRPr="00D4665E">
          <w:rPr>
            <w:rStyle w:val="Hyperlink"/>
            <w:rFonts w:ascii="Arial" w:eastAsia="Times New Roman" w:hAnsi="Arial" w:cs="Arial"/>
            <w:kern w:val="0"/>
            <w:sz w:val="22"/>
            <w:szCs w:val="22"/>
            <w:lang w:eastAsia="en-GB"/>
            <w14:ligatures w14:val="none"/>
          </w:rPr>
          <w:t>https://doi.org/10.1007/s10611-010-9244-7</w:t>
        </w:r>
      </w:hyperlink>
      <w:r w:rsidRPr="00D4665E">
        <w:rPr>
          <w:rFonts w:ascii="Arial" w:eastAsia="Times New Roman" w:hAnsi="Arial" w:cs="Arial"/>
          <w:kern w:val="0"/>
          <w:sz w:val="22"/>
          <w:szCs w:val="22"/>
          <w:lang w:eastAsia="en-GB"/>
          <w14:ligatures w14:val="none"/>
        </w:rPr>
        <w:t>.</w:t>
      </w:r>
    </w:p>
    <w:p w14:paraId="663821A6" w14:textId="77777777" w:rsidR="00100854" w:rsidRDefault="00100854" w:rsidP="00DB11B3">
      <w:pPr>
        <w:rPr>
          <w:color w:val="FF0000"/>
        </w:rPr>
      </w:pPr>
    </w:p>
    <w:sectPr w:rsidR="00100854" w:rsidSect="00D11D34">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41C8B" w14:textId="77777777" w:rsidR="00B47580" w:rsidRDefault="00B47580" w:rsidP="00D11D34">
      <w:pPr>
        <w:spacing w:after="0" w:line="240" w:lineRule="auto"/>
      </w:pPr>
      <w:r>
        <w:separator/>
      </w:r>
    </w:p>
  </w:endnote>
  <w:endnote w:type="continuationSeparator" w:id="0">
    <w:p w14:paraId="06B736C1" w14:textId="77777777" w:rsidR="00B47580" w:rsidRDefault="00B47580" w:rsidP="00D11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643719"/>
      <w:docPartObj>
        <w:docPartGallery w:val="Page Numbers (Bottom of Page)"/>
        <w:docPartUnique/>
      </w:docPartObj>
    </w:sdtPr>
    <w:sdtEndPr>
      <w:rPr>
        <w:noProof/>
      </w:rPr>
    </w:sdtEndPr>
    <w:sdtContent>
      <w:p w14:paraId="752DC1F8" w14:textId="628CE2F2" w:rsidR="00D11D34" w:rsidRDefault="00D11D34">
        <w:pPr>
          <w:pStyle w:val="Footer"/>
          <w:rPr>
            <w:noProof/>
          </w:rP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B2D9965" w14:textId="693C29F1" w:rsidR="00D11D34" w:rsidRDefault="00D11D34" w:rsidP="00D11D34">
    <w:pPr>
      <w:pStyle w:val="Footer"/>
      <w:jc w:val="center"/>
    </w:pPr>
    <w:r w:rsidRPr="00D11D34">
      <w:t>BMPO7006D – Contemporary Issues in Policing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2CF91" w14:textId="77777777" w:rsidR="00B47580" w:rsidRDefault="00B47580" w:rsidP="00D11D34">
      <w:pPr>
        <w:spacing w:after="0" w:line="240" w:lineRule="auto"/>
      </w:pPr>
      <w:r>
        <w:separator/>
      </w:r>
    </w:p>
  </w:footnote>
  <w:footnote w:type="continuationSeparator" w:id="0">
    <w:p w14:paraId="356D4525" w14:textId="77777777" w:rsidR="00B47580" w:rsidRDefault="00B47580" w:rsidP="00D11D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11E13"/>
    <w:multiLevelType w:val="hybridMultilevel"/>
    <w:tmpl w:val="E7962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2C7067"/>
    <w:multiLevelType w:val="hybridMultilevel"/>
    <w:tmpl w:val="EE525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DA7838"/>
    <w:multiLevelType w:val="hybridMultilevel"/>
    <w:tmpl w:val="8876A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296151">
    <w:abstractNumId w:val="1"/>
  </w:num>
  <w:num w:numId="2" w16cid:durableId="391199035">
    <w:abstractNumId w:val="2"/>
  </w:num>
  <w:num w:numId="3" w16cid:durableId="270404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34"/>
    <w:rsid w:val="00000794"/>
    <w:rsid w:val="00002F1F"/>
    <w:rsid w:val="0000310A"/>
    <w:rsid w:val="00003199"/>
    <w:rsid w:val="00005321"/>
    <w:rsid w:val="0001093E"/>
    <w:rsid w:val="00013130"/>
    <w:rsid w:val="000169FF"/>
    <w:rsid w:val="00020DFF"/>
    <w:rsid w:val="00022118"/>
    <w:rsid w:val="00023EA8"/>
    <w:rsid w:val="0002415A"/>
    <w:rsid w:val="000254AE"/>
    <w:rsid w:val="00026A6B"/>
    <w:rsid w:val="000327A9"/>
    <w:rsid w:val="000346E3"/>
    <w:rsid w:val="000370BE"/>
    <w:rsid w:val="00040DA5"/>
    <w:rsid w:val="00042651"/>
    <w:rsid w:val="0004434B"/>
    <w:rsid w:val="00051FBF"/>
    <w:rsid w:val="0005204F"/>
    <w:rsid w:val="00053C95"/>
    <w:rsid w:val="00055CC8"/>
    <w:rsid w:val="000575E5"/>
    <w:rsid w:val="0006148A"/>
    <w:rsid w:val="000651D6"/>
    <w:rsid w:val="00065A38"/>
    <w:rsid w:val="00066D06"/>
    <w:rsid w:val="00067916"/>
    <w:rsid w:val="000740E6"/>
    <w:rsid w:val="00074EE1"/>
    <w:rsid w:val="000761E6"/>
    <w:rsid w:val="00076ABB"/>
    <w:rsid w:val="0008627C"/>
    <w:rsid w:val="000868FB"/>
    <w:rsid w:val="00087999"/>
    <w:rsid w:val="00091FC4"/>
    <w:rsid w:val="000929C5"/>
    <w:rsid w:val="000962B8"/>
    <w:rsid w:val="00096444"/>
    <w:rsid w:val="000A1F16"/>
    <w:rsid w:val="000A2E64"/>
    <w:rsid w:val="000A53A9"/>
    <w:rsid w:val="000A7753"/>
    <w:rsid w:val="000B44EF"/>
    <w:rsid w:val="000B710F"/>
    <w:rsid w:val="000C37C9"/>
    <w:rsid w:val="000D0B82"/>
    <w:rsid w:val="000D6219"/>
    <w:rsid w:val="000D7B00"/>
    <w:rsid w:val="000E323C"/>
    <w:rsid w:val="000E534B"/>
    <w:rsid w:val="000F0469"/>
    <w:rsid w:val="000F3C86"/>
    <w:rsid w:val="000F4184"/>
    <w:rsid w:val="000F67A7"/>
    <w:rsid w:val="000F6DE7"/>
    <w:rsid w:val="000F73B8"/>
    <w:rsid w:val="00100854"/>
    <w:rsid w:val="001037CF"/>
    <w:rsid w:val="00107C28"/>
    <w:rsid w:val="001161F2"/>
    <w:rsid w:val="00123C9B"/>
    <w:rsid w:val="00124AB8"/>
    <w:rsid w:val="00124E34"/>
    <w:rsid w:val="001278D0"/>
    <w:rsid w:val="00132556"/>
    <w:rsid w:val="00144861"/>
    <w:rsid w:val="00145746"/>
    <w:rsid w:val="0014687F"/>
    <w:rsid w:val="00146C72"/>
    <w:rsid w:val="001547A3"/>
    <w:rsid w:val="001557E8"/>
    <w:rsid w:val="00161B7D"/>
    <w:rsid w:val="00161E3D"/>
    <w:rsid w:val="00161F6F"/>
    <w:rsid w:val="0018593A"/>
    <w:rsid w:val="00185C80"/>
    <w:rsid w:val="00186293"/>
    <w:rsid w:val="00190365"/>
    <w:rsid w:val="00192DDD"/>
    <w:rsid w:val="00194989"/>
    <w:rsid w:val="00197E29"/>
    <w:rsid w:val="001A2DE7"/>
    <w:rsid w:val="001A5BA7"/>
    <w:rsid w:val="001B1A25"/>
    <w:rsid w:val="001C0FE7"/>
    <w:rsid w:val="001C2EB1"/>
    <w:rsid w:val="001C7696"/>
    <w:rsid w:val="001D1D73"/>
    <w:rsid w:val="001D2D66"/>
    <w:rsid w:val="001E08C8"/>
    <w:rsid w:val="001E3F48"/>
    <w:rsid w:val="001E5853"/>
    <w:rsid w:val="001F0B54"/>
    <w:rsid w:val="001F28B6"/>
    <w:rsid w:val="001F2901"/>
    <w:rsid w:val="001F6F47"/>
    <w:rsid w:val="00201E57"/>
    <w:rsid w:val="0020228F"/>
    <w:rsid w:val="00202CE7"/>
    <w:rsid w:val="0020706E"/>
    <w:rsid w:val="00214A36"/>
    <w:rsid w:val="00215FD5"/>
    <w:rsid w:val="0022446C"/>
    <w:rsid w:val="002279E6"/>
    <w:rsid w:val="0023056C"/>
    <w:rsid w:val="00232B06"/>
    <w:rsid w:val="0023695D"/>
    <w:rsid w:val="00242B9B"/>
    <w:rsid w:val="00243045"/>
    <w:rsid w:val="002434A5"/>
    <w:rsid w:val="002440E5"/>
    <w:rsid w:val="00251A84"/>
    <w:rsid w:val="00264E7C"/>
    <w:rsid w:val="002664AB"/>
    <w:rsid w:val="002704F8"/>
    <w:rsid w:val="002728AC"/>
    <w:rsid w:val="00274647"/>
    <w:rsid w:val="002775EC"/>
    <w:rsid w:val="00281B26"/>
    <w:rsid w:val="00287F14"/>
    <w:rsid w:val="00294004"/>
    <w:rsid w:val="00296B2D"/>
    <w:rsid w:val="002A0A2E"/>
    <w:rsid w:val="002A7AEE"/>
    <w:rsid w:val="002B28A1"/>
    <w:rsid w:val="002B3262"/>
    <w:rsid w:val="002B671F"/>
    <w:rsid w:val="002C0BB7"/>
    <w:rsid w:val="002D1E96"/>
    <w:rsid w:val="002D2022"/>
    <w:rsid w:val="002D4002"/>
    <w:rsid w:val="002D7183"/>
    <w:rsid w:val="002E55FF"/>
    <w:rsid w:val="002F22AB"/>
    <w:rsid w:val="002F5988"/>
    <w:rsid w:val="00300186"/>
    <w:rsid w:val="00303145"/>
    <w:rsid w:val="00304A02"/>
    <w:rsid w:val="00306CC8"/>
    <w:rsid w:val="003076E2"/>
    <w:rsid w:val="003121FB"/>
    <w:rsid w:val="003157D5"/>
    <w:rsid w:val="00315F5D"/>
    <w:rsid w:val="0031709F"/>
    <w:rsid w:val="003464BF"/>
    <w:rsid w:val="00351DEB"/>
    <w:rsid w:val="003527D4"/>
    <w:rsid w:val="003544BA"/>
    <w:rsid w:val="00354886"/>
    <w:rsid w:val="00355E3B"/>
    <w:rsid w:val="0035638B"/>
    <w:rsid w:val="00356913"/>
    <w:rsid w:val="0036196A"/>
    <w:rsid w:val="0036216F"/>
    <w:rsid w:val="003632B7"/>
    <w:rsid w:val="00372F69"/>
    <w:rsid w:val="00381651"/>
    <w:rsid w:val="00391183"/>
    <w:rsid w:val="00392B9C"/>
    <w:rsid w:val="00393EBC"/>
    <w:rsid w:val="003A789D"/>
    <w:rsid w:val="003B0A65"/>
    <w:rsid w:val="003B2D79"/>
    <w:rsid w:val="003B74A0"/>
    <w:rsid w:val="003C0470"/>
    <w:rsid w:val="003C59D6"/>
    <w:rsid w:val="003C73B8"/>
    <w:rsid w:val="003D238C"/>
    <w:rsid w:val="003D386A"/>
    <w:rsid w:val="003D510C"/>
    <w:rsid w:val="003E04ED"/>
    <w:rsid w:val="003E1D73"/>
    <w:rsid w:val="003E60F7"/>
    <w:rsid w:val="003E640C"/>
    <w:rsid w:val="003F39D0"/>
    <w:rsid w:val="003F4195"/>
    <w:rsid w:val="003F5E13"/>
    <w:rsid w:val="004035C2"/>
    <w:rsid w:val="00405D0E"/>
    <w:rsid w:val="00417213"/>
    <w:rsid w:val="00423D5A"/>
    <w:rsid w:val="00424F4E"/>
    <w:rsid w:val="00434B64"/>
    <w:rsid w:val="00437538"/>
    <w:rsid w:val="004375BA"/>
    <w:rsid w:val="004400EC"/>
    <w:rsid w:val="004420FC"/>
    <w:rsid w:val="004421DC"/>
    <w:rsid w:val="00443FC6"/>
    <w:rsid w:val="004446A1"/>
    <w:rsid w:val="004534BA"/>
    <w:rsid w:val="0045669F"/>
    <w:rsid w:val="004645F8"/>
    <w:rsid w:val="00464F3C"/>
    <w:rsid w:val="004709DF"/>
    <w:rsid w:val="00475215"/>
    <w:rsid w:val="00475615"/>
    <w:rsid w:val="00476C85"/>
    <w:rsid w:val="00477632"/>
    <w:rsid w:val="00481E1E"/>
    <w:rsid w:val="0048372A"/>
    <w:rsid w:val="00491DD0"/>
    <w:rsid w:val="00493474"/>
    <w:rsid w:val="00494BAE"/>
    <w:rsid w:val="00495730"/>
    <w:rsid w:val="004978FD"/>
    <w:rsid w:val="004A0070"/>
    <w:rsid w:val="004A3244"/>
    <w:rsid w:val="004A44A6"/>
    <w:rsid w:val="004B5C35"/>
    <w:rsid w:val="004C413E"/>
    <w:rsid w:val="004C42D9"/>
    <w:rsid w:val="004D19C0"/>
    <w:rsid w:val="004D74F5"/>
    <w:rsid w:val="004D7D84"/>
    <w:rsid w:val="004E1DB8"/>
    <w:rsid w:val="004E316D"/>
    <w:rsid w:val="004F0BA2"/>
    <w:rsid w:val="004F4CA8"/>
    <w:rsid w:val="004F6851"/>
    <w:rsid w:val="005027FE"/>
    <w:rsid w:val="00503741"/>
    <w:rsid w:val="005054C8"/>
    <w:rsid w:val="005122AC"/>
    <w:rsid w:val="00514CF3"/>
    <w:rsid w:val="00515CD9"/>
    <w:rsid w:val="00516D10"/>
    <w:rsid w:val="005175F9"/>
    <w:rsid w:val="00517FCC"/>
    <w:rsid w:val="00524C9D"/>
    <w:rsid w:val="0052693F"/>
    <w:rsid w:val="00527A1D"/>
    <w:rsid w:val="005367E5"/>
    <w:rsid w:val="005415A2"/>
    <w:rsid w:val="005445CB"/>
    <w:rsid w:val="00544616"/>
    <w:rsid w:val="00546437"/>
    <w:rsid w:val="00546ED4"/>
    <w:rsid w:val="005473D8"/>
    <w:rsid w:val="00554941"/>
    <w:rsid w:val="005550E6"/>
    <w:rsid w:val="00555ADD"/>
    <w:rsid w:val="00556390"/>
    <w:rsid w:val="00557278"/>
    <w:rsid w:val="00571021"/>
    <w:rsid w:val="00572F56"/>
    <w:rsid w:val="0059776E"/>
    <w:rsid w:val="005A208C"/>
    <w:rsid w:val="005A5EB8"/>
    <w:rsid w:val="005A7771"/>
    <w:rsid w:val="005B11D4"/>
    <w:rsid w:val="005B5748"/>
    <w:rsid w:val="005B5C30"/>
    <w:rsid w:val="005B7A74"/>
    <w:rsid w:val="005C18F7"/>
    <w:rsid w:val="005C295D"/>
    <w:rsid w:val="005C3BDE"/>
    <w:rsid w:val="005C462B"/>
    <w:rsid w:val="005C54C2"/>
    <w:rsid w:val="005D67EF"/>
    <w:rsid w:val="005E12AB"/>
    <w:rsid w:val="005E1349"/>
    <w:rsid w:val="005E7182"/>
    <w:rsid w:val="005E73A1"/>
    <w:rsid w:val="005F0F79"/>
    <w:rsid w:val="005F748F"/>
    <w:rsid w:val="0060155A"/>
    <w:rsid w:val="00602D75"/>
    <w:rsid w:val="006059E7"/>
    <w:rsid w:val="00613C4A"/>
    <w:rsid w:val="00614975"/>
    <w:rsid w:val="00616E9D"/>
    <w:rsid w:val="0062091A"/>
    <w:rsid w:val="00621C0D"/>
    <w:rsid w:val="0062703B"/>
    <w:rsid w:val="00631ABD"/>
    <w:rsid w:val="00633D65"/>
    <w:rsid w:val="00634DDC"/>
    <w:rsid w:val="00640C0D"/>
    <w:rsid w:val="00641F78"/>
    <w:rsid w:val="006434A7"/>
    <w:rsid w:val="006468FB"/>
    <w:rsid w:val="00650E9B"/>
    <w:rsid w:val="00653565"/>
    <w:rsid w:val="00654A7F"/>
    <w:rsid w:val="0065581C"/>
    <w:rsid w:val="0065768F"/>
    <w:rsid w:val="0066097A"/>
    <w:rsid w:val="00663568"/>
    <w:rsid w:val="00673E6C"/>
    <w:rsid w:val="00676794"/>
    <w:rsid w:val="006829BA"/>
    <w:rsid w:val="00682F1F"/>
    <w:rsid w:val="006849AC"/>
    <w:rsid w:val="006851E5"/>
    <w:rsid w:val="00692D78"/>
    <w:rsid w:val="006933B9"/>
    <w:rsid w:val="00697F87"/>
    <w:rsid w:val="006A13E5"/>
    <w:rsid w:val="006A6298"/>
    <w:rsid w:val="006B1208"/>
    <w:rsid w:val="006B3816"/>
    <w:rsid w:val="006C1FD6"/>
    <w:rsid w:val="006C2D8F"/>
    <w:rsid w:val="006D1678"/>
    <w:rsid w:val="006D317E"/>
    <w:rsid w:val="006D3646"/>
    <w:rsid w:val="006D5B4D"/>
    <w:rsid w:val="006D7843"/>
    <w:rsid w:val="006E2471"/>
    <w:rsid w:val="006E487D"/>
    <w:rsid w:val="006E7344"/>
    <w:rsid w:val="006F6356"/>
    <w:rsid w:val="006F6443"/>
    <w:rsid w:val="00700658"/>
    <w:rsid w:val="007012F7"/>
    <w:rsid w:val="00701882"/>
    <w:rsid w:val="00703080"/>
    <w:rsid w:val="00704885"/>
    <w:rsid w:val="007050F9"/>
    <w:rsid w:val="00706825"/>
    <w:rsid w:val="00706929"/>
    <w:rsid w:val="00711E44"/>
    <w:rsid w:val="0071388E"/>
    <w:rsid w:val="00714B55"/>
    <w:rsid w:val="00715086"/>
    <w:rsid w:val="00722E9B"/>
    <w:rsid w:val="0072683F"/>
    <w:rsid w:val="00730C3A"/>
    <w:rsid w:val="00733685"/>
    <w:rsid w:val="0074059B"/>
    <w:rsid w:val="007433D1"/>
    <w:rsid w:val="0074411B"/>
    <w:rsid w:val="00744B95"/>
    <w:rsid w:val="00747BE2"/>
    <w:rsid w:val="0075078B"/>
    <w:rsid w:val="00751172"/>
    <w:rsid w:val="00752209"/>
    <w:rsid w:val="007546C2"/>
    <w:rsid w:val="00754C70"/>
    <w:rsid w:val="00754D79"/>
    <w:rsid w:val="00755770"/>
    <w:rsid w:val="00772026"/>
    <w:rsid w:val="00776988"/>
    <w:rsid w:val="0078021B"/>
    <w:rsid w:val="00784538"/>
    <w:rsid w:val="00785988"/>
    <w:rsid w:val="00787825"/>
    <w:rsid w:val="00790245"/>
    <w:rsid w:val="00791339"/>
    <w:rsid w:val="00797C66"/>
    <w:rsid w:val="007A5BF5"/>
    <w:rsid w:val="007B3A03"/>
    <w:rsid w:val="007B42AD"/>
    <w:rsid w:val="007B42BB"/>
    <w:rsid w:val="007B4488"/>
    <w:rsid w:val="007B6660"/>
    <w:rsid w:val="007C1278"/>
    <w:rsid w:val="007C1D15"/>
    <w:rsid w:val="007C5305"/>
    <w:rsid w:val="007D5662"/>
    <w:rsid w:val="007D5F2D"/>
    <w:rsid w:val="007E0CE2"/>
    <w:rsid w:val="007E2F10"/>
    <w:rsid w:val="007E578A"/>
    <w:rsid w:val="007F111F"/>
    <w:rsid w:val="007F27E8"/>
    <w:rsid w:val="007F399A"/>
    <w:rsid w:val="007F53FD"/>
    <w:rsid w:val="007F6E44"/>
    <w:rsid w:val="00800C66"/>
    <w:rsid w:val="00801B51"/>
    <w:rsid w:val="008053D2"/>
    <w:rsid w:val="008072C1"/>
    <w:rsid w:val="00814EA6"/>
    <w:rsid w:val="00817F64"/>
    <w:rsid w:val="0082035D"/>
    <w:rsid w:val="0082079A"/>
    <w:rsid w:val="008216AA"/>
    <w:rsid w:val="00822B07"/>
    <w:rsid w:val="00822BE3"/>
    <w:rsid w:val="008251DF"/>
    <w:rsid w:val="00827347"/>
    <w:rsid w:val="0083736F"/>
    <w:rsid w:val="00840F01"/>
    <w:rsid w:val="008413EB"/>
    <w:rsid w:val="00842C08"/>
    <w:rsid w:val="008521BD"/>
    <w:rsid w:val="00854702"/>
    <w:rsid w:val="0085610D"/>
    <w:rsid w:val="00856AFA"/>
    <w:rsid w:val="00861A47"/>
    <w:rsid w:val="00862626"/>
    <w:rsid w:val="008749AC"/>
    <w:rsid w:val="00885605"/>
    <w:rsid w:val="00885F55"/>
    <w:rsid w:val="008A1846"/>
    <w:rsid w:val="008A2508"/>
    <w:rsid w:val="008A5E85"/>
    <w:rsid w:val="008A696E"/>
    <w:rsid w:val="008A7478"/>
    <w:rsid w:val="008B4860"/>
    <w:rsid w:val="008B7E95"/>
    <w:rsid w:val="008C418B"/>
    <w:rsid w:val="008D5B6A"/>
    <w:rsid w:val="008D5BC3"/>
    <w:rsid w:val="008F0F73"/>
    <w:rsid w:val="008F5563"/>
    <w:rsid w:val="009226AE"/>
    <w:rsid w:val="00925ECD"/>
    <w:rsid w:val="00934261"/>
    <w:rsid w:val="00942F0B"/>
    <w:rsid w:val="00943DAF"/>
    <w:rsid w:val="00947C6F"/>
    <w:rsid w:val="009500F5"/>
    <w:rsid w:val="009510FE"/>
    <w:rsid w:val="00951500"/>
    <w:rsid w:val="0095253B"/>
    <w:rsid w:val="00956148"/>
    <w:rsid w:val="009612CA"/>
    <w:rsid w:val="009665B8"/>
    <w:rsid w:val="009719E5"/>
    <w:rsid w:val="0097226A"/>
    <w:rsid w:val="00975F25"/>
    <w:rsid w:val="009870F4"/>
    <w:rsid w:val="00991520"/>
    <w:rsid w:val="0099430B"/>
    <w:rsid w:val="00997E50"/>
    <w:rsid w:val="009A28D9"/>
    <w:rsid w:val="009A634E"/>
    <w:rsid w:val="009A698E"/>
    <w:rsid w:val="009A6C0B"/>
    <w:rsid w:val="009B0C39"/>
    <w:rsid w:val="009B114E"/>
    <w:rsid w:val="009B1834"/>
    <w:rsid w:val="009B2C97"/>
    <w:rsid w:val="009B6ABC"/>
    <w:rsid w:val="009C118C"/>
    <w:rsid w:val="009D12B0"/>
    <w:rsid w:val="009D4A98"/>
    <w:rsid w:val="009D672E"/>
    <w:rsid w:val="009E5350"/>
    <w:rsid w:val="009E68ED"/>
    <w:rsid w:val="009F6257"/>
    <w:rsid w:val="00A03269"/>
    <w:rsid w:val="00A036D6"/>
    <w:rsid w:val="00A054F8"/>
    <w:rsid w:val="00A11BAC"/>
    <w:rsid w:val="00A12149"/>
    <w:rsid w:val="00A1268B"/>
    <w:rsid w:val="00A2076F"/>
    <w:rsid w:val="00A2440B"/>
    <w:rsid w:val="00A24762"/>
    <w:rsid w:val="00A33732"/>
    <w:rsid w:val="00A372E6"/>
    <w:rsid w:val="00A40898"/>
    <w:rsid w:val="00A42FC3"/>
    <w:rsid w:val="00A50DF5"/>
    <w:rsid w:val="00A53205"/>
    <w:rsid w:val="00A55AEC"/>
    <w:rsid w:val="00A56DEF"/>
    <w:rsid w:val="00A600E0"/>
    <w:rsid w:val="00A6034B"/>
    <w:rsid w:val="00A66895"/>
    <w:rsid w:val="00A66973"/>
    <w:rsid w:val="00A67CF7"/>
    <w:rsid w:val="00A7040E"/>
    <w:rsid w:val="00A72231"/>
    <w:rsid w:val="00A75355"/>
    <w:rsid w:val="00A777DF"/>
    <w:rsid w:val="00A83305"/>
    <w:rsid w:val="00A87C90"/>
    <w:rsid w:val="00A87CF7"/>
    <w:rsid w:val="00A937D9"/>
    <w:rsid w:val="00A954F4"/>
    <w:rsid w:val="00A977D0"/>
    <w:rsid w:val="00AA55B4"/>
    <w:rsid w:val="00AA722F"/>
    <w:rsid w:val="00AA7915"/>
    <w:rsid w:val="00AB1F73"/>
    <w:rsid w:val="00AC66E3"/>
    <w:rsid w:val="00AC72C5"/>
    <w:rsid w:val="00AD2D7A"/>
    <w:rsid w:val="00AD3D6E"/>
    <w:rsid w:val="00AE5ECC"/>
    <w:rsid w:val="00AE6C7D"/>
    <w:rsid w:val="00AF307B"/>
    <w:rsid w:val="00B00721"/>
    <w:rsid w:val="00B0683F"/>
    <w:rsid w:val="00B07040"/>
    <w:rsid w:val="00B132BE"/>
    <w:rsid w:val="00B24271"/>
    <w:rsid w:val="00B27C29"/>
    <w:rsid w:val="00B31A67"/>
    <w:rsid w:val="00B3334F"/>
    <w:rsid w:val="00B41CD0"/>
    <w:rsid w:val="00B436E5"/>
    <w:rsid w:val="00B46AB8"/>
    <w:rsid w:val="00B4707B"/>
    <w:rsid w:val="00B47491"/>
    <w:rsid w:val="00B47580"/>
    <w:rsid w:val="00B4759C"/>
    <w:rsid w:val="00B55A26"/>
    <w:rsid w:val="00B55EEA"/>
    <w:rsid w:val="00B61755"/>
    <w:rsid w:val="00B61D74"/>
    <w:rsid w:val="00B67FED"/>
    <w:rsid w:val="00B71427"/>
    <w:rsid w:val="00B71936"/>
    <w:rsid w:val="00B7279D"/>
    <w:rsid w:val="00B77CDD"/>
    <w:rsid w:val="00B82733"/>
    <w:rsid w:val="00B8299B"/>
    <w:rsid w:val="00BA27F7"/>
    <w:rsid w:val="00BA5076"/>
    <w:rsid w:val="00BB2387"/>
    <w:rsid w:val="00BB49DE"/>
    <w:rsid w:val="00BB7F97"/>
    <w:rsid w:val="00BC4086"/>
    <w:rsid w:val="00BD0734"/>
    <w:rsid w:val="00BD5DBA"/>
    <w:rsid w:val="00BD6E59"/>
    <w:rsid w:val="00BE0C4E"/>
    <w:rsid w:val="00BE5461"/>
    <w:rsid w:val="00BE60BB"/>
    <w:rsid w:val="00BE6519"/>
    <w:rsid w:val="00C013CF"/>
    <w:rsid w:val="00C01F46"/>
    <w:rsid w:val="00C03590"/>
    <w:rsid w:val="00C06122"/>
    <w:rsid w:val="00C065CD"/>
    <w:rsid w:val="00C11A3E"/>
    <w:rsid w:val="00C15D43"/>
    <w:rsid w:val="00C220AC"/>
    <w:rsid w:val="00C251D5"/>
    <w:rsid w:val="00C26F55"/>
    <w:rsid w:val="00C334B4"/>
    <w:rsid w:val="00C35AD2"/>
    <w:rsid w:val="00C36E8E"/>
    <w:rsid w:val="00C40D43"/>
    <w:rsid w:val="00C46EE7"/>
    <w:rsid w:val="00C50B56"/>
    <w:rsid w:val="00C54247"/>
    <w:rsid w:val="00C5581E"/>
    <w:rsid w:val="00C566C3"/>
    <w:rsid w:val="00C5794E"/>
    <w:rsid w:val="00C607C0"/>
    <w:rsid w:val="00C60E5E"/>
    <w:rsid w:val="00C612D9"/>
    <w:rsid w:val="00C64180"/>
    <w:rsid w:val="00C64540"/>
    <w:rsid w:val="00C77ADB"/>
    <w:rsid w:val="00C8602D"/>
    <w:rsid w:val="00C93ABB"/>
    <w:rsid w:val="00C9453E"/>
    <w:rsid w:val="00C968B1"/>
    <w:rsid w:val="00CA479F"/>
    <w:rsid w:val="00CA7E12"/>
    <w:rsid w:val="00CB02BB"/>
    <w:rsid w:val="00CB548D"/>
    <w:rsid w:val="00CB69A9"/>
    <w:rsid w:val="00CC0EC5"/>
    <w:rsid w:val="00CD206C"/>
    <w:rsid w:val="00CD649B"/>
    <w:rsid w:val="00CD77C7"/>
    <w:rsid w:val="00CD7926"/>
    <w:rsid w:val="00CE183D"/>
    <w:rsid w:val="00CE33A6"/>
    <w:rsid w:val="00CF0330"/>
    <w:rsid w:val="00CF1700"/>
    <w:rsid w:val="00CF3F34"/>
    <w:rsid w:val="00CF50D7"/>
    <w:rsid w:val="00CF66A2"/>
    <w:rsid w:val="00D01E8C"/>
    <w:rsid w:val="00D0250A"/>
    <w:rsid w:val="00D02CEF"/>
    <w:rsid w:val="00D062E4"/>
    <w:rsid w:val="00D1136D"/>
    <w:rsid w:val="00D11D34"/>
    <w:rsid w:val="00D12AC0"/>
    <w:rsid w:val="00D12D5B"/>
    <w:rsid w:val="00D208F9"/>
    <w:rsid w:val="00D2169C"/>
    <w:rsid w:val="00D22510"/>
    <w:rsid w:val="00D25D0E"/>
    <w:rsid w:val="00D3321F"/>
    <w:rsid w:val="00D352FF"/>
    <w:rsid w:val="00D40A9B"/>
    <w:rsid w:val="00D4503A"/>
    <w:rsid w:val="00D53AC4"/>
    <w:rsid w:val="00D54390"/>
    <w:rsid w:val="00D546D7"/>
    <w:rsid w:val="00D56243"/>
    <w:rsid w:val="00D57160"/>
    <w:rsid w:val="00D62A95"/>
    <w:rsid w:val="00D73305"/>
    <w:rsid w:val="00D80A26"/>
    <w:rsid w:val="00D81673"/>
    <w:rsid w:val="00D82D23"/>
    <w:rsid w:val="00D90CED"/>
    <w:rsid w:val="00D913F5"/>
    <w:rsid w:val="00D918F0"/>
    <w:rsid w:val="00D93DB3"/>
    <w:rsid w:val="00D95319"/>
    <w:rsid w:val="00DA0E9C"/>
    <w:rsid w:val="00DA4EC9"/>
    <w:rsid w:val="00DA79E9"/>
    <w:rsid w:val="00DB11B3"/>
    <w:rsid w:val="00DB1379"/>
    <w:rsid w:val="00DB4D27"/>
    <w:rsid w:val="00DB61DA"/>
    <w:rsid w:val="00DB761B"/>
    <w:rsid w:val="00DC4D63"/>
    <w:rsid w:val="00DD4E8C"/>
    <w:rsid w:val="00DD64B8"/>
    <w:rsid w:val="00DE3286"/>
    <w:rsid w:val="00DF1BA1"/>
    <w:rsid w:val="00DF1BDF"/>
    <w:rsid w:val="00E01604"/>
    <w:rsid w:val="00E05555"/>
    <w:rsid w:val="00E06D86"/>
    <w:rsid w:val="00E1067B"/>
    <w:rsid w:val="00E1140B"/>
    <w:rsid w:val="00E13D5C"/>
    <w:rsid w:val="00E148A0"/>
    <w:rsid w:val="00E17485"/>
    <w:rsid w:val="00E21D9C"/>
    <w:rsid w:val="00E2211F"/>
    <w:rsid w:val="00E30819"/>
    <w:rsid w:val="00E34EA2"/>
    <w:rsid w:val="00E3777D"/>
    <w:rsid w:val="00E42D95"/>
    <w:rsid w:val="00E44039"/>
    <w:rsid w:val="00E44F4D"/>
    <w:rsid w:val="00E53CB8"/>
    <w:rsid w:val="00E57AE0"/>
    <w:rsid w:val="00E65FC5"/>
    <w:rsid w:val="00E7275E"/>
    <w:rsid w:val="00E769B2"/>
    <w:rsid w:val="00E77FA1"/>
    <w:rsid w:val="00E81035"/>
    <w:rsid w:val="00E81494"/>
    <w:rsid w:val="00E90602"/>
    <w:rsid w:val="00E950C7"/>
    <w:rsid w:val="00E964A5"/>
    <w:rsid w:val="00E97426"/>
    <w:rsid w:val="00EA2D53"/>
    <w:rsid w:val="00EB31CB"/>
    <w:rsid w:val="00EB362E"/>
    <w:rsid w:val="00EB4B6F"/>
    <w:rsid w:val="00EB5E20"/>
    <w:rsid w:val="00EB79A5"/>
    <w:rsid w:val="00EC04CA"/>
    <w:rsid w:val="00EC321C"/>
    <w:rsid w:val="00EC4EDC"/>
    <w:rsid w:val="00ED2552"/>
    <w:rsid w:val="00ED2C6D"/>
    <w:rsid w:val="00ED5CB4"/>
    <w:rsid w:val="00ED6127"/>
    <w:rsid w:val="00ED6C27"/>
    <w:rsid w:val="00EE2FDB"/>
    <w:rsid w:val="00EE6BA7"/>
    <w:rsid w:val="00EF0A14"/>
    <w:rsid w:val="00EF2641"/>
    <w:rsid w:val="00EF40A0"/>
    <w:rsid w:val="00F009F3"/>
    <w:rsid w:val="00F039A6"/>
    <w:rsid w:val="00F115C2"/>
    <w:rsid w:val="00F144EA"/>
    <w:rsid w:val="00F205CC"/>
    <w:rsid w:val="00F24B12"/>
    <w:rsid w:val="00F262F3"/>
    <w:rsid w:val="00F300C6"/>
    <w:rsid w:val="00F30BBA"/>
    <w:rsid w:val="00F32DDB"/>
    <w:rsid w:val="00F33B4D"/>
    <w:rsid w:val="00F406AB"/>
    <w:rsid w:val="00F50296"/>
    <w:rsid w:val="00F514E9"/>
    <w:rsid w:val="00F55483"/>
    <w:rsid w:val="00F61E78"/>
    <w:rsid w:val="00F640EC"/>
    <w:rsid w:val="00F65034"/>
    <w:rsid w:val="00F77402"/>
    <w:rsid w:val="00F77E2E"/>
    <w:rsid w:val="00F816E3"/>
    <w:rsid w:val="00F81861"/>
    <w:rsid w:val="00F864F9"/>
    <w:rsid w:val="00F90B0D"/>
    <w:rsid w:val="00F95365"/>
    <w:rsid w:val="00F96371"/>
    <w:rsid w:val="00F97864"/>
    <w:rsid w:val="00FA5ACB"/>
    <w:rsid w:val="00FA5FF0"/>
    <w:rsid w:val="00FB3F58"/>
    <w:rsid w:val="00FC223E"/>
    <w:rsid w:val="00FC77B1"/>
    <w:rsid w:val="00FD4ABF"/>
    <w:rsid w:val="00FE0C9B"/>
    <w:rsid w:val="00FE2E04"/>
    <w:rsid w:val="00FE37E0"/>
    <w:rsid w:val="00FE4BBB"/>
    <w:rsid w:val="00FF00AA"/>
    <w:rsid w:val="00FF3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0261F"/>
  <w15:chartTrackingRefBased/>
  <w15:docId w15:val="{BB3F5B9F-41A6-4E24-9968-07F64EF40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602"/>
  </w:style>
  <w:style w:type="paragraph" w:styleId="Heading1">
    <w:name w:val="heading 1"/>
    <w:basedOn w:val="Normal"/>
    <w:next w:val="Normal"/>
    <w:link w:val="Heading1Char"/>
    <w:uiPriority w:val="9"/>
    <w:qFormat/>
    <w:rsid w:val="00D11D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1D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1D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1D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1D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D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D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D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D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D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1D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11D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D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D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D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D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D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D34"/>
    <w:rPr>
      <w:rFonts w:eastAsiaTheme="majorEastAsia" w:cstheme="majorBidi"/>
      <w:color w:val="272727" w:themeColor="text1" w:themeTint="D8"/>
    </w:rPr>
  </w:style>
  <w:style w:type="paragraph" w:styleId="Title">
    <w:name w:val="Title"/>
    <w:basedOn w:val="Normal"/>
    <w:next w:val="Normal"/>
    <w:link w:val="TitleChar"/>
    <w:uiPriority w:val="10"/>
    <w:qFormat/>
    <w:rsid w:val="00D11D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D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D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D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D34"/>
    <w:pPr>
      <w:spacing w:before="160"/>
      <w:jc w:val="center"/>
    </w:pPr>
    <w:rPr>
      <w:i/>
      <w:iCs/>
      <w:color w:val="404040" w:themeColor="text1" w:themeTint="BF"/>
    </w:rPr>
  </w:style>
  <w:style w:type="character" w:customStyle="1" w:styleId="QuoteChar">
    <w:name w:val="Quote Char"/>
    <w:basedOn w:val="DefaultParagraphFont"/>
    <w:link w:val="Quote"/>
    <w:uiPriority w:val="29"/>
    <w:rsid w:val="00D11D34"/>
    <w:rPr>
      <w:i/>
      <w:iCs/>
      <w:color w:val="404040" w:themeColor="text1" w:themeTint="BF"/>
    </w:rPr>
  </w:style>
  <w:style w:type="paragraph" w:styleId="ListParagraph">
    <w:name w:val="List Paragraph"/>
    <w:basedOn w:val="Normal"/>
    <w:uiPriority w:val="34"/>
    <w:qFormat/>
    <w:rsid w:val="00D11D34"/>
    <w:pPr>
      <w:ind w:left="720"/>
      <w:contextualSpacing/>
    </w:pPr>
  </w:style>
  <w:style w:type="character" w:styleId="IntenseEmphasis">
    <w:name w:val="Intense Emphasis"/>
    <w:basedOn w:val="DefaultParagraphFont"/>
    <w:uiPriority w:val="21"/>
    <w:qFormat/>
    <w:rsid w:val="00D11D34"/>
    <w:rPr>
      <w:i/>
      <w:iCs/>
      <w:color w:val="0F4761" w:themeColor="accent1" w:themeShade="BF"/>
    </w:rPr>
  </w:style>
  <w:style w:type="paragraph" w:styleId="IntenseQuote">
    <w:name w:val="Intense Quote"/>
    <w:basedOn w:val="Normal"/>
    <w:next w:val="Normal"/>
    <w:link w:val="IntenseQuoteChar"/>
    <w:uiPriority w:val="30"/>
    <w:qFormat/>
    <w:rsid w:val="00D11D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D34"/>
    <w:rPr>
      <w:i/>
      <w:iCs/>
      <w:color w:val="0F4761" w:themeColor="accent1" w:themeShade="BF"/>
    </w:rPr>
  </w:style>
  <w:style w:type="character" w:styleId="IntenseReference">
    <w:name w:val="Intense Reference"/>
    <w:basedOn w:val="DefaultParagraphFont"/>
    <w:uiPriority w:val="32"/>
    <w:qFormat/>
    <w:rsid w:val="00D11D34"/>
    <w:rPr>
      <w:b/>
      <w:bCs/>
      <w:smallCaps/>
      <w:color w:val="0F4761" w:themeColor="accent1" w:themeShade="BF"/>
      <w:spacing w:val="5"/>
    </w:rPr>
  </w:style>
  <w:style w:type="paragraph" w:styleId="NoSpacing">
    <w:name w:val="No Spacing"/>
    <w:link w:val="NoSpacingChar"/>
    <w:uiPriority w:val="1"/>
    <w:qFormat/>
    <w:rsid w:val="00D11D3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11D34"/>
    <w:rPr>
      <w:rFonts w:eastAsiaTheme="minorEastAsia"/>
      <w:kern w:val="0"/>
      <w:sz w:val="22"/>
      <w:szCs w:val="22"/>
      <w:lang w:val="en-US"/>
      <w14:ligatures w14:val="none"/>
    </w:rPr>
  </w:style>
  <w:style w:type="paragraph" w:styleId="Header">
    <w:name w:val="header"/>
    <w:basedOn w:val="Normal"/>
    <w:link w:val="HeaderChar"/>
    <w:uiPriority w:val="99"/>
    <w:unhideWhenUsed/>
    <w:rsid w:val="00D11D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D34"/>
  </w:style>
  <w:style w:type="paragraph" w:styleId="Footer">
    <w:name w:val="footer"/>
    <w:basedOn w:val="Normal"/>
    <w:link w:val="FooterChar"/>
    <w:uiPriority w:val="99"/>
    <w:unhideWhenUsed/>
    <w:rsid w:val="00D11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D34"/>
  </w:style>
  <w:style w:type="paragraph" w:styleId="NormalWeb">
    <w:name w:val="Normal (Web)"/>
    <w:basedOn w:val="Normal"/>
    <w:uiPriority w:val="99"/>
    <w:semiHidden/>
    <w:unhideWhenUsed/>
    <w:rsid w:val="00DB11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00854"/>
    <w:rPr>
      <w:color w:val="467886" w:themeColor="hyperlink"/>
      <w:u w:val="single"/>
    </w:rPr>
  </w:style>
  <w:style w:type="character" w:styleId="UnresolvedMention">
    <w:name w:val="Unresolved Mention"/>
    <w:basedOn w:val="DefaultParagraphFont"/>
    <w:uiPriority w:val="99"/>
    <w:semiHidden/>
    <w:unhideWhenUsed/>
    <w:rsid w:val="00B8299B"/>
    <w:rPr>
      <w:color w:val="605E5C"/>
      <w:shd w:val="clear" w:color="auto" w:fill="E1DFDD"/>
    </w:rPr>
  </w:style>
  <w:style w:type="paragraph" w:styleId="TOCHeading">
    <w:name w:val="TOC Heading"/>
    <w:basedOn w:val="Heading1"/>
    <w:next w:val="Normal"/>
    <w:uiPriority w:val="39"/>
    <w:unhideWhenUsed/>
    <w:qFormat/>
    <w:rsid w:val="00123C9B"/>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123C9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8/13685200610660952" TargetMode="External"/><Relationship Id="rId18" Type="http://schemas.openxmlformats.org/officeDocument/2006/relationships/hyperlink" Target="https://doi.org/10.1007/s10610-016-9332-z"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doi.org/10.1057/s41300-020-00092-9" TargetMode="External"/><Relationship Id="rId7" Type="http://schemas.openxmlformats.org/officeDocument/2006/relationships/footnotes" Target="footnotes.xml"/><Relationship Id="rId12" Type="http://schemas.openxmlformats.org/officeDocument/2006/relationships/hyperlink" Target="https://doi.org/10.1007/s12117-018-9335-x" TargetMode="External"/><Relationship Id="rId17" Type="http://schemas.openxmlformats.org/officeDocument/2006/relationships/hyperlink" Target="https://doi.org/10.1007/s12117-016-9269-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07/s12117-023-09517-x" TargetMode="External"/><Relationship Id="rId20" Type="http://schemas.openxmlformats.org/officeDocument/2006/relationships/hyperlink" Target="https://www.nationalcrimeagency.gov.uk/nsa-overview-of-soc-20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57/cpcs.2012.8"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assets.publishing.service.gov.uk/media/65798633254aaa0010050bdc/SOC_Strategy_23-28_V9_Web_Accessible.pdf" TargetMode="External"/><Relationship Id="rId23" Type="http://schemas.openxmlformats.org/officeDocument/2006/relationships/hyperlink" Target="https://doi.org/10.1007/s10611-010-9244-7" TargetMode="External"/><Relationship Id="rId10" Type="http://schemas.openxmlformats.org/officeDocument/2006/relationships/image" Target="media/image2.png"/><Relationship Id="rId19" Type="http://schemas.openxmlformats.org/officeDocument/2006/relationships/hyperlink" Target="https://doi.org/10.1108/JFC-05-2014-002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government/publications/one-step-ahead-a-21st-century-strategy-to-defeat-organised-crime" TargetMode="External"/><Relationship Id="rId22" Type="http://schemas.openxmlformats.org/officeDocument/2006/relationships/hyperlink" Target="https://doi.org/10.1108/135907912112663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Matthew.Smy@suffolk.police.uk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AE979C-A3B4-4D06-915E-D2E4762DA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3682</TotalTime>
  <Pages>12</Pages>
  <Words>3824</Words>
  <Characters>21801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Serious and Organised crime</dc:title>
  <dc:subject>A literary Review</dc:subject>
  <dc:creator>Smy, Matthew</dc:creator>
  <cp:keywords/>
  <dc:description/>
  <cp:lastModifiedBy>Smy, Matthew</cp:lastModifiedBy>
  <cp:revision>203</cp:revision>
  <dcterms:created xsi:type="dcterms:W3CDTF">2026-04-17T13:22:00Z</dcterms:created>
  <dcterms:modified xsi:type="dcterms:W3CDTF">2026-04-23T19:34:00Z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98ce926-556f-4b1d-a91b-c6365a99e315_Enabled">
    <vt:lpwstr>true</vt:lpwstr>
  </property>
  <property fmtid="{D5CDD505-2E9C-101B-9397-08002B2CF9AE}" pid="3" name="MSIP_Label_a98ce926-556f-4b1d-a91b-c6365a99e315_SetDate">
    <vt:lpwstr>2026-03-26T17:04:44Z</vt:lpwstr>
  </property>
  <property fmtid="{D5CDD505-2E9C-101B-9397-08002B2CF9AE}" pid="4" name="MSIP_Label_a98ce926-556f-4b1d-a91b-c6365a99e315_Method">
    <vt:lpwstr>Standard</vt:lpwstr>
  </property>
  <property fmtid="{D5CDD505-2E9C-101B-9397-08002B2CF9AE}" pid="5" name="MSIP_Label_a98ce926-556f-4b1d-a91b-c6365a99e315_Name">
    <vt:lpwstr>a98ce926-556f-4b1d-a91b-c6365a99e315</vt:lpwstr>
  </property>
  <property fmtid="{D5CDD505-2E9C-101B-9397-08002B2CF9AE}" pid="6" name="MSIP_Label_a98ce926-556f-4b1d-a91b-c6365a99e315_SiteId">
    <vt:lpwstr>63c6bc72-b093-42db-bf8a-14e2a998e211</vt:lpwstr>
  </property>
  <property fmtid="{D5CDD505-2E9C-101B-9397-08002B2CF9AE}" pid="7" name="MSIP_Label_a98ce926-556f-4b1d-a91b-c6365a99e315_ActionId">
    <vt:lpwstr>5d94ebe3-89f1-44a2-8bc0-f563c5420a86</vt:lpwstr>
  </property>
  <property fmtid="{D5CDD505-2E9C-101B-9397-08002B2CF9AE}" pid="8" name="MSIP_Label_a98ce926-556f-4b1d-a91b-c6365a99e315_ContentBits">
    <vt:lpwstr>0</vt:lpwstr>
  </property>
  <property fmtid="{D5CDD505-2E9C-101B-9397-08002B2CF9AE}" pid="9" name="MSIP_Label_a98ce926-556f-4b1d-a91b-c6365a99e315_Tag">
    <vt:lpwstr>10, 3, 0, 1</vt:lpwstr>
  </property>
</Properties>
</file>