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50CEF" w14:textId="31F695C6" w:rsidR="00415901" w:rsidRDefault="000F327F" w:rsidP="00827870">
      <w:pPr>
        <w:jc w:val="center"/>
      </w:pPr>
      <w:r>
        <w:t>Title: Component</w:t>
      </w:r>
      <w:r w:rsidR="00415901">
        <w:t xml:space="preserve"> </w:t>
      </w:r>
      <w:r w:rsidR="00E63CCD">
        <w:t>2(Person</w:t>
      </w:r>
      <w:r w:rsidR="00415901">
        <w:t xml:space="preserve"> Centred Care and Partnership Working in Health and Social Care)</w:t>
      </w:r>
    </w:p>
    <w:p w14:paraId="7AC381E7" w14:textId="5D6C2EDF" w:rsidR="00415901" w:rsidRDefault="00415901" w:rsidP="00827870">
      <w:pPr>
        <w:jc w:val="center"/>
      </w:pPr>
      <w:r>
        <w:t>Student Number:2407682</w:t>
      </w:r>
    </w:p>
    <w:p w14:paraId="64AF3B35" w14:textId="078446EA" w:rsidR="00415901" w:rsidRDefault="00415901" w:rsidP="00827870">
      <w:pPr>
        <w:jc w:val="center"/>
      </w:pPr>
      <w:r>
        <w:t>Student Name: Saima Kausar</w:t>
      </w:r>
    </w:p>
    <w:p w14:paraId="7E4F3307" w14:textId="7C86F39A" w:rsidR="00415901" w:rsidRDefault="00415901" w:rsidP="00827870">
      <w:pPr>
        <w:jc w:val="center"/>
      </w:pPr>
      <w:r>
        <w:t>Lecturer’s Name: Farah Islam</w:t>
      </w:r>
    </w:p>
    <w:p w14:paraId="5DFD4F7B" w14:textId="15DF0BD2" w:rsidR="00415901" w:rsidRDefault="00415901" w:rsidP="00827870">
      <w:pPr>
        <w:jc w:val="center"/>
      </w:pPr>
      <w:r>
        <w:t xml:space="preserve">Module </w:t>
      </w:r>
      <w:r w:rsidR="00BA1F77">
        <w:t>name: Health</w:t>
      </w:r>
      <w:r w:rsidR="00CB1F51">
        <w:t xml:space="preserve"> and Social Care</w:t>
      </w:r>
    </w:p>
    <w:p w14:paraId="614753E4" w14:textId="2A92F747" w:rsidR="00E41278" w:rsidRPr="00E41278" w:rsidRDefault="00415901" w:rsidP="00827870">
      <w:pPr>
        <w:jc w:val="center"/>
      </w:pPr>
      <w:r>
        <w:t xml:space="preserve">Module </w:t>
      </w:r>
      <w:r w:rsidR="000F327F">
        <w:t>code: BMH5013</w:t>
      </w:r>
      <w:r w:rsidR="00E41278" w:rsidRPr="00E41278">
        <w:rPr>
          <w:vanish/>
        </w:rPr>
        <w:t>Top of Form</w:t>
      </w:r>
    </w:p>
    <w:p w14:paraId="086A3304" w14:textId="77777777" w:rsidR="00E41278" w:rsidRDefault="00E41278" w:rsidP="00E41278"/>
    <w:p w14:paraId="66B95634" w14:textId="77777777" w:rsidR="007A585C" w:rsidRDefault="007A585C" w:rsidP="00E41278"/>
    <w:p w14:paraId="78B6BCEF" w14:textId="77777777" w:rsidR="008D7F8F" w:rsidRDefault="008D7F8F" w:rsidP="00E41278"/>
    <w:p w14:paraId="2E46709A" w14:textId="77777777" w:rsidR="008D7F8F" w:rsidRDefault="008D7F8F" w:rsidP="00E41278"/>
    <w:p w14:paraId="31D72008" w14:textId="77777777" w:rsidR="008D7F8F" w:rsidRDefault="008D7F8F" w:rsidP="00E41278"/>
    <w:p w14:paraId="5546FE97" w14:textId="77777777" w:rsidR="008D7F8F" w:rsidRDefault="008D7F8F" w:rsidP="00E41278"/>
    <w:p w14:paraId="1C2AD5AC" w14:textId="77777777" w:rsidR="008D7F8F" w:rsidRDefault="008D7F8F" w:rsidP="00E41278"/>
    <w:p w14:paraId="5A900CA9" w14:textId="77777777" w:rsidR="008D7F8F" w:rsidRDefault="008D7F8F" w:rsidP="00E41278"/>
    <w:p w14:paraId="0D5D9487" w14:textId="77777777" w:rsidR="008D7F8F" w:rsidRDefault="008D7F8F" w:rsidP="00E41278"/>
    <w:p w14:paraId="5CC62BDB" w14:textId="77777777" w:rsidR="008D7F8F" w:rsidRDefault="008D7F8F" w:rsidP="00E41278"/>
    <w:p w14:paraId="7C2F9F70" w14:textId="77777777" w:rsidR="008D7F8F" w:rsidRDefault="008D7F8F" w:rsidP="00E41278"/>
    <w:p w14:paraId="2CDECB56" w14:textId="77777777" w:rsidR="008D7F8F" w:rsidRDefault="008D7F8F" w:rsidP="00E41278"/>
    <w:p w14:paraId="6EBD4066" w14:textId="77777777" w:rsidR="008D7F8F" w:rsidRDefault="008D7F8F" w:rsidP="00E41278"/>
    <w:p w14:paraId="0D367256" w14:textId="77777777" w:rsidR="008D7F8F" w:rsidRDefault="008D7F8F" w:rsidP="00E41278"/>
    <w:p w14:paraId="61B80C76" w14:textId="77777777" w:rsidR="008D7F8F" w:rsidRDefault="008D7F8F" w:rsidP="00E41278"/>
    <w:p w14:paraId="0BD844E9" w14:textId="77777777" w:rsidR="008D7F8F" w:rsidRDefault="008D7F8F" w:rsidP="00E41278"/>
    <w:p w14:paraId="430F1BB0" w14:textId="77777777" w:rsidR="008D7F8F" w:rsidRDefault="008D7F8F" w:rsidP="00E41278"/>
    <w:p w14:paraId="3DF65F9B" w14:textId="77777777" w:rsidR="008D7F8F" w:rsidRDefault="008D7F8F" w:rsidP="00E41278"/>
    <w:p w14:paraId="3D7D0131" w14:textId="77777777" w:rsidR="008D7F8F" w:rsidRDefault="008D7F8F" w:rsidP="00E41278"/>
    <w:p w14:paraId="420B4B16" w14:textId="77777777" w:rsidR="008D7F8F" w:rsidRDefault="008D7F8F" w:rsidP="00E41278"/>
    <w:p w14:paraId="79412E04" w14:textId="77777777" w:rsidR="008D7F8F" w:rsidRDefault="008D7F8F" w:rsidP="00E41278"/>
    <w:p w14:paraId="0B62892C" w14:textId="77777777" w:rsidR="00A27366" w:rsidRPr="00A27366" w:rsidRDefault="00A27366" w:rsidP="00A27366">
      <w:pPr>
        <w:rPr>
          <w:b/>
          <w:bCs/>
        </w:rPr>
      </w:pPr>
      <w:r w:rsidRPr="00A27366">
        <w:rPr>
          <w:b/>
          <w:bCs/>
        </w:rPr>
        <w:lastRenderedPageBreak/>
        <w:t>Contents</w:t>
      </w:r>
    </w:p>
    <w:p w14:paraId="5E35066B" w14:textId="77777777" w:rsidR="00A27366" w:rsidRPr="00A27366" w:rsidRDefault="00A27366" w:rsidP="00A27366">
      <w:pPr>
        <w:numPr>
          <w:ilvl w:val="0"/>
          <w:numId w:val="37"/>
        </w:numPr>
      </w:pPr>
      <w:r w:rsidRPr="00A27366">
        <w:rPr>
          <w:b/>
          <w:bCs/>
        </w:rPr>
        <w:t>Introduction</w:t>
      </w:r>
    </w:p>
    <w:p w14:paraId="334421DF" w14:textId="77777777" w:rsidR="00A27366" w:rsidRPr="00A27366" w:rsidRDefault="00A27366" w:rsidP="00A27366">
      <w:pPr>
        <w:numPr>
          <w:ilvl w:val="0"/>
          <w:numId w:val="37"/>
        </w:numPr>
      </w:pPr>
      <w:r w:rsidRPr="00A27366">
        <w:rPr>
          <w:b/>
          <w:bCs/>
        </w:rPr>
        <w:t>Definition of Person-Centred Care (PCC)</w:t>
      </w:r>
    </w:p>
    <w:p w14:paraId="57D42A2C" w14:textId="77777777" w:rsidR="00A27366" w:rsidRPr="00A27366" w:rsidRDefault="00A27366" w:rsidP="00A27366">
      <w:pPr>
        <w:numPr>
          <w:ilvl w:val="0"/>
          <w:numId w:val="37"/>
        </w:numPr>
      </w:pPr>
      <w:r w:rsidRPr="00A27366">
        <w:rPr>
          <w:b/>
          <w:bCs/>
        </w:rPr>
        <w:t>Main Benefits of Person-Centred Care</w:t>
      </w:r>
    </w:p>
    <w:p w14:paraId="0162C2BD" w14:textId="77777777" w:rsidR="00A27366" w:rsidRPr="00A27366" w:rsidRDefault="00A27366" w:rsidP="00A27366">
      <w:pPr>
        <w:numPr>
          <w:ilvl w:val="0"/>
          <w:numId w:val="37"/>
        </w:numPr>
      </w:pPr>
      <w:r w:rsidRPr="00A27366">
        <w:rPr>
          <w:b/>
          <w:bCs/>
        </w:rPr>
        <w:t>Main Limitations and Challenges of Person-Centred Care</w:t>
      </w:r>
    </w:p>
    <w:p w14:paraId="44D57D97" w14:textId="77777777" w:rsidR="00A27366" w:rsidRPr="00A27366" w:rsidRDefault="00A27366" w:rsidP="00A27366">
      <w:pPr>
        <w:numPr>
          <w:ilvl w:val="0"/>
          <w:numId w:val="37"/>
        </w:numPr>
      </w:pPr>
      <w:r w:rsidRPr="00A27366">
        <w:rPr>
          <w:b/>
          <w:bCs/>
        </w:rPr>
        <w:t>Critical Examination of a Theory/Model Underpinning PCC</w:t>
      </w:r>
      <w:r w:rsidRPr="00A27366">
        <w:br/>
      </w:r>
      <w:r w:rsidRPr="00A27366">
        <w:t> </w:t>
      </w:r>
      <w:r w:rsidRPr="00A27366">
        <w:t>5.1 The Person-Centred Practice Framework (McCormack &amp; McCance)</w:t>
      </w:r>
      <w:r w:rsidRPr="00A27366">
        <w:br/>
      </w:r>
      <w:r w:rsidRPr="00A27366">
        <w:t> </w:t>
      </w:r>
      <w:r w:rsidRPr="00A27366">
        <w:t>5.2 Strengths of the Framework</w:t>
      </w:r>
      <w:r w:rsidRPr="00A27366">
        <w:br/>
      </w:r>
      <w:r w:rsidRPr="00A27366">
        <w:t> </w:t>
      </w:r>
      <w:r w:rsidRPr="00A27366">
        <w:t>5.3 Limitations and Critique of the Framework</w:t>
      </w:r>
    </w:p>
    <w:p w14:paraId="4D3FD4C9" w14:textId="77777777" w:rsidR="00A27366" w:rsidRPr="00A27366" w:rsidRDefault="00A27366" w:rsidP="00A27366">
      <w:pPr>
        <w:numPr>
          <w:ilvl w:val="0"/>
          <w:numId w:val="37"/>
        </w:numPr>
      </w:pPr>
      <w:r w:rsidRPr="00A27366">
        <w:rPr>
          <w:b/>
          <w:bCs/>
        </w:rPr>
        <w:t>Ethical Fundamentals of Health and Social Care Relevant to PCC</w:t>
      </w:r>
    </w:p>
    <w:p w14:paraId="24D2FA8A" w14:textId="77777777" w:rsidR="00A27366" w:rsidRPr="00A27366" w:rsidRDefault="00A27366" w:rsidP="00A27366">
      <w:pPr>
        <w:numPr>
          <w:ilvl w:val="0"/>
          <w:numId w:val="37"/>
        </w:numPr>
      </w:pPr>
      <w:r w:rsidRPr="00A27366">
        <w:rPr>
          <w:b/>
          <w:bCs/>
        </w:rPr>
        <w:t>Application of Partnership Working — Practical Example</w:t>
      </w:r>
      <w:r w:rsidRPr="00A27366">
        <w:br/>
      </w:r>
      <w:r w:rsidRPr="00A27366">
        <w:t> </w:t>
      </w:r>
      <w:r w:rsidRPr="00A27366">
        <w:t>7.1 How Partnership Working Supports PCC</w:t>
      </w:r>
      <w:r w:rsidRPr="00A27366">
        <w:br/>
      </w:r>
      <w:r w:rsidRPr="00A27366">
        <w:t> </w:t>
      </w:r>
      <w:r w:rsidRPr="00A27366">
        <w:t>7.2 Barriers to Partnership Working</w:t>
      </w:r>
    </w:p>
    <w:p w14:paraId="4CE2399A" w14:textId="77777777" w:rsidR="00A27366" w:rsidRPr="00A27366" w:rsidRDefault="00A27366" w:rsidP="00A27366">
      <w:pPr>
        <w:numPr>
          <w:ilvl w:val="0"/>
          <w:numId w:val="37"/>
        </w:numPr>
      </w:pPr>
      <w:r w:rsidRPr="00A27366">
        <w:rPr>
          <w:b/>
          <w:bCs/>
        </w:rPr>
        <w:t>Relevant UK Policy and Legislation Relating to PCC and Partnership Working</w:t>
      </w:r>
    </w:p>
    <w:p w14:paraId="1DC8AF00" w14:textId="77777777" w:rsidR="00A27366" w:rsidRPr="00A27366" w:rsidRDefault="00A27366" w:rsidP="00A27366">
      <w:pPr>
        <w:numPr>
          <w:ilvl w:val="0"/>
          <w:numId w:val="37"/>
        </w:numPr>
      </w:pPr>
      <w:r w:rsidRPr="00A27366">
        <w:rPr>
          <w:b/>
          <w:bCs/>
        </w:rPr>
        <w:t>Recommendations for Future Development of PCC and Partnership Working in the UK</w:t>
      </w:r>
    </w:p>
    <w:p w14:paraId="36EE559D" w14:textId="77777777" w:rsidR="00A27366" w:rsidRPr="00F342A0" w:rsidRDefault="00A27366" w:rsidP="00A27366">
      <w:pPr>
        <w:numPr>
          <w:ilvl w:val="0"/>
          <w:numId w:val="37"/>
        </w:numPr>
      </w:pPr>
      <w:r w:rsidRPr="00A27366">
        <w:rPr>
          <w:b/>
          <w:bCs/>
        </w:rPr>
        <w:t>Conclusion</w:t>
      </w:r>
    </w:p>
    <w:p w14:paraId="42873B51" w14:textId="039B0448" w:rsidR="00F342A0" w:rsidRPr="00A27366" w:rsidRDefault="00406514" w:rsidP="00A27366">
      <w:pPr>
        <w:numPr>
          <w:ilvl w:val="0"/>
          <w:numId w:val="37"/>
        </w:numPr>
      </w:pPr>
      <w:r>
        <w:rPr>
          <w:b/>
          <w:bCs/>
        </w:rPr>
        <w:t>Abstract</w:t>
      </w:r>
    </w:p>
    <w:p w14:paraId="5B6C5EA4" w14:textId="7899825E" w:rsidR="00F46F30" w:rsidRPr="00F46F30" w:rsidRDefault="00A27366" w:rsidP="00A27366">
      <w:pPr>
        <w:numPr>
          <w:ilvl w:val="0"/>
          <w:numId w:val="37"/>
        </w:numPr>
      </w:pPr>
      <w:r w:rsidRPr="00A27366">
        <w:rPr>
          <w:b/>
          <w:bCs/>
        </w:rPr>
        <w:t>Reference Lis</w:t>
      </w:r>
    </w:p>
    <w:p w14:paraId="7C0EC988" w14:textId="28221E54" w:rsidR="00A84D21" w:rsidRPr="00A84D21" w:rsidRDefault="00A84D21" w:rsidP="00A84D21">
      <w:pPr>
        <w:rPr>
          <w:b/>
          <w:bCs/>
        </w:rPr>
      </w:pPr>
    </w:p>
    <w:p w14:paraId="476427A1" w14:textId="77777777" w:rsidR="00DA6116" w:rsidRDefault="00DA6116" w:rsidP="00B50090">
      <w:pPr>
        <w:rPr>
          <w:b/>
          <w:bCs/>
        </w:rPr>
      </w:pPr>
    </w:p>
    <w:p w14:paraId="09F291A2" w14:textId="77777777" w:rsidR="00DA6116" w:rsidRDefault="00DA6116" w:rsidP="00B50090">
      <w:pPr>
        <w:rPr>
          <w:b/>
          <w:bCs/>
        </w:rPr>
      </w:pPr>
    </w:p>
    <w:p w14:paraId="09D15FEC" w14:textId="77777777" w:rsidR="00DA6116" w:rsidRDefault="00DA6116" w:rsidP="00B50090">
      <w:pPr>
        <w:rPr>
          <w:b/>
          <w:bCs/>
        </w:rPr>
      </w:pPr>
    </w:p>
    <w:p w14:paraId="477DCE74" w14:textId="77777777" w:rsidR="00DA6116" w:rsidRDefault="00DA6116" w:rsidP="00B50090">
      <w:pPr>
        <w:rPr>
          <w:b/>
          <w:bCs/>
        </w:rPr>
      </w:pPr>
    </w:p>
    <w:p w14:paraId="268A7ED5" w14:textId="77777777" w:rsidR="00DA6116" w:rsidRDefault="00DA6116" w:rsidP="00B50090">
      <w:pPr>
        <w:rPr>
          <w:b/>
          <w:bCs/>
        </w:rPr>
      </w:pPr>
    </w:p>
    <w:p w14:paraId="203D78D7" w14:textId="77777777" w:rsidR="00DA6116" w:rsidRDefault="00DA6116" w:rsidP="00B50090">
      <w:pPr>
        <w:rPr>
          <w:b/>
          <w:bCs/>
        </w:rPr>
      </w:pPr>
    </w:p>
    <w:p w14:paraId="6378EB87" w14:textId="77777777" w:rsidR="00DA6116" w:rsidRDefault="00DA6116" w:rsidP="00B50090">
      <w:pPr>
        <w:rPr>
          <w:b/>
          <w:bCs/>
        </w:rPr>
      </w:pPr>
    </w:p>
    <w:p w14:paraId="13F672A3" w14:textId="77777777" w:rsidR="00DA6116" w:rsidRDefault="00DA6116" w:rsidP="00B50090">
      <w:pPr>
        <w:rPr>
          <w:b/>
          <w:bCs/>
        </w:rPr>
      </w:pPr>
    </w:p>
    <w:p w14:paraId="2A381581" w14:textId="77777777" w:rsidR="00DA6116" w:rsidRDefault="00DA6116" w:rsidP="00B50090">
      <w:pPr>
        <w:rPr>
          <w:b/>
          <w:bCs/>
        </w:rPr>
      </w:pPr>
    </w:p>
    <w:p w14:paraId="7375923C" w14:textId="77777777" w:rsidR="00DA6116" w:rsidRDefault="00DA6116" w:rsidP="00B50090">
      <w:pPr>
        <w:rPr>
          <w:b/>
          <w:bCs/>
        </w:rPr>
      </w:pPr>
    </w:p>
    <w:p w14:paraId="46041CEA" w14:textId="449DC403" w:rsidR="00B50090" w:rsidRPr="00B50090" w:rsidRDefault="00B50090" w:rsidP="00B50090">
      <w:pPr>
        <w:rPr>
          <w:b/>
          <w:bCs/>
        </w:rPr>
      </w:pPr>
      <w:r w:rsidRPr="00B50090">
        <w:rPr>
          <w:b/>
          <w:bCs/>
        </w:rPr>
        <w:lastRenderedPageBreak/>
        <w:t>Introduction</w:t>
      </w:r>
    </w:p>
    <w:p w14:paraId="26D628D5" w14:textId="77777777" w:rsidR="00B50090" w:rsidRPr="00B50090" w:rsidRDefault="00B50090" w:rsidP="00B50090">
      <w:r w:rsidRPr="00B50090">
        <w:t>Person-centred care (PCC) is a key approach in modern health and social care, which focuses on the individual rather than only their medical condition or symptoms. Unlike traditional models, PCC encourages collaboration between service users and professionals to ensure care is meaningful, respectful, and tailored to each person’s needs. It also considers the whole person, including emotional, social, cultural, and spiritual aspects of life. PCC promotes autonomy, dignity, and empowerment, allowing individuals to participate actively in decisions about their care (Price, 2019).</w:t>
      </w:r>
    </w:p>
    <w:p w14:paraId="00E93578" w14:textId="77777777" w:rsidR="00B50090" w:rsidRPr="00B50090" w:rsidRDefault="00B50090" w:rsidP="00B50090">
      <w:r w:rsidRPr="00B50090">
        <w:t>This approach recognises that each person’s experiences, beliefs, and values influence their health and wellbeing, and therefore care plans should be flexible and responsive. PCC has become increasingly important in the UK due to demographic changes, including an ageing population, rising prevalence of long-term conditions, and growing cultural diversity in communities (Tee, 2016).</w:t>
      </w:r>
    </w:p>
    <w:p w14:paraId="0DB4F804" w14:textId="77777777" w:rsidR="00B50090" w:rsidRPr="00B50090" w:rsidRDefault="00B50090" w:rsidP="00B50090">
      <w:r w:rsidRPr="00B50090">
        <w:t>This assignment explores the benefits and limitations of PCC, critically examines the Person-centred Practice Framework, analyses ethical principles, and considers the role of partnership working in practice. Relevant UK policy and legislation will be evaluated, followed by recommendations for improving PCC and collaborative practice in the future.</w:t>
      </w:r>
    </w:p>
    <w:p w14:paraId="729B6680" w14:textId="77777777" w:rsidR="00B50090" w:rsidRPr="00B50090" w:rsidRDefault="00B50090" w:rsidP="00B50090">
      <w:pPr>
        <w:rPr>
          <w:b/>
          <w:bCs/>
        </w:rPr>
      </w:pPr>
      <w:r w:rsidRPr="00B50090">
        <w:rPr>
          <w:b/>
          <w:bCs/>
        </w:rPr>
        <w:t>Definition of Person-Centred Care</w:t>
      </w:r>
    </w:p>
    <w:p w14:paraId="4EB838EB" w14:textId="77777777" w:rsidR="00B50090" w:rsidRPr="00B50090" w:rsidRDefault="00B50090" w:rsidP="00B50090">
      <w:r w:rsidRPr="00B50090">
        <w:t>Person-centred care is an approach that places the individual at the centre of health and social care delivery. Price (2019) explains that PCC ensures that care respects a person’s values, preferences, life experiences, and goals. It moves away from a purely clinical focus, emphasising shared decision-making and co-production of care plans.</w:t>
      </w:r>
    </w:p>
    <w:p w14:paraId="0C6C6DB6" w14:textId="77777777" w:rsidR="00B50090" w:rsidRPr="00B50090" w:rsidRDefault="00B50090" w:rsidP="00B50090">
      <w:r w:rsidRPr="00B50090">
        <w:t>Tee (2016) highlights that PCC is about understanding the social, cultural, and emotional context of the person’s life, rather than just treating their symptoms. Dewing and McCormack (2016) argue that PCC is a partnership approach that requires listening, empathy, and collaboration. By recognising individuals as experts in their own lives, PCC empowers them to actively participate in their care and ensures that care is meaningful, appropriate, and responsive to personal priorities.</w:t>
      </w:r>
    </w:p>
    <w:p w14:paraId="36B98688" w14:textId="77777777" w:rsidR="00B50090" w:rsidRPr="00B50090" w:rsidRDefault="00B50090" w:rsidP="00B50090">
      <w:r w:rsidRPr="00B50090">
        <w:t>This approach also improves the therapeutic relationship, builds trust, and enhances overall satisfaction with services (Mead &amp; Bower, 2002). Furthermore, PCC can be applied across different care settings, from acute hospitals to community-based services, demonstrating its flexibility and adaptability to diverse populations and health needs (Ekman et al., 2011).</w:t>
      </w:r>
    </w:p>
    <w:p w14:paraId="066AD7B7" w14:textId="77777777" w:rsidR="00B50090" w:rsidRPr="00B50090" w:rsidRDefault="00B50090" w:rsidP="00B50090">
      <w:r w:rsidRPr="00B50090">
        <w:t xml:space="preserve">The underlying philosophy of PCC emphasises the uniqueness of each individual and the importance of understanding their personal story, which is particularly relevant for populations such as older adults, people with dementia, or those with chronic </w:t>
      </w:r>
      <w:r w:rsidRPr="00B50090">
        <w:lastRenderedPageBreak/>
        <w:t>conditions where personal context directly impacts care outcomes (Brooker &amp; Latham, 2016).</w:t>
      </w:r>
    </w:p>
    <w:p w14:paraId="4BE245D2" w14:textId="77777777" w:rsidR="00B50090" w:rsidRPr="00B50090" w:rsidRDefault="00B50090" w:rsidP="00B50090">
      <w:pPr>
        <w:rPr>
          <w:b/>
          <w:bCs/>
        </w:rPr>
      </w:pPr>
      <w:r w:rsidRPr="00B50090">
        <w:rPr>
          <w:b/>
          <w:bCs/>
        </w:rPr>
        <w:t>Main Benefits of Person-Centred Care</w:t>
      </w:r>
    </w:p>
    <w:p w14:paraId="429D67EC" w14:textId="77777777" w:rsidR="00B50090" w:rsidRPr="00B50090" w:rsidRDefault="00B50090" w:rsidP="00B50090">
      <w:r w:rsidRPr="00B50090">
        <w:t>PCC has a wide range of benefits that positively affect both service users and health professionals. First, aligning care with the individual’s goals improves health outcomes and quality of life. The Health Foundation (2016) highlights that PCC encourages adherence to treatment plans, better self-management of long-term conditions, and fewer avoidable hospital admissions. This is particularly evident in</w:t>
      </w:r>
      <w:r w:rsidRPr="00B50090">
        <w:rPr>
          <w:b/>
          <w:bCs/>
        </w:rPr>
        <w:t xml:space="preserve"> </w:t>
      </w:r>
      <w:r w:rsidRPr="00B50090">
        <w:t>chronic conditions such as diabetes, COPD, or heart disease, where tailored care plans can reduce complications and enhance independence.</w:t>
      </w:r>
    </w:p>
    <w:p w14:paraId="2BA8B263" w14:textId="77777777" w:rsidR="00B50090" w:rsidRPr="00B50090" w:rsidRDefault="00B50090" w:rsidP="00B50090">
      <w:r w:rsidRPr="00B50090">
        <w:t>Second, person-centred approaches increase satisfaction and dignity. Individuals report feeling respected, heard, and valued when their preferences and life stories are considered (Price, 2019). Preserving dignity is essential not only for emotional wellbeing but also for encouraging engagement with care and adherence to treatment recommendations.</w:t>
      </w:r>
    </w:p>
    <w:p w14:paraId="01D037CA" w14:textId="77777777" w:rsidR="00B50090" w:rsidRPr="00B50090" w:rsidRDefault="00B50090" w:rsidP="00B50090">
      <w:r w:rsidRPr="00B50090">
        <w:t>Third, PCC promotes effective multidisciplinary working. When all members of the care team focus on the individual’s goals, communication improves, duplication of tasks reduces, and care becomes more coordinated (NHS England, 2022). This approach encourages information sharing across disciplines, ensuring that everyone from nurses to physiotherapists and social workers contributes to achieving the same outcomes.</w:t>
      </w:r>
    </w:p>
    <w:p w14:paraId="2BF90039" w14:textId="77777777" w:rsidR="00B50090" w:rsidRPr="00B50090" w:rsidRDefault="00B50090" w:rsidP="00B50090">
      <w:r w:rsidRPr="00B50090">
        <w:t>Fourth, PCC can prevent harm and waste. Avoiding treatments that are unwanted or inappropriate reduces unnecessary risks and enhances resource efficiency (The Health Foundation, 2016). This aspect is particularly important in an era of constrained health budgets and increasing demand for services.</w:t>
      </w:r>
    </w:p>
    <w:p w14:paraId="0A8A5B43" w14:textId="77777777" w:rsidR="00B50090" w:rsidRPr="00B50090" w:rsidRDefault="00B50090" w:rsidP="00B50090">
      <w:r w:rsidRPr="00B50090">
        <w:t>Finally, PCC supports empowerment and equity. By recognising cultural needs, communication requirements, and social circumstances, care can be personalised to reduce inequalities (Care Quality Commission, 2021). Empowering service users in this way fosters self-efficacy, encourages independence, and can reduce the need for intensive interventions over time. Research also suggests that PCC can lead to higher staff satisfaction, as practitioners feel their work has greater meaning and aligns with professional values (Nolan et al., 2004).</w:t>
      </w:r>
    </w:p>
    <w:p w14:paraId="78DBC791" w14:textId="77777777" w:rsidR="00B50090" w:rsidRPr="00B50090" w:rsidRDefault="00B50090" w:rsidP="00B50090">
      <w:pPr>
        <w:rPr>
          <w:b/>
          <w:bCs/>
        </w:rPr>
      </w:pPr>
      <w:r w:rsidRPr="00B50090">
        <w:rPr>
          <w:b/>
          <w:bCs/>
        </w:rPr>
        <w:t>Main Limitations and Challenges of PCC</w:t>
      </w:r>
    </w:p>
    <w:p w14:paraId="228408A7" w14:textId="77777777" w:rsidR="00B50090" w:rsidRPr="00B50090" w:rsidRDefault="00B50090" w:rsidP="00B50090">
      <w:r w:rsidRPr="00B50090">
        <w:t>Despite clear advantages, PCC is not without its challenges. One major limitation is the time and resources required to deliver truly person-centred care. Assessment, planning, and shared decision-making take significant time, and under-resourced services may struggle to implement PCC consistently (Price, 2019).</w:t>
      </w:r>
    </w:p>
    <w:p w14:paraId="3E4CB5A0" w14:textId="77777777" w:rsidR="00B50090" w:rsidRPr="00B50090" w:rsidRDefault="00B50090" w:rsidP="00B50090">
      <w:r w:rsidRPr="00B50090">
        <w:lastRenderedPageBreak/>
        <w:t>Another challenge is variability in interpretation and practice. PCC is a broad and sometimes vague concept, which may lead to inconsistent application across teams or settings (Foundation of Nursing Studies, 2020). Systemic constraints, including fragmented services, incompatible IT systems, and target-driven cultures, can also hinder personalised care planning and continuity of care (NHS</w:t>
      </w:r>
      <w:r w:rsidRPr="00B50090">
        <w:rPr>
          <w:b/>
          <w:bCs/>
        </w:rPr>
        <w:t xml:space="preserve"> </w:t>
      </w:r>
      <w:r w:rsidRPr="00B50090">
        <w:t>England, 2022).</w:t>
      </w:r>
    </w:p>
    <w:p w14:paraId="1FE0957E" w14:textId="77777777" w:rsidR="00B50090" w:rsidRPr="00B50090" w:rsidRDefault="00B50090" w:rsidP="00B50090">
      <w:r w:rsidRPr="00B50090">
        <w:t>Ethical complexities further complicate practice, as respecting autonomy may conflict with concerns about safety or best interests, requiring practitioners to make nuanced judgements (The Health Foundation, 2016). Measurement difficulties are another challenge. Outcomes that matter to patients, such as independence, engagement, and quality of life, are harder to quantify than clinical indicators, which may influence commissioning and funding decisions (Ulster University, 2020).</w:t>
      </w:r>
    </w:p>
    <w:p w14:paraId="05D3B880" w14:textId="77777777" w:rsidR="00B50090" w:rsidRPr="00B50090" w:rsidRDefault="00B50090" w:rsidP="00B50090">
      <w:r w:rsidRPr="00B50090">
        <w:t>Finally, PCC may be difficult to implement in acute or emergency settings, where urgent interventions are required, and there may be limited time for in-depth engagement with the service user (Ekman et al., 2011).</w:t>
      </w:r>
    </w:p>
    <w:p w14:paraId="2659C30B" w14:textId="77777777" w:rsidR="00B50090" w:rsidRPr="00B50090" w:rsidRDefault="00B50090" w:rsidP="00B50090">
      <w:pPr>
        <w:rPr>
          <w:b/>
          <w:bCs/>
        </w:rPr>
      </w:pPr>
      <w:r w:rsidRPr="00B50090">
        <w:rPr>
          <w:b/>
          <w:bCs/>
        </w:rPr>
        <w:t>Critical Examination of a Theory/Model Underpinning PCC — The Person-Centred Practice Framework (McCormack &amp; McCance)</w:t>
      </w:r>
    </w:p>
    <w:p w14:paraId="5C9C4DD8" w14:textId="77777777" w:rsidR="00B50090" w:rsidRPr="00B50090" w:rsidRDefault="00B50090" w:rsidP="00B50090">
      <w:r w:rsidRPr="00B50090">
        <w:t>The Person-centred Practice Framework (PCPF), developed by McCormack and</w:t>
      </w:r>
      <w:r w:rsidRPr="00B50090">
        <w:rPr>
          <w:b/>
          <w:bCs/>
        </w:rPr>
        <w:t xml:space="preserve"> </w:t>
      </w:r>
      <w:r w:rsidRPr="00B50090">
        <w:t>McCance (2017), provides a robust model for implementing PCC. It identifies four core areas necessary for effective person-centred practice: prerequisites (attributes of staff such as competence, interpersonal skills, and commitment), care environment (supportive culture, leadership, resources, and teamwork), person-centred processes (engagement, shared decision-making, sympathetic presence), and outcomes (improved satisfaction, wellbeing, and empowerment).</w:t>
      </w:r>
    </w:p>
    <w:p w14:paraId="736330EE" w14:textId="77777777" w:rsidR="00B50090" w:rsidRPr="00B50090" w:rsidRDefault="00B50090" w:rsidP="00B50090">
      <w:r w:rsidRPr="00B50090">
        <w:t>The framework highlights the interconnectedness of organisational factors, professional skills, and patient engagement, emphasising that PCC is not only about individual capabilities but also about systemic support (Dewing &amp; McCormack, 2016). Strengths of the framework include its holistic approach, providing guidance on practical processes such as shared decision-making, engagement, and working with beliefs and values, while linking individual actions with organisational culture (Ulster University, 2020).</w:t>
      </w:r>
    </w:p>
    <w:p w14:paraId="3F591605" w14:textId="77777777" w:rsidR="00B50090" w:rsidRPr="00B50090" w:rsidRDefault="00B50090" w:rsidP="00B50090">
      <w:r w:rsidRPr="00B50090">
        <w:t>Limitations include implementation challenges in resource-limited environments, difficulty measuring relational outcomes, and the need for adaptation for specific settings such as mental health, critical care, or highly acute environments (Foundation of Nursing Studies, 2020; McCormack &amp; McCance, 2017). Despite these limitations, the PCPF remains a widely used framework for guiding PCC in practice, offering both theoretical and practical insights for improving care delivery.</w:t>
      </w:r>
    </w:p>
    <w:p w14:paraId="57AE8586" w14:textId="77777777" w:rsidR="00B50090" w:rsidRPr="00B50090" w:rsidRDefault="00B50090" w:rsidP="00B50090">
      <w:pPr>
        <w:rPr>
          <w:b/>
          <w:bCs/>
        </w:rPr>
      </w:pPr>
      <w:r w:rsidRPr="00B50090">
        <w:rPr>
          <w:b/>
          <w:bCs/>
        </w:rPr>
        <w:t>Ethical Fundamentals of Health &amp; Social Care Relevant to PCC</w:t>
      </w:r>
    </w:p>
    <w:p w14:paraId="5D453900" w14:textId="77777777" w:rsidR="00B50090" w:rsidRPr="00B50090" w:rsidRDefault="00B50090" w:rsidP="00B50090">
      <w:r w:rsidRPr="00B50090">
        <w:lastRenderedPageBreak/>
        <w:t>Ethics underpin PCC and provide guidance for complex decision-making in health and social care. Autonomy requires practitioners to support individuals in making informed decisions about their care (The Health Foundation, 2016). Beneficence and non-maleficence emphasise acting in the best interest of service users while avoiding harm, while justice ensures fair access and consideration of social determinants of health (Care Quality Commission, 2021).</w:t>
      </w:r>
    </w:p>
    <w:p w14:paraId="43A88E3D" w14:textId="77777777" w:rsidR="00B50090" w:rsidRPr="00B50090" w:rsidRDefault="00B50090" w:rsidP="00B50090">
      <w:r w:rsidRPr="00B50090">
        <w:t>Dignity and respect are also crucial, requiring practitioners to consider the person’s values, history, and preferences in all care decisions (Price, 2019). Ethical dilemmas commonly arise, for example, when a person refuses a recommended treatment. PCC requires careful negotiation, capacity assessment, and risk management to balance safety with respect for autonomy (Tee, 2016; Rogers, 2004). Ethical principles also guide decision-making in partnership working, ensuring that care is delivered fairly, equitably, and consistently.</w:t>
      </w:r>
    </w:p>
    <w:p w14:paraId="3465A0D0" w14:textId="77777777" w:rsidR="00B50090" w:rsidRPr="00B50090" w:rsidRDefault="00B50090" w:rsidP="00B50090">
      <w:pPr>
        <w:rPr>
          <w:b/>
          <w:bCs/>
        </w:rPr>
      </w:pPr>
      <w:r w:rsidRPr="00B50090">
        <w:rPr>
          <w:b/>
          <w:bCs/>
        </w:rPr>
        <w:t>Application of Partnership Working — Practical Example: Integrated Community Nursing and Social Care for Frail Older People</w:t>
      </w:r>
    </w:p>
    <w:p w14:paraId="39D71F8F" w14:textId="77777777" w:rsidR="00B50090" w:rsidRPr="00B50090" w:rsidRDefault="00B50090" w:rsidP="00B50090">
      <w:r w:rsidRPr="00B50090">
        <w:t>Partnership working (PW) involves collaboration between professionals, service users, families, and organisations to deliver coordinated and joined-up care. Integrated community care for frail older adults demonstrates where PCC and PW intersect. Teams often include district nurses, social workers, physiotherapists, GPs, and voluntary sector staff.</w:t>
      </w:r>
    </w:p>
    <w:p w14:paraId="0CE27C2E" w14:textId="77777777" w:rsidR="00B50090" w:rsidRPr="00B50090" w:rsidRDefault="00B50090" w:rsidP="00B50090">
      <w:r w:rsidRPr="00B50090">
        <w:t>Care plans are personalised and centred on the individual’s goals, such as remaining independent at home or managing chronic pain. PW benefits include unified care goals, improved information sharing, continuity of care, and the involvement of third-sector organisations providing social support such as befriending or meal services (NHS England, 2022).</w:t>
      </w:r>
    </w:p>
    <w:p w14:paraId="67C2B245" w14:textId="77777777" w:rsidR="00B50090" w:rsidRPr="00B50090" w:rsidRDefault="00B50090" w:rsidP="00B50090">
      <w:r w:rsidRPr="00B50090">
        <w:t>Barriers include differing organisational priorities, incompatible IT systems, funding silos, and communication challenges. Effective partnership working requires clear governance, leadership, and accountability (Glasby, 2017; Wilson, 2021). This approach ensures care is holistic, continuous, and aligns with the individual’s preferences and life circumstances, enhancing outcomes and satisfaction.</w:t>
      </w:r>
    </w:p>
    <w:p w14:paraId="333DFECC" w14:textId="77777777" w:rsidR="00B50090" w:rsidRPr="00B50090" w:rsidRDefault="00B50090" w:rsidP="00B50090">
      <w:pPr>
        <w:rPr>
          <w:b/>
          <w:bCs/>
        </w:rPr>
      </w:pPr>
      <w:r w:rsidRPr="00B50090">
        <w:rPr>
          <w:b/>
          <w:bCs/>
        </w:rPr>
        <w:t>Relevant UK Policy and Legislation Relating to PCC and Partnership Working</w:t>
      </w:r>
    </w:p>
    <w:p w14:paraId="6C64AA01" w14:textId="4F01EC37" w:rsidR="00B50090" w:rsidRPr="00B50090" w:rsidRDefault="00B50090" w:rsidP="00B50090">
      <w:r w:rsidRPr="00B50090">
        <w:t xml:space="preserve">Several UK policies and legislation support PCC and PW. The Care Act 2014 mandates assessment and planning focused on personal needs and wellbeing, requiring local authorities to promote partnerships for better outcomes (GOV.UK, 2014). The Health and Social Care Act 2012 </w:t>
      </w:r>
      <w:r w:rsidR="00237664" w:rsidRPr="00B50090">
        <w:t>encourage</w:t>
      </w:r>
      <w:r w:rsidRPr="00B50090">
        <w:t xml:space="preserve"> collaboration between NHS organisations and local authorities.</w:t>
      </w:r>
    </w:p>
    <w:p w14:paraId="6CDAD6A8" w14:textId="77777777" w:rsidR="00B50090" w:rsidRPr="00B50090" w:rsidRDefault="00B50090" w:rsidP="00B50090">
      <w:r w:rsidRPr="00B50090">
        <w:lastRenderedPageBreak/>
        <w:t>The NHS Long Term Plan (2019) emphasises personalised care, shared decision-making, and co-production. CQC Regulation 9 requires providers to deliver care that is personalised and respects dignity and preferences. Additionally, the Mental Capacity Act 2005 and Equality Act 2010 safeguard autonomy, informed choice, and equal access to care. These frameworks make PCC and PW core expectations in England, requiring organisational and professional commitment.</w:t>
      </w:r>
    </w:p>
    <w:p w14:paraId="2269D342" w14:textId="77777777" w:rsidR="00B50090" w:rsidRPr="00B50090" w:rsidRDefault="00B50090" w:rsidP="00B50090">
      <w:pPr>
        <w:rPr>
          <w:b/>
          <w:bCs/>
        </w:rPr>
      </w:pPr>
      <w:r w:rsidRPr="00B50090">
        <w:rPr>
          <w:b/>
          <w:bCs/>
        </w:rPr>
        <w:t>Recommendations for Future Development of PCC and Partnership Working in the UK</w:t>
      </w:r>
    </w:p>
    <w:p w14:paraId="50DA57ED" w14:textId="77777777" w:rsidR="00B50090" w:rsidRPr="00B50090" w:rsidRDefault="00B50090" w:rsidP="00B50090">
      <w:r w:rsidRPr="00B50090">
        <w:t>To strengthen PCC and PW, investment in workforce development is essential. Staff should receive training in communication, cultural competence, and shared decision-making (Price, 2019; Tee, 2016). Organisations should embed meaningful outcomes that measure autonomy, wellbeing, and life engagement alongside quantitative metrics (Health Foundation, 2016).</w:t>
      </w:r>
    </w:p>
    <w:p w14:paraId="636C0DD7" w14:textId="77777777" w:rsidR="00B50090" w:rsidRPr="00B50090" w:rsidRDefault="00B50090" w:rsidP="00B50090">
      <w:r w:rsidRPr="00B50090">
        <w:t>Digital systems should allow shared, real-time records accessible to all partners across health, social care, and voluntary sectors. Co-production with local communities and voluntary organisations should be prioritised to deliver interventions that matter to service users (Glasby, 2017). Leadership and culture-change programmes should model PCC values, provide governance, and promote accountability (Dewing &amp; McCormack, 2016). Ethical guidance and consultation should be available to support complex decision-making and ensure a balance between autonomy and safety.</w:t>
      </w:r>
    </w:p>
    <w:p w14:paraId="435BDCC7" w14:textId="77777777" w:rsidR="00B50090" w:rsidRPr="00B50090" w:rsidRDefault="00B50090" w:rsidP="00B50090">
      <w:pPr>
        <w:rPr>
          <w:b/>
          <w:bCs/>
        </w:rPr>
      </w:pPr>
      <w:r w:rsidRPr="00B50090">
        <w:rPr>
          <w:b/>
          <w:bCs/>
        </w:rPr>
        <w:t>Conclusion</w:t>
      </w:r>
    </w:p>
    <w:p w14:paraId="363198CF" w14:textId="77777777" w:rsidR="00B50090" w:rsidRPr="00B50090" w:rsidRDefault="00B50090" w:rsidP="00B50090">
      <w:r w:rsidRPr="00B50090">
        <w:t>Person-centred care is a fundamental approach that improves outcomes, dignity, and satisfaction when implemented effectively. The Person-centred Practice Framework provides guidance on linking practitioner skills, organisational culture, and person-centred processes to achieve meaningful outcomes. Ethical principles underpin practice, and partnership working ensures coordination and continuity. UK policy strongly supports PCC and PW, but consistent implementation depends on investment in workforce, systems, leadership, and digital infrastructure.</w:t>
      </w:r>
    </w:p>
    <w:p w14:paraId="67FDCBB9" w14:textId="77777777" w:rsidR="005D0BD9" w:rsidRDefault="00B50090" w:rsidP="00B50090">
      <w:r w:rsidRPr="00B50090">
        <w:t>Sustainable development of PCC and partnership working will ensure services are holistic, equitable, and responsive to the needs and preferences of all service users. By embedding these principles into everyday practice, health and social care can better meet the diverse and complex needs of individuals, creating care that is truly person-centred.</w:t>
      </w:r>
    </w:p>
    <w:p w14:paraId="27C000DC" w14:textId="76FAC345" w:rsidR="00B50090" w:rsidRDefault="00904CC4" w:rsidP="00B50090">
      <w:r w:rsidRPr="00904CC4">
        <w:rPr>
          <w:b/>
          <w:bCs/>
        </w:rPr>
        <w:t xml:space="preserve"> </w:t>
      </w:r>
      <w:r w:rsidRPr="00E90407">
        <w:rPr>
          <w:b/>
          <w:bCs/>
        </w:rPr>
        <w:t xml:space="preserve">Abstract </w:t>
      </w:r>
      <w:r w:rsidRPr="00E90407">
        <w:br/>
        <w:t xml:space="preserve">This assignment explains what person-centred care is and why it is important in health and social care. It discusses benefits, challenges, ethical principles, and a key framework that guides person-centred practice. It also explores partnership </w:t>
      </w:r>
      <w:r w:rsidR="003D4836" w:rsidRPr="00E90407">
        <w:t>working in</w:t>
      </w:r>
      <w:r w:rsidRPr="00E90407">
        <w:t xml:space="preserve"> </w:t>
      </w:r>
      <w:r w:rsidR="00A34449">
        <w:lastRenderedPageBreak/>
        <w:t xml:space="preserve">UK </w:t>
      </w:r>
      <w:r w:rsidR="003D4836" w:rsidRPr="00E90407">
        <w:t>policies and</w:t>
      </w:r>
      <w:r w:rsidRPr="00E90407">
        <w:t xml:space="preserve"> offers recommendations to improve care for individuals in the </w:t>
      </w:r>
      <w:r w:rsidR="005D0BD9" w:rsidRPr="00E90407">
        <w:t>future.</w:t>
      </w:r>
      <w:r w:rsidR="005D0BD9">
        <w:t xml:space="preserve"> -</w:t>
      </w:r>
      <w:r>
        <w:t>Centred Care and Partnership Working in Health and Social Care)</w:t>
      </w:r>
      <w:r w:rsidR="00761735">
        <w:t>.</w:t>
      </w:r>
    </w:p>
    <w:p w14:paraId="7F705B4F" w14:textId="77777777" w:rsidR="003D4836" w:rsidRDefault="003D4836" w:rsidP="00B50090"/>
    <w:p w14:paraId="08BED37F" w14:textId="77777777" w:rsidR="003D4836" w:rsidRDefault="003D4836" w:rsidP="00B50090"/>
    <w:p w14:paraId="579D977E" w14:textId="77777777" w:rsidR="003D4836" w:rsidRDefault="003D4836" w:rsidP="00B50090"/>
    <w:p w14:paraId="776D3929" w14:textId="77777777" w:rsidR="003D4836" w:rsidRDefault="003D4836" w:rsidP="00B50090"/>
    <w:p w14:paraId="2D79BDE9" w14:textId="77777777" w:rsidR="0057373F" w:rsidRPr="00B50090" w:rsidRDefault="0057373F" w:rsidP="00B50090"/>
    <w:p w14:paraId="2D6445FE" w14:textId="6A0F88F9" w:rsidR="009F2F6B" w:rsidRDefault="009F2F6B" w:rsidP="009F2F6B"/>
    <w:p w14:paraId="45841564" w14:textId="77777777" w:rsidR="001325B0" w:rsidRDefault="001325B0" w:rsidP="009F2F6B"/>
    <w:p w14:paraId="46A9D6B5" w14:textId="77777777" w:rsidR="003D4836" w:rsidRDefault="003D4836" w:rsidP="009F2F6B"/>
    <w:p w14:paraId="7071AE54" w14:textId="77777777" w:rsidR="003D4836" w:rsidRDefault="003D4836" w:rsidP="009F2F6B"/>
    <w:p w14:paraId="44D1EA3C" w14:textId="77777777" w:rsidR="003D4836" w:rsidRDefault="003D4836" w:rsidP="009F2F6B"/>
    <w:p w14:paraId="472F83CB" w14:textId="77777777" w:rsidR="003D4836" w:rsidRDefault="003D4836" w:rsidP="009F2F6B"/>
    <w:p w14:paraId="1C464AD9" w14:textId="77777777" w:rsidR="003D4836" w:rsidRDefault="003D4836" w:rsidP="009F2F6B"/>
    <w:p w14:paraId="7E37FF69" w14:textId="77777777" w:rsidR="003D4836" w:rsidRDefault="003D4836" w:rsidP="009F2F6B"/>
    <w:p w14:paraId="6BB23F62" w14:textId="77777777" w:rsidR="003D4836" w:rsidRDefault="003D4836" w:rsidP="009F2F6B"/>
    <w:p w14:paraId="363AF6B9" w14:textId="77777777" w:rsidR="003D4836" w:rsidRDefault="003D4836" w:rsidP="009F2F6B"/>
    <w:p w14:paraId="2295E168" w14:textId="77777777" w:rsidR="003D4836" w:rsidRDefault="003D4836" w:rsidP="009F2F6B"/>
    <w:p w14:paraId="58481DC1" w14:textId="77777777" w:rsidR="003D4836" w:rsidRDefault="003D4836" w:rsidP="009F2F6B"/>
    <w:p w14:paraId="609A962B" w14:textId="77777777" w:rsidR="003D4836" w:rsidRDefault="003D4836" w:rsidP="009F2F6B"/>
    <w:p w14:paraId="35FE1BE6" w14:textId="77777777" w:rsidR="003D4836" w:rsidRDefault="003D4836" w:rsidP="009F2F6B"/>
    <w:p w14:paraId="214F3C33" w14:textId="77777777" w:rsidR="003D4836" w:rsidRDefault="003D4836" w:rsidP="009F2F6B"/>
    <w:p w14:paraId="617606DC" w14:textId="77777777" w:rsidR="003D4836" w:rsidRDefault="003D4836" w:rsidP="009F2F6B"/>
    <w:p w14:paraId="6DECFF78" w14:textId="77777777" w:rsidR="003D4836" w:rsidRDefault="003D4836" w:rsidP="009F2F6B"/>
    <w:p w14:paraId="15901AAC" w14:textId="77777777" w:rsidR="003D4836" w:rsidRDefault="003D4836" w:rsidP="009F2F6B"/>
    <w:p w14:paraId="663E651D" w14:textId="77777777" w:rsidR="003D4836" w:rsidRDefault="003D4836" w:rsidP="009F2F6B"/>
    <w:p w14:paraId="33A4A566" w14:textId="77777777" w:rsidR="003D4836" w:rsidRDefault="003D4836" w:rsidP="009F2F6B"/>
    <w:p w14:paraId="564F5F24" w14:textId="77777777" w:rsidR="001325B0" w:rsidRDefault="001325B0" w:rsidP="009F2F6B"/>
    <w:p w14:paraId="54C6E8DB" w14:textId="77777777" w:rsidR="001325B0" w:rsidRDefault="009F2F6B" w:rsidP="001325B0">
      <w:pPr>
        <w:rPr>
          <w:b/>
          <w:bCs/>
        </w:rPr>
      </w:pPr>
      <w:r w:rsidRPr="009F2F6B">
        <w:rPr>
          <w:b/>
          <w:bCs/>
        </w:rPr>
        <w:lastRenderedPageBreak/>
        <w:t xml:space="preserve">Reference List </w:t>
      </w:r>
    </w:p>
    <w:p w14:paraId="303C819D" w14:textId="53520399" w:rsidR="009F2F6B" w:rsidRPr="009F2F6B" w:rsidRDefault="009F2F6B" w:rsidP="001325B0">
      <w:pPr>
        <w:pStyle w:val="ListParagraph"/>
        <w:numPr>
          <w:ilvl w:val="0"/>
          <w:numId w:val="46"/>
        </w:numPr>
      </w:pPr>
      <w:r w:rsidRPr="009F2F6B">
        <w:t xml:space="preserve">Brooker, D. &amp; Latham, I. (2016) </w:t>
      </w:r>
      <w:r w:rsidRPr="001325B0">
        <w:rPr>
          <w:i/>
          <w:iCs/>
        </w:rPr>
        <w:t>Person-Centred Dementia Care: Making Services Better with the VIPS Framework</w:t>
      </w:r>
      <w:r w:rsidRPr="009F2F6B">
        <w:t>. 2nd ed. London: Jessica Kingsley Publishers.</w:t>
      </w:r>
    </w:p>
    <w:p w14:paraId="1C453CD4" w14:textId="77777777" w:rsidR="009F2F6B" w:rsidRPr="009F2F6B" w:rsidRDefault="009F2F6B" w:rsidP="009F2F6B">
      <w:pPr>
        <w:numPr>
          <w:ilvl w:val="0"/>
          <w:numId w:val="46"/>
        </w:numPr>
      </w:pPr>
      <w:r w:rsidRPr="009F2F6B">
        <w:t xml:space="preserve">Dewing, J. &amp; McCormack, B. (2016) </w:t>
      </w:r>
      <w:r w:rsidRPr="009F2F6B">
        <w:rPr>
          <w:i/>
          <w:iCs/>
        </w:rPr>
        <w:t>Developing Person-Centred Practice: Nursing Practice and Research</w:t>
      </w:r>
      <w:r w:rsidRPr="009F2F6B">
        <w:t>. London: Routledge.</w:t>
      </w:r>
    </w:p>
    <w:p w14:paraId="273B4DDC" w14:textId="77777777" w:rsidR="009F2F6B" w:rsidRPr="009F2F6B" w:rsidRDefault="009F2F6B" w:rsidP="009F2F6B">
      <w:pPr>
        <w:numPr>
          <w:ilvl w:val="0"/>
          <w:numId w:val="46"/>
        </w:numPr>
      </w:pPr>
      <w:r w:rsidRPr="009F2F6B">
        <w:t xml:space="preserve">Ekman, I., Swedberg, K., Taft, C., Lindseth, A. &amp; Norberg, A. (2011) </w:t>
      </w:r>
      <w:r w:rsidRPr="009F2F6B">
        <w:rPr>
          <w:i/>
          <w:iCs/>
        </w:rPr>
        <w:t>Person-Centred Care: Ready for Prime Time</w:t>
      </w:r>
      <w:r w:rsidRPr="009F2F6B">
        <w:t>. Oxford: Oxford University Press.</w:t>
      </w:r>
    </w:p>
    <w:p w14:paraId="2926B748" w14:textId="77777777" w:rsidR="009F2F6B" w:rsidRPr="009F2F6B" w:rsidRDefault="009F2F6B" w:rsidP="009F2F6B">
      <w:pPr>
        <w:numPr>
          <w:ilvl w:val="0"/>
          <w:numId w:val="46"/>
        </w:numPr>
      </w:pPr>
      <w:proofErr w:type="spellStart"/>
      <w:r w:rsidRPr="009F2F6B">
        <w:t>Kitwood</w:t>
      </w:r>
      <w:proofErr w:type="spellEnd"/>
      <w:r w:rsidRPr="009F2F6B">
        <w:t xml:space="preserve">, T. (1997) </w:t>
      </w:r>
      <w:r w:rsidRPr="009F2F6B">
        <w:rPr>
          <w:i/>
          <w:iCs/>
        </w:rPr>
        <w:t>Dementia Reconsidered: The Person Comes First</w:t>
      </w:r>
      <w:r w:rsidRPr="009F2F6B">
        <w:t>. Buckingham: Open University Press.</w:t>
      </w:r>
    </w:p>
    <w:p w14:paraId="4D520E23" w14:textId="77777777" w:rsidR="009F2F6B" w:rsidRPr="009F2F6B" w:rsidRDefault="009F2F6B" w:rsidP="009F2F6B">
      <w:pPr>
        <w:numPr>
          <w:ilvl w:val="0"/>
          <w:numId w:val="46"/>
        </w:numPr>
      </w:pPr>
      <w:r w:rsidRPr="009F2F6B">
        <w:t xml:space="preserve">McCormack, B. &amp; McCance, T. (2017) </w:t>
      </w:r>
      <w:r w:rsidRPr="009F2F6B">
        <w:rPr>
          <w:i/>
          <w:iCs/>
        </w:rPr>
        <w:t>Person-Centred Practice in Nursing and Health Care: Theory and Practice</w:t>
      </w:r>
      <w:r w:rsidRPr="009F2F6B">
        <w:t>. 2nd ed. Chichester: Wiley Blackwell.</w:t>
      </w:r>
    </w:p>
    <w:p w14:paraId="5FF52B68" w14:textId="77777777" w:rsidR="009F2F6B" w:rsidRPr="009F2F6B" w:rsidRDefault="009F2F6B" w:rsidP="009F2F6B">
      <w:pPr>
        <w:numPr>
          <w:ilvl w:val="0"/>
          <w:numId w:val="46"/>
        </w:numPr>
      </w:pPr>
      <w:r w:rsidRPr="009F2F6B">
        <w:t xml:space="preserve">Mead, N. &amp; Bower, P. (2002) </w:t>
      </w:r>
      <w:r w:rsidRPr="009F2F6B">
        <w:rPr>
          <w:i/>
          <w:iCs/>
        </w:rPr>
        <w:t>Patient-Centred Consultations in Primary Care: Conceptual and Empirical Review</w:t>
      </w:r>
      <w:r w:rsidRPr="009F2F6B">
        <w:t>. Abingdon: Routledge.</w:t>
      </w:r>
    </w:p>
    <w:p w14:paraId="5B8F14B0" w14:textId="77777777" w:rsidR="009F2F6B" w:rsidRPr="009F2F6B" w:rsidRDefault="009F2F6B" w:rsidP="009F2F6B">
      <w:pPr>
        <w:numPr>
          <w:ilvl w:val="0"/>
          <w:numId w:val="46"/>
        </w:numPr>
      </w:pPr>
      <w:r w:rsidRPr="009F2F6B">
        <w:t xml:space="preserve">Nolan, M., Davies, S., Brown, J., Keady, J. &amp; Nolan, J. (2004) </w:t>
      </w:r>
      <w:r w:rsidRPr="009F2F6B">
        <w:rPr>
          <w:i/>
          <w:iCs/>
        </w:rPr>
        <w:t>Beyond ‘Person-Centred’ Care: A New Vision for Gerontological Nursing</w:t>
      </w:r>
      <w:r w:rsidRPr="009F2F6B">
        <w:t>. Buckingham: Open University Press.</w:t>
      </w:r>
    </w:p>
    <w:p w14:paraId="1B1990F6" w14:textId="77777777" w:rsidR="009F2F6B" w:rsidRPr="009F2F6B" w:rsidRDefault="009F2F6B" w:rsidP="009F2F6B">
      <w:pPr>
        <w:numPr>
          <w:ilvl w:val="0"/>
          <w:numId w:val="46"/>
        </w:numPr>
      </w:pPr>
      <w:r w:rsidRPr="009F2F6B">
        <w:t xml:space="preserve">Price, B. (2019) </w:t>
      </w:r>
      <w:r w:rsidRPr="009F2F6B">
        <w:rPr>
          <w:i/>
          <w:iCs/>
        </w:rPr>
        <w:t>Delivering Person-Centred Care in Nursing</w:t>
      </w:r>
      <w:r w:rsidRPr="009F2F6B">
        <w:t>. London: SAGE.</w:t>
      </w:r>
    </w:p>
    <w:p w14:paraId="3EDAEBDC" w14:textId="77777777" w:rsidR="009F2F6B" w:rsidRPr="009F2F6B" w:rsidRDefault="009F2F6B" w:rsidP="009F2F6B">
      <w:pPr>
        <w:numPr>
          <w:ilvl w:val="0"/>
          <w:numId w:val="46"/>
        </w:numPr>
      </w:pPr>
      <w:r w:rsidRPr="009F2F6B">
        <w:t xml:space="preserve">Tee, S. (ed.) (2016) </w:t>
      </w:r>
      <w:r w:rsidRPr="009F2F6B">
        <w:rPr>
          <w:i/>
          <w:iCs/>
        </w:rPr>
        <w:t>Person-Centred Approaches in Healthcare: A Handbook for Nurses and Midwives</w:t>
      </w:r>
      <w:r w:rsidRPr="009F2F6B">
        <w:t>. London: McGraw-Hill Education.</w:t>
      </w:r>
    </w:p>
    <w:p w14:paraId="6F971D21" w14:textId="77777777" w:rsidR="009F2F6B" w:rsidRPr="009F2F6B" w:rsidRDefault="009F2F6B" w:rsidP="009F2F6B">
      <w:pPr>
        <w:numPr>
          <w:ilvl w:val="0"/>
          <w:numId w:val="46"/>
        </w:numPr>
      </w:pPr>
      <w:r w:rsidRPr="009F2F6B">
        <w:t xml:space="preserve">Ulster University (2020) </w:t>
      </w:r>
      <w:r w:rsidRPr="009F2F6B">
        <w:rPr>
          <w:i/>
          <w:iCs/>
        </w:rPr>
        <w:t>Fundamentals of Person-Centred Healthcare Practice</w:t>
      </w:r>
      <w:r w:rsidRPr="009F2F6B">
        <w:t>. Belfast: Ulster University.</w:t>
      </w:r>
    </w:p>
    <w:p w14:paraId="13455C66" w14:textId="77777777" w:rsidR="009F2F6B" w:rsidRPr="009F2F6B" w:rsidRDefault="009F2F6B" w:rsidP="009F2F6B">
      <w:pPr>
        <w:numPr>
          <w:ilvl w:val="0"/>
          <w:numId w:val="46"/>
        </w:numPr>
      </w:pPr>
      <w:r w:rsidRPr="009F2F6B">
        <w:t xml:space="preserve">NHS England (2022) </w:t>
      </w:r>
      <w:r w:rsidRPr="009F2F6B">
        <w:rPr>
          <w:i/>
          <w:iCs/>
        </w:rPr>
        <w:t>Guidance on Partnership Working and ICSs</w:t>
      </w:r>
      <w:r w:rsidRPr="009F2F6B">
        <w:t>. London: NHS England.</w:t>
      </w:r>
    </w:p>
    <w:p w14:paraId="66F66DA0" w14:textId="77777777" w:rsidR="009F2F6B" w:rsidRPr="009F2F6B" w:rsidRDefault="009F2F6B" w:rsidP="009F2F6B">
      <w:pPr>
        <w:numPr>
          <w:ilvl w:val="0"/>
          <w:numId w:val="46"/>
        </w:numPr>
      </w:pPr>
      <w:r w:rsidRPr="009F2F6B">
        <w:t>Care Act 2014 statutory guidance. GOV.UK Assets.</w:t>
      </w:r>
    </w:p>
    <w:p w14:paraId="16D87249" w14:textId="77777777" w:rsidR="009F2F6B" w:rsidRPr="009F2F6B" w:rsidRDefault="009F2F6B" w:rsidP="009F2F6B">
      <w:pPr>
        <w:numPr>
          <w:ilvl w:val="0"/>
          <w:numId w:val="46"/>
        </w:numPr>
      </w:pPr>
      <w:r w:rsidRPr="009F2F6B">
        <w:t>CQC Regulation 9: Person-centred care. Care Quality Commission.</w:t>
      </w:r>
    </w:p>
    <w:p w14:paraId="08A52839" w14:textId="77777777" w:rsidR="009F2F6B" w:rsidRPr="009F2F6B" w:rsidRDefault="009F2F6B" w:rsidP="009F2F6B">
      <w:pPr>
        <w:numPr>
          <w:ilvl w:val="0"/>
          <w:numId w:val="46"/>
        </w:numPr>
      </w:pPr>
      <w:r w:rsidRPr="009F2F6B">
        <w:t xml:space="preserve">Health Foundation (2016) </w:t>
      </w:r>
      <w:r w:rsidRPr="009F2F6B">
        <w:rPr>
          <w:i/>
          <w:iCs/>
        </w:rPr>
        <w:t>Person-centred care made simple (summary guide)</w:t>
      </w:r>
      <w:r w:rsidRPr="009F2F6B">
        <w:t>. London: The Health Foundation.</w:t>
      </w:r>
    </w:p>
    <w:p w14:paraId="4304D40B" w14:textId="77777777" w:rsidR="009F2F6B" w:rsidRPr="009F2F6B" w:rsidRDefault="009F2F6B" w:rsidP="009F2F6B">
      <w:pPr>
        <w:numPr>
          <w:ilvl w:val="0"/>
          <w:numId w:val="46"/>
        </w:numPr>
      </w:pPr>
      <w:r w:rsidRPr="009F2F6B">
        <w:t xml:space="preserve">RCN (Royal College of Nursing) (2019) </w:t>
      </w:r>
      <w:r w:rsidRPr="009F2F6B">
        <w:rPr>
          <w:i/>
          <w:iCs/>
        </w:rPr>
        <w:t>Principles of Nursing Practice: Person-Centred and Evidence-Based Care</w:t>
      </w:r>
      <w:r w:rsidRPr="009F2F6B">
        <w:t>. London: RCN.</w:t>
      </w:r>
    </w:p>
    <w:p w14:paraId="2B4792D3" w14:textId="77777777" w:rsidR="009F2F6B" w:rsidRPr="009F2F6B" w:rsidRDefault="009F2F6B" w:rsidP="009F2F6B">
      <w:pPr>
        <w:numPr>
          <w:ilvl w:val="0"/>
          <w:numId w:val="46"/>
        </w:numPr>
      </w:pPr>
      <w:r w:rsidRPr="009F2F6B">
        <w:t xml:space="preserve">Rogers, C.R. (2004) </w:t>
      </w:r>
      <w:r w:rsidRPr="009F2F6B">
        <w:rPr>
          <w:i/>
          <w:iCs/>
        </w:rPr>
        <w:t>On Becoming a Person: A Therapist’s View of Psychotherapy</w:t>
      </w:r>
      <w:r w:rsidRPr="009F2F6B">
        <w:t>. London: Constable.</w:t>
      </w:r>
    </w:p>
    <w:p w14:paraId="73D8608C" w14:textId="77777777" w:rsidR="009F2F6B" w:rsidRPr="009F2F6B" w:rsidRDefault="009F2F6B" w:rsidP="009F2F6B">
      <w:pPr>
        <w:numPr>
          <w:ilvl w:val="0"/>
          <w:numId w:val="46"/>
        </w:numPr>
      </w:pPr>
      <w:r w:rsidRPr="009F2F6B">
        <w:lastRenderedPageBreak/>
        <w:t xml:space="preserve">Slater, P., McCormack, B. &amp; Bunting, B. (2009) </w:t>
      </w:r>
      <w:r w:rsidRPr="009F2F6B">
        <w:rPr>
          <w:i/>
          <w:iCs/>
        </w:rPr>
        <w:t>The Development and Pilot Testing of an Instrument to Measure Person-Centred Nursing</w:t>
      </w:r>
      <w:r w:rsidRPr="009F2F6B">
        <w:t>. Chichester: Wiley Blackwell.</w:t>
      </w:r>
    </w:p>
    <w:p w14:paraId="4EFCC808" w14:textId="77777777" w:rsidR="009F2F6B" w:rsidRPr="009F2F6B" w:rsidRDefault="009F2F6B" w:rsidP="009F2F6B">
      <w:pPr>
        <w:numPr>
          <w:ilvl w:val="0"/>
          <w:numId w:val="46"/>
        </w:numPr>
      </w:pPr>
      <w:r w:rsidRPr="009F2F6B">
        <w:t xml:space="preserve">Bridges, J., Flatley, M. &amp; Meyer, J. (2019) </w:t>
      </w:r>
      <w:r w:rsidRPr="009F2F6B">
        <w:rPr>
          <w:i/>
          <w:iCs/>
        </w:rPr>
        <w:t>Older People, Emotion and Health Care: The Study and Practice of Health and Social Care</w:t>
      </w:r>
      <w:r w:rsidRPr="009F2F6B">
        <w:t>. London: Routledge.</w:t>
      </w:r>
    </w:p>
    <w:p w14:paraId="5292A768" w14:textId="77777777" w:rsidR="009F2F6B" w:rsidRPr="009F2F6B" w:rsidRDefault="009F2F6B" w:rsidP="009F2F6B">
      <w:pPr>
        <w:numPr>
          <w:ilvl w:val="0"/>
          <w:numId w:val="46"/>
        </w:numPr>
      </w:pPr>
      <w:r w:rsidRPr="009F2F6B">
        <w:t xml:space="preserve">Glasby, J. (2017) </w:t>
      </w:r>
      <w:r w:rsidRPr="009F2F6B">
        <w:rPr>
          <w:i/>
          <w:iCs/>
        </w:rPr>
        <w:t>Understanding Health and Social Care</w:t>
      </w:r>
      <w:r w:rsidRPr="009F2F6B">
        <w:t>. 4th ed. Bristol: Policy Press.</w:t>
      </w:r>
    </w:p>
    <w:p w14:paraId="5F2D2C14" w14:textId="77777777" w:rsidR="009F2F6B" w:rsidRPr="009F2F6B" w:rsidRDefault="009F2F6B" w:rsidP="009F2F6B">
      <w:pPr>
        <w:numPr>
          <w:ilvl w:val="0"/>
          <w:numId w:val="46"/>
        </w:numPr>
      </w:pPr>
      <w:r w:rsidRPr="009F2F6B">
        <w:t xml:space="preserve">Wilson, J. (2021) </w:t>
      </w:r>
      <w:r w:rsidRPr="009F2F6B">
        <w:rPr>
          <w:i/>
          <w:iCs/>
        </w:rPr>
        <w:t>Partnership Working in Health and Social Care: Theory and Practice</w:t>
      </w:r>
      <w:r w:rsidRPr="009F2F6B">
        <w:t>. London: Red Globe Press.</w:t>
      </w:r>
    </w:p>
    <w:p w14:paraId="6300D94C" w14:textId="77777777" w:rsidR="009F2F6B" w:rsidRPr="009F2F6B" w:rsidRDefault="009F2F6B" w:rsidP="009F2F6B">
      <w:pPr>
        <w:numPr>
          <w:ilvl w:val="0"/>
          <w:numId w:val="46"/>
        </w:numPr>
      </w:pPr>
      <w:r w:rsidRPr="009F2F6B">
        <w:t xml:space="preserve">Beauchamp, T. &amp; Childress, J. (2019) </w:t>
      </w:r>
      <w:r w:rsidRPr="009F2F6B">
        <w:rPr>
          <w:i/>
          <w:iCs/>
        </w:rPr>
        <w:t>Principles of Biomedical Ethics</w:t>
      </w:r>
      <w:r w:rsidRPr="009F2F6B">
        <w:t>. 8th ed. Oxford: Oxford University Press.</w:t>
      </w:r>
    </w:p>
    <w:p w14:paraId="329D373D" w14:textId="77777777" w:rsidR="009F2F6B" w:rsidRPr="009F2F6B" w:rsidRDefault="009F2F6B" w:rsidP="009F2F6B">
      <w:pPr>
        <w:numPr>
          <w:ilvl w:val="0"/>
          <w:numId w:val="46"/>
        </w:numPr>
      </w:pPr>
      <w:r w:rsidRPr="009F2F6B">
        <w:t>Equality Act (2010). London: HMSO.</w:t>
      </w:r>
    </w:p>
    <w:p w14:paraId="545CF7F3" w14:textId="77777777" w:rsidR="009F2F6B" w:rsidRPr="009F2F6B" w:rsidRDefault="009F2F6B" w:rsidP="009F2F6B">
      <w:pPr>
        <w:numPr>
          <w:ilvl w:val="0"/>
          <w:numId w:val="46"/>
        </w:numPr>
      </w:pPr>
      <w:r w:rsidRPr="009F2F6B">
        <w:t>Health and Social Care Act (2012). London: HMSO.</w:t>
      </w:r>
    </w:p>
    <w:p w14:paraId="1209B658" w14:textId="0A2475B0" w:rsidR="00E41278" w:rsidRPr="00E41278" w:rsidRDefault="00E41278" w:rsidP="00E41278"/>
    <w:p w14:paraId="0943F662" w14:textId="1F932EB4" w:rsidR="00E41278" w:rsidRPr="00E41278" w:rsidRDefault="00E41278" w:rsidP="00E41278"/>
    <w:p w14:paraId="3A0B23C8" w14:textId="49AD8541" w:rsidR="00E41278" w:rsidRPr="00E41278" w:rsidRDefault="00E41278" w:rsidP="00C2558B"/>
    <w:p w14:paraId="58688825" w14:textId="77777777" w:rsidR="00E41278" w:rsidRPr="00E41278" w:rsidRDefault="00E41278" w:rsidP="00E41278">
      <w:pPr>
        <w:rPr>
          <w:vanish/>
        </w:rPr>
      </w:pPr>
      <w:r w:rsidRPr="00E41278">
        <w:rPr>
          <w:vanish/>
        </w:rPr>
        <w:t>Top of Form</w:t>
      </w:r>
    </w:p>
    <w:p w14:paraId="3D3BE123" w14:textId="77777777" w:rsidR="00E41278" w:rsidRPr="00E41278" w:rsidRDefault="00E41278" w:rsidP="00E41278"/>
    <w:p w14:paraId="3D38D28F" w14:textId="77777777" w:rsidR="00E41278" w:rsidRPr="00E41278" w:rsidRDefault="00E41278" w:rsidP="00E41278">
      <w:pPr>
        <w:rPr>
          <w:vanish/>
        </w:rPr>
      </w:pPr>
      <w:r w:rsidRPr="00E41278">
        <w:rPr>
          <w:vanish/>
        </w:rPr>
        <w:t>Bottom of Form</w:t>
      </w:r>
    </w:p>
    <w:p w14:paraId="47F27F6E" w14:textId="2A4324C0" w:rsidR="00E41278" w:rsidRPr="00E41278" w:rsidRDefault="00E41278" w:rsidP="00E41278"/>
    <w:p w14:paraId="4CA68ED8" w14:textId="378561E3" w:rsidR="00415901" w:rsidRPr="00E41278" w:rsidRDefault="00415901"/>
    <w:p w14:paraId="3E959A3B" w14:textId="77777777" w:rsidR="00415901" w:rsidRDefault="00415901"/>
    <w:sectPr w:rsidR="00415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95C2E"/>
    <w:multiLevelType w:val="multilevel"/>
    <w:tmpl w:val="27B6B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D5181C"/>
    <w:multiLevelType w:val="multilevel"/>
    <w:tmpl w:val="49A6F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8F6A08"/>
    <w:multiLevelType w:val="multilevel"/>
    <w:tmpl w:val="2ADCA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4B1485"/>
    <w:multiLevelType w:val="multilevel"/>
    <w:tmpl w:val="DEC0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93551"/>
    <w:multiLevelType w:val="multilevel"/>
    <w:tmpl w:val="66DEB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E93B7E"/>
    <w:multiLevelType w:val="multilevel"/>
    <w:tmpl w:val="2CC4D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5D0D7F"/>
    <w:multiLevelType w:val="multilevel"/>
    <w:tmpl w:val="FEB06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F6053F"/>
    <w:multiLevelType w:val="multilevel"/>
    <w:tmpl w:val="F8047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9906C7"/>
    <w:multiLevelType w:val="multilevel"/>
    <w:tmpl w:val="4B989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3A5B72"/>
    <w:multiLevelType w:val="multilevel"/>
    <w:tmpl w:val="BFE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7D407B"/>
    <w:multiLevelType w:val="multilevel"/>
    <w:tmpl w:val="F1107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83EE3"/>
    <w:multiLevelType w:val="multilevel"/>
    <w:tmpl w:val="72128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F34D28"/>
    <w:multiLevelType w:val="multilevel"/>
    <w:tmpl w:val="8AE01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F56BE1"/>
    <w:multiLevelType w:val="multilevel"/>
    <w:tmpl w:val="DC8EC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C6FDF"/>
    <w:multiLevelType w:val="multilevel"/>
    <w:tmpl w:val="FA787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BC335A"/>
    <w:multiLevelType w:val="multilevel"/>
    <w:tmpl w:val="9140D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A1463F"/>
    <w:multiLevelType w:val="multilevel"/>
    <w:tmpl w:val="2B7A6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35C9A"/>
    <w:multiLevelType w:val="multilevel"/>
    <w:tmpl w:val="98FC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C84DD5"/>
    <w:multiLevelType w:val="multilevel"/>
    <w:tmpl w:val="4B4CF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0459C0"/>
    <w:multiLevelType w:val="multilevel"/>
    <w:tmpl w:val="E9343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852ACA"/>
    <w:multiLevelType w:val="multilevel"/>
    <w:tmpl w:val="78C47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524A9A"/>
    <w:multiLevelType w:val="multilevel"/>
    <w:tmpl w:val="836A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5E7CD3"/>
    <w:multiLevelType w:val="multilevel"/>
    <w:tmpl w:val="F9C4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6E449B"/>
    <w:multiLevelType w:val="multilevel"/>
    <w:tmpl w:val="7606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E02BFB"/>
    <w:multiLevelType w:val="multilevel"/>
    <w:tmpl w:val="0C660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65034B"/>
    <w:multiLevelType w:val="multilevel"/>
    <w:tmpl w:val="0D3C2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7287D48"/>
    <w:multiLevelType w:val="multilevel"/>
    <w:tmpl w:val="303C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480516"/>
    <w:multiLevelType w:val="multilevel"/>
    <w:tmpl w:val="B702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67358C"/>
    <w:multiLevelType w:val="multilevel"/>
    <w:tmpl w:val="EB663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0F4989"/>
    <w:multiLevelType w:val="multilevel"/>
    <w:tmpl w:val="9F4A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250C03"/>
    <w:multiLevelType w:val="multilevel"/>
    <w:tmpl w:val="0F52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9968E9"/>
    <w:multiLevelType w:val="multilevel"/>
    <w:tmpl w:val="14DA4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0D1ECB"/>
    <w:multiLevelType w:val="multilevel"/>
    <w:tmpl w:val="0D8C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2850B8"/>
    <w:multiLevelType w:val="multilevel"/>
    <w:tmpl w:val="B4163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76272B"/>
    <w:multiLevelType w:val="multilevel"/>
    <w:tmpl w:val="9154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6603A9"/>
    <w:multiLevelType w:val="multilevel"/>
    <w:tmpl w:val="3D4E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C05309"/>
    <w:multiLevelType w:val="multilevel"/>
    <w:tmpl w:val="9E1A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0F49B4"/>
    <w:multiLevelType w:val="multilevel"/>
    <w:tmpl w:val="783C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F13F1F"/>
    <w:multiLevelType w:val="multilevel"/>
    <w:tmpl w:val="A3243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7A4AE9"/>
    <w:multiLevelType w:val="multilevel"/>
    <w:tmpl w:val="0C349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3001C8B"/>
    <w:multiLevelType w:val="multilevel"/>
    <w:tmpl w:val="5004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F021B8"/>
    <w:multiLevelType w:val="multilevel"/>
    <w:tmpl w:val="84F2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0B07DB"/>
    <w:multiLevelType w:val="multilevel"/>
    <w:tmpl w:val="17686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1F5A47"/>
    <w:multiLevelType w:val="multilevel"/>
    <w:tmpl w:val="5F5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0F26E6"/>
    <w:multiLevelType w:val="multilevel"/>
    <w:tmpl w:val="0C3E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0552A1"/>
    <w:multiLevelType w:val="multilevel"/>
    <w:tmpl w:val="5CF8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1C4199"/>
    <w:multiLevelType w:val="multilevel"/>
    <w:tmpl w:val="87960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01085">
    <w:abstractNumId w:val="7"/>
  </w:num>
  <w:num w:numId="2" w16cid:durableId="1698193661">
    <w:abstractNumId w:val="4"/>
  </w:num>
  <w:num w:numId="3" w16cid:durableId="1145584581">
    <w:abstractNumId w:val="3"/>
  </w:num>
  <w:num w:numId="4" w16cid:durableId="694504891">
    <w:abstractNumId w:val="23"/>
  </w:num>
  <w:num w:numId="5" w16cid:durableId="1515534400">
    <w:abstractNumId w:val="32"/>
  </w:num>
  <w:num w:numId="6" w16cid:durableId="183441406">
    <w:abstractNumId w:val="16"/>
  </w:num>
  <w:num w:numId="7" w16cid:durableId="1304459706">
    <w:abstractNumId w:val="9"/>
  </w:num>
  <w:num w:numId="8" w16cid:durableId="1361666785">
    <w:abstractNumId w:val="10"/>
  </w:num>
  <w:num w:numId="9" w16cid:durableId="776146345">
    <w:abstractNumId w:val="12"/>
  </w:num>
  <w:num w:numId="10" w16cid:durableId="356783831">
    <w:abstractNumId w:val="17"/>
  </w:num>
  <w:num w:numId="11" w16cid:durableId="927469143">
    <w:abstractNumId w:val="39"/>
  </w:num>
  <w:num w:numId="12" w16cid:durableId="634216982">
    <w:abstractNumId w:val="29"/>
  </w:num>
  <w:num w:numId="13" w16cid:durableId="244653786">
    <w:abstractNumId w:val="20"/>
  </w:num>
  <w:num w:numId="14" w16cid:durableId="133258718">
    <w:abstractNumId w:val="33"/>
  </w:num>
  <w:num w:numId="15" w16cid:durableId="1028215295">
    <w:abstractNumId w:val="38"/>
  </w:num>
  <w:num w:numId="16" w16cid:durableId="1575780061">
    <w:abstractNumId w:val="44"/>
  </w:num>
  <w:num w:numId="17" w16cid:durableId="2042167855">
    <w:abstractNumId w:val="28"/>
  </w:num>
  <w:num w:numId="18" w16cid:durableId="1450473789">
    <w:abstractNumId w:val="46"/>
  </w:num>
  <w:num w:numId="19" w16cid:durableId="664092103">
    <w:abstractNumId w:val="45"/>
  </w:num>
  <w:num w:numId="20" w16cid:durableId="1166940649">
    <w:abstractNumId w:val="27"/>
  </w:num>
  <w:num w:numId="21" w16cid:durableId="812602953">
    <w:abstractNumId w:val="14"/>
  </w:num>
  <w:num w:numId="22" w16cid:durableId="1925458159">
    <w:abstractNumId w:val="40"/>
  </w:num>
  <w:num w:numId="23" w16cid:durableId="1300768498">
    <w:abstractNumId w:val="5"/>
  </w:num>
  <w:num w:numId="24" w16cid:durableId="1846508676">
    <w:abstractNumId w:val="35"/>
  </w:num>
  <w:num w:numId="25" w16cid:durableId="1145776771">
    <w:abstractNumId w:val="1"/>
  </w:num>
  <w:num w:numId="26" w16cid:durableId="114521504">
    <w:abstractNumId w:val="8"/>
  </w:num>
  <w:num w:numId="27" w16cid:durableId="1503207107">
    <w:abstractNumId w:val="30"/>
  </w:num>
  <w:num w:numId="28" w16cid:durableId="1158764409">
    <w:abstractNumId w:val="34"/>
  </w:num>
  <w:num w:numId="29" w16cid:durableId="975333035">
    <w:abstractNumId w:val="42"/>
  </w:num>
  <w:num w:numId="30" w16cid:durableId="1620260056">
    <w:abstractNumId w:val="37"/>
  </w:num>
  <w:num w:numId="31" w16cid:durableId="2058577633">
    <w:abstractNumId w:val="41"/>
  </w:num>
  <w:num w:numId="32" w16cid:durableId="62029229">
    <w:abstractNumId w:val="13"/>
  </w:num>
  <w:num w:numId="33" w16cid:durableId="1794863631">
    <w:abstractNumId w:val="19"/>
  </w:num>
  <w:num w:numId="34" w16cid:durableId="755445113">
    <w:abstractNumId w:val="43"/>
  </w:num>
  <w:num w:numId="35" w16cid:durableId="795486335">
    <w:abstractNumId w:val="15"/>
  </w:num>
  <w:num w:numId="36" w16cid:durableId="1760984658">
    <w:abstractNumId w:val="22"/>
  </w:num>
  <w:num w:numId="37" w16cid:durableId="1359432069">
    <w:abstractNumId w:val="24"/>
  </w:num>
  <w:num w:numId="38" w16cid:durableId="1542473869">
    <w:abstractNumId w:val="18"/>
  </w:num>
  <w:num w:numId="39" w16cid:durableId="883099021">
    <w:abstractNumId w:val="0"/>
  </w:num>
  <w:num w:numId="40" w16cid:durableId="864370936">
    <w:abstractNumId w:val="6"/>
  </w:num>
  <w:num w:numId="41" w16cid:durableId="534081247">
    <w:abstractNumId w:val="21"/>
  </w:num>
  <w:num w:numId="42" w16cid:durableId="1230266923">
    <w:abstractNumId w:val="11"/>
  </w:num>
  <w:num w:numId="43" w16cid:durableId="1925256081">
    <w:abstractNumId w:val="36"/>
  </w:num>
  <w:num w:numId="44" w16cid:durableId="192161238">
    <w:abstractNumId w:val="31"/>
  </w:num>
  <w:num w:numId="45" w16cid:durableId="1504468024">
    <w:abstractNumId w:val="25"/>
  </w:num>
  <w:num w:numId="46" w16cid:durableId="668364923">
    <w:abstractNumId w:val="2"/>
  </w:num>
  <w:num w:numId="47" w16cid:durableId="185915790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01"/>
    <w:rsid w:val="000900C1"/>
    <w:rsid w:val="000E13D9"/>
    <w:rsid w:val="000F327F"/>
    <w:rsid w:val="00127294"/>
    <w:rsid w:val="001325B0"/>
    <w:rsid w:val="00180290"/>
    <w:rsid w:val="001A081C"/>
    <w:rsid w:val="001D1F1B"/>
    <w:rsid w:val="00237664"/>
    <w:rsid w:val="00253E2A"/>
    <w:rsid w:val="00335FBD"/>
    <w:rsid w:val="003D4836"/>
    <w:rsid w:val="003F12AC"/>
    <w:rsid w:val="00406514"/>
    <w:rsid w:val="00415901"/>
    <w:rsid w:val="00450DFF"/>
    <w:rsid w:val="00457629"/>
    <w:rsid w:val="004F6371"/>
    <w:rsid w:val="0057373F"/>
    <w:rsid w:val="005D0BD9"/>
    <w:rsid w:val="00761735"/>
    <w:rsid w:val="007A585C"/>
    <w:rsid w:val="007C6794"/>
    <w:rsid w:val="00827870"/>
    <w:rsid w:val="008D38C8"/>
    <w:rsid w:val="008D7F8F"/>
    <w:rsid w:val="008F6612"/>
    <w:rsid w:val="00904CC4"/>
    <w:rsid w:val="009F2F6B"/>
    <w:rsid w:val="00A27366"/>
    <w:rsid w:val="00A34449"/>
    <w:rsid w:val="00A84D21"/>
    <w:rsid w:val="00B50090"/>
    <w:rsid w:val="00BA1F77"/>
    <w:rsid w:val="00C2558B"/>
    <w:rsid w:val="00CB1F51"/>
    <w:rsid w:val="00D838EF"/>
    <w:rsid w:val="00DA6116"/>
    <w:rsid w:val="00DB4E13"/>
    <w:rsid w:val="00DF3DF9"/>
    <w:rsid w:val="00E41278"/>
    <w:rsid w:val="00E63CCD"/>
    <w:rsid w:val="00E90407"/>
    <w:rsid w:val="00EC03AA"/>
    <w:rsid w:val="00EC281D"/>
    <w:rsid w:val="00F342A0"/>
    <w:rsid w:val="00F46F30"/>
    <w:rsid w:val="00FF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E704C"/>
  <w15:chartTrackingRefBased/>
  <w15:docId w15:val="{2E815583-548D-43FE-B1A1-6BBFB93CF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9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9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9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9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9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901"/>
    <w:rPr>
      <w:rFonts w:eastAsiaTheme="majorEastAsia" w:cstheme="majorBidi"/>
      <w:color w:val="272727" w:themeColor="text1" w:themeTint="D8"/>
    </w:rPr>
  </w:style>
  <w:style w:type="paragraph" w:styleId="Title">
    <w:name w:val="Title"/>
    <w:basedOn w:val="Normal"/>
    <w:next w:val="Normal"/>
    <w:link w:val="TitleChar"/>
    <w:uiPriority w:val="10"/>
    <w:qFormat/>
    <w:rsid w:val="00415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901"/>
    <w:pPr>
      <w:spacing w:before="160"/>
      <w:jc w:val="center"/>
    </w:pPr>
    <w:rPr>
      <w:i/>
      <w:iCs/>
      <w:color w:val="404040" w:themeColor="text1" w:themeTint="BF"/>
    </w:rPr>
  </w:style>
  <w:style w:type="character" w:customStyle="1" w:styleId="QuoteChar">
    <w:name w:val="Quote Char"/>
    <w:basedOn w:val="DefaultParagraphFont"/>
    <w:link w:val="Quote"/>
    <w:uiPriority w:val="29"/>
    <w:rsid w:val="00415901"/>
    <w:rPr>
      <w:i/>
      <w:iCs/>
      <w:color w:val="404040" w:themeColor="text1" w:themeTint="BF"/>
    </w:rPr>
  </w:style>
  <w:style w:type="paragraph" w:styleId="ListParagraph">
    <w:name w:val="List Paragraph"/>
    <w:basedOn w:val="Normal"/>
    <w:uiPriority w:val="34"/>
    <w:qFormat/>
    <w:rsid w:val="00415901"/>
    <w:pPr>
      <w:ind w:left="720"/>
      <w:contextualSpacing/>
    </w:pPr>
  </w:style>
  <w:style w:type="character" w:styleId="IntenseEmphasis">
    <w:name w:val="Intense Emphasis"/>
    <w:basedOn w:val="DefaultParagraphFont"/>
    <w:uiPriority w:val="21"/>
    <w:qFormat/>
    <w:rsid w:val="00415901"/>
    <w:rPr>
      <w:i/>
      <w:iCs/>
      <w:color w:val="0F4761" w:themeColor="accent1" w:themeShade="BF"/>
    </w:rPr>
  </w:style>
  <w:style w:type="paragraph" w:styleId="IntenseQuote">
    <w:name w:val="Intense Quote"/>
    <w:basedOn w:val="Normal"/>
    <w:next w:val="Normal"/>
    <w:link w:val="IntenseQuoteChar"/>
    <w:uiPriority w:val="30"/>
    <w:qFormat/>
    <w:rsid w:val="00415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901"/>
    <w:rPr>
      <w:i/>
      <w:iCs/>
      <w:color w:val="0F4761" w:themeColor="accent1" w:themeShade="BF"/>
    </w:rPr>
  </w:style>
  <w:style w:type="character" w:styleId="IntenseReference">
    <w:name w:val="Intense Reference"/>
    <w:basedOn w:val="DefaultParagraphFont"/>
    <w:uiPriority w:val="32"/>
    <w:qFormat/>
    <w:rsid w:val="00415901"/>
    <w:rPr>
      <w:b/>
      <w:bCs/>
      <w:smallCaps/>
      <w:color w:val="0F4761" w:themeColor="accent1" w:themeShade="BF"/>
      <w:spacing w:val="5"/>
    </w:rPr>
  </w:style>
  <w:style w:type="character" w:styleId="Hyperlink">
    <w:name w:val="Hyperlink"/>
    <w:basedOn w:val="DefaultParagraphFont"/>
    <w:uiPriority w:val="99"/>
    <w:unhideWhenUsed/>
    <w:rsid w:val="00E41278"/>
    <w:rPr>
      <w:color w:val="467886" w:themeColor="hyperlink"/>
      <w:u w:val="single"/>
    </w:rPr>
  </w:style>
  <w:style w:type="character" w:styleId="UnresolvedMention">
    <w:name w:val="Unresolved Mention"/>
    <w:basedOn w:val="DefaultParagraphFont"/>
    <w:uiPriority w:val="99"/>
    <w:semiHidden/>
    <w:unhideWhenUsed/>
    <w:rsid w:val="00E412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21ec42d28ba4d2cd9af79f022254c74">
  <xsd:schema xmlns:xsd="http://www.w3.org/2001/XMLSchema" xmlns:xs="http://www.w3.org/2001/XMLSchema" xmlns:p="http://schemas.microsoft.com/office/2006/metadata/properties" xmlns:ns3="0085e1a2-9cbf-4b92-866b-21f3c89040b6" targetNamespace="http://schemas.microsoft.com/office/2006/metadata/properties" ma:root="true" ma:fieldsID="d479d9fa5ee721a3e8af158e86d1317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AF5CB1-536F-47AB-BBB6-DC72B1AE7CCF}">
  <ds:schemaRefs>
    <ds:schemaRef ds:uri="http://schemas.microsoft.com/sharepoint/v3/contenttype/forms"/>
  </ds:schemaRefs>
</ds:datastoreItem>
</file>

<file path=customXml/itemProps2.xml><?xml version="1.0" encoding="utf-8"?>
<ds:datastoreItem xmlns:ds="http://schemas.openxmlformats.org/officeDocument/2006/customXml" ds:itemID="{906AAED1-264C-4117-80A8-AC5AC790D52E}">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8F76A2A-BFBF-4790-B173-F8386E7AF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4768</TotalTime>
  <Pages>10</Pages>
  <Words>2282</Words>
  <Characters>14996</Characters>
  <Application>Microsoft Office Word</Application>
  <DocSecurity>0</DocSecurity>
  <Lines>299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Kausar (2407682)</dc:creator>
  <cp:keywords/>
  <dc:description/>
  <cp:lastModifiedBy>Saima Kausar (2407682)</cp:lastModifiedBy>
  <cp:revision>39</cp:revision>
  <dcterms:created xsi:type="dcterms:W3CDTF">2025-11-08T23:23:00Z</dcterms:created>
  <dcterms:modified xsi:type="dcterms:W3CDTF">2025-11-15T19:35:00Z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