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057A01" w14:textId="154DF81F" w:rsidR="00D459FF" w:rsidRPr="008B304D" w:rsidRDefault="009F19C4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u w:val="single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Each individual case has been looked at separately and analysed to </w:t>
      </w:r>
      <w:r w:rsidR="00AE5595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advise appropriately based on their circumstances that arose on their visit. </w:t>
      </w:r>
    </w:p>
    <w:p w14:paraId="575D3BBD" w14:textId="77777777" w:rsidR="00223206" w:rsidRPr="008B304D" w:rsidRDefault="00223206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7AF31D1A" w14:textId="1EABFCD4" w:rsidR="00DA789A" w:rsidRPr="008B304D" w:rsidRDefault="00DA789A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u w:val="single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u w:val="single"/>
          <w:lang w:eastAsia="en-GB"/>
        </w:rPr>
        <w:t xml:space="preserve">Leo’s case </w:t>
      </w:r>
    </w:p>
    <w:p w14:paraId="57BB59B5" w14:textId="496D545D" w:rsidR="00DA789A" w:rsidRPr="008B304D" w:rsidRDefault="00DA789A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u w:val="single"/>
          <w:lang w:eastAsia="en-GB"/>
        </w:rPr>
      </w:pPr>
    </w:p>
    <w:p w14:paraId="024A44F0" w14:textId="5C012054" w:rsidR="00DA789A" w:rsidRPr="008B304D" w:rsidRDefault="001A3FED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>Firstly,</w:t>
      </w:r>
      <w:r w:rsidR="008F238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l</w:t>
      </w:r>
      <w:r w:rsidR="00DA789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ooking at Leo’s case </w:t>
      </w:r>
      <w:r w:rsidR="000C408C" w:rsidRPr="008B304D">
        <w:rPr>
          <w:rFonts w:eastAsia="Times New Roman" w:cstheme="minorHAnsi"/>
          <w:bCs/>
          <w:sz w:val="28"/>
          <w:szCs w:val="28"/>
          <w:lang w:eastAsia="en-GB"/>
        </w:rPr>
        <w:t>you would look at evidence</w:t>
      </w:r>
      <w:r w:rsidR="0022134E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that surround his </w:t>
      </w:r>
      <w:r w:rsidR="004E5E5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case </w:t>
      </w:r>
      <w:r w:rsidR="005630E0" w:rsidRPr="008B304D">
        <w:rPr>
          <w:rFonts w:eastAsia="Times New Roman" w:cstheme="minorHAnsi"/>
          <w:bCs/>
          <w:sz w:val="28"/>
          <w:szCs w:val="28"/>
          <w:lang w:eastAsia="en-GB"/>
        </w:rPr>
        <w:t>and</w:t>
      </w:r>
      <w:r w:rsidR="004E5E5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by then</w:t>
      </w:r>
      <w:r w:rsidR="000C408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22134E" w:rsidRPr="008B304D">
        <w:rPr>
          <w:rFonts w:eastAsia="Times New Roman" w:cstheme="minorHAnsi"/>
          <w:bCs/>
          <w:sz w:val="28"/>
          <w:szCs w:val="28"/>
          <w:lang w:eastAsia="en-GB"/>
        </w:rPr>
        <w:t>looking</w:t>
      </w:r>
      <w:r w:rsidR="004E5E5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at</w:t>
      </w:r>
      <w:r w:rsidR="00DA789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 Occupiers Liability Act </w:t>
      </w:r>
      <w:r w:rsidR="00F92808" w:rsidRPr="008B304D">
        <w:rPr>
          <w:rFonts w:eastAsia="Times New Roman" w:cstheme="minorHAnsi"/>
          <w:bCs/>
          <w:sz w:val="28"/>
          <w:szCs w:val="28"/>
          <w:lang w:eastAsia="en-GB"/>
        </w:rPr>
        <w:t>1957.</w:t>
      </w:r>
      <w:r w:rsidR="009A6DF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</w:t>
      </w:r>
      <w:r w:rsidR="00DB21CA" w:rsidRPr="008B304D">
        <w:rPr>
          <w:rFonts w:eastAsia="Times New Roman" w:cstheme="minorHAnsi"/>
          <w:bCs/>
          <w:sz w:val="28"/>
          <w:szCs w:val="28"/>
          <w:lang w:eastAsia="en-GB"/>
        </w:rPr>
        <w:t>he accident happened</w:t>
      </w:r>
      <w:r w:rsidR="00DA789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due to the </w:t>
      </w:r>
      <w:r w:rsidR="009A6DF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current </w:t>
      </w:r>
      <w:r w:rsidR="00DA789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damages at the premisses. </w:t>
      </w:r>
      <w:r w:rsidR="007D08A1" w:rsidRPr="008B304D">
        <w:rPr>
          <w:rFonts w:eastAsia="Times New Roman" w:cstheme="minorHAnsi"/>
          <w:bCs/>
          <w:sz w:val="28"/>
          <w:szCs w:val="28"/>
          <w:lang w:eastAsia="en-GB"/>
        </w:rPr>
        <w:t>S</w:t>
      </w:r>
      <w:r w:rsidR="00DA789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ection 1 of OLA </w:t>
      </w:r>
      <w:r w:rsidR="00F92808" w:rsidRPr="008B304D">
        <w:rPr>
          <w:rFonts w:eastAsia="Times New Roman" w:cstheme="minorHAnsi"/>
          <w:bCs/>
          <w:sz w:val="28"/>
          <w:szCs w:val="28"/>
          <w:lang w:eastAsia="en-GB"/>
        </w:rPr>
        <w:t>1957 states</w:t>
      </w:r>
      <w:r w:rsidR="00DA789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that occupiers of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their</w:t>
      </w:r>
      <w:r w:rsidR="00DA789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premises are to regulate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their</w:t>
      </w:r>
      <w:r w:rsidR="00DA789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duty to 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>their</w:t>
      </w:r>
      <w:r w:rsidR="00DA789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visitors in respect of dangers due to the current state of premises or to things done or omitted to be done on them. </w:t>
      </w:r>
    </w:p>
    <w:p w14:paraId="19550E06" w14:textId="391531E3" w:rsidR="00DA789A" w:rsidRPr="008B304D" w:rsidRDefault="00B56A67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In </w:t>
      </w:r>
      <w:r w:rsidR="00DA789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the case of wheat v Lacon (1966) it would suggest that 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>an</w:t>
      </w:r>
      <w:r w:rsidR="00DA789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occupier who hold</w:t>
      </w:r>
      <w:r w:rsidR="00D94D3B" w:rsidRPr="008B304D">
        <w:rPr>
          <w:rFonts w:eastAsia="Times New Roman" w:cstheme="minorHAnsi"/>
          <w:bCs/>
          <w:sz w:val="28"/>
          <w:szCs w:val="28"/>
          <w:lang w:eastAsia="en-GB"/>
        </w:rPr>
        <w:t>s</w:t>
      </w:r>
      <w:r w:rsidR="00DA789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sufficient control over a premises will be </w:t>
      </w:r>
      <w:r w:rsidR="00B14DC7" w:rsidRPr="008B304D">
        <w:rPr>
          <w:rFonts w:eastAsia="Times New Roman" w:cstheme="minorHAnsi"/>
          <w:bCs/>
          <w:sz w:val="28"/>
          <w:szCs w:val="28"/>
          <w:lang w:eastAsia="en-GB"/>
        </w:rPr>
        <w:t>able</w:t>
      </w:r>
      <w:r w:rsidR="00DA789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to prevent accidents from happening under common duty of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care.</w:t>
      </w:r>
      <w:r w:rsidR="00DA789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</w:p>
    <w:p w14:paraId="67DF1B89" w14:textId="27713AC7" w:rsidR="003C4889" w:rsidRPr="008B304D" w:rsidRDefault="00DA789A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>Leo was</w:t>
      </w:r>
      <w:r w:rsidR="00D94D3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just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8yrs old at the time and was at the park with his parents and although they would have full responsibility of </w:t>
      </w:r>
      <w:r w:rsidR="00943CF5" w:rsidRPr="008B304D">
        <w:rPr>
          <w:rFonts w:eastAsia="Times New Roman" w:cstheme="minorHAnsi"/>
          <w:bCs/>
          <w:sz w:val="28"/>
          <w:szCs w:val="28"/>
          <w:lang w:eastAsia="en-GB"/>
        </w:rPr>
        <w:t>their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943CF5" w:rsidRPr="008B304D">
        <w:rPr>
          <w:rFonts w:eastAsia="Times New Roman" w:cstheme="minorHAnsi"/>
          <w:bCs/>
          <w:sz w:val="28"/>
          <w:szCs w:val="28"/>
          <w:lang w:eastAsia="en-GB"/>
        </w:rPr>
        <w:t>child,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they would not have known that the fence was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broken,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under section 2 ,3a the act requires the occupier to </w:t>
      </w:r>
      <w:r w:rsidR="004865BB" w:rsidRPr="008B304D">
        <w:rPr>
          <w:rFonts w:eastAsia="Times New Roman" w:cstheme="minorHAnsi"/>
          <w:bCs/>
          <w:sz w:val="28"/>
          <w:szCs w:val="28"/>
          <w:lang w:eastAsia="en-GB"/>
        </w:rPr>
        <w:t>consider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 fact that children are less careful than 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>adults.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Given Leo was at a theme park there would have been many </w:t>
      </w:r>
      <w:r w:rsidR="003F724D" w:rsidRPr="008B304D">
        <w:rPr>
          <w:rFonts w:eastAsia="Times New Roman" w:cstheme="minorHAnsi"/>
          <w:bCs/>
          <w:sz w:val="28"/>
          <w:szCs w:val="28"/>
          <w:lang w:eastAsia="en-GB"/>
        </w:rPr>
        <w:t>distractions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for him due to excitement</w:t>
      </w:r>
      <w:r w:rsidR="00B7575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and so his concentration may have </w:t>
      </w:r>
      <w:r w:rsidR="00F92808" w:rsidRPr="008B304D">
        <w:rPr>
          <w:rFonts w:eastAsia="Times New Roman" w:cstheme="minorHAnsi"/>
          <w:bCs/>
          <w:sz w:val="28"/>
          <w:szCs w:val="28"/>
          <w:lang w:eastAsia="en-GB"/>
        </w:rPr>
        <w:t>been</w:t>
      </w:r>
      <w:r w:rsidR="00B7575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lower than normal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>. The parks occupier would have</w:t>
      </w:r>
      <w:r w:rsidR="0046395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had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 responsibility for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Leo</w:t>
      </w:r>
      <w:r w:rsidR="00F76AE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as they </w:t>
      </w:r>
      <w:r w:rsidR="00036A15" w:rsidRPr="008B304D">
        <w:rPr>
          <w:rFonts w:eastAsia="Times New Roman" w:cstheme="minorHAnsi"/>
          <w:bCs/>
          <w:sz w:val="28"/>
          <w:szCs w:val="28"/>
          <w:lang w:eastAsia="en-GB"/>
        </w:rPr>
        <w:t>do other paying guests,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it would have been</w:t>
      </w:r>
      <w:r w:rsidR="00036A15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 </w:t>
      </w:r>
      <w:r w:rsidR="00664122" w:rsidRPr="008B304D">
        <w:rPr>
          <w:rFonts w:eastAsia="Times New Roman" w:cstheme="minorHAnsi"/>
          <w:bCs/>
          <w:sz w:val="28"/>
          <w:szCs w:val="28"/>
          <w:lang w:eastAsia="en-GB"/>
        </w:rPr>
        <w:t>responsibility of the occupier to ensure safe surroundings to avoid any such accidents</w:t>
      </w:r>
      <w:r w:rsidR="00A65BD6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. </w:t>
      </w:r>
    </w:p>
    <w:p w14:paraId="2229EA90" w14:textId="3D184A17" w:rsidR="003C4889" w:rsidRPr="008B304D" w:rsidRDefault="00DA789A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A sign could have been in place to warn visitors that the fence was not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safe this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would be under section 2 ,4a of the OLA</w:t>
      </w:r>
    </w:p>
    <w:p w14:paraId="24C00F1B" w14:textId="75304609" w:rsidR="00DA789A" w:rsidRPr="008B304D" w:rsidRDefault="00DA789A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>1957</w:t>
      </w:r>
      <w:r w:rsidR="003C488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>(legislation.gov,2005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>) (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>Lunney &amp; Oliphant,2013).</w:t>
      </w:r>
    </w:p>
    <w:p w14:paraId="5A3DB0EC" w14:textId="09AF34F6" w:rsidR="00DA789A" w:rsidRPr="008B304D" w:rsidRDefault="00DA789A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>The wooden fence that was a fixed structure was along the concrete wall</w:t>
      </w:r>
      <w:r w:rsidR="00EC196B" w:rsidRPr="008B304D">
        <w:rPr>
          <w:rFonts w:eastAsia="Times New Roman" w:cstheme="minorHAnsi"/>
          <w:bCs/>
          <w:sz w:val="28"/>
          <w:szCs w:val="28"/>
          <w:lang w:eastAsia="en-GB"/>
        </w:rPr>
        <w:t>,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A26B9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the wood was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rotten,</w:t>
      </w:r>
      <w:r w:rsidR="00A26B9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and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this would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have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B5798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been 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a great danger to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Leo</w:t>
      </w:r>
      <w:r w:rsidR="00B46F8B" w:rsidRPr="008B304D">
        <w:rPr>
          <w:rFonts w:eastAsia="Times New Roman" w:cstheme="minorHAnsi"/>
          <w:bCs/>
          <w:sz w:val="28"/>
          <w:szCs w:val="28"/>
          <w:lang w:eastAsia="en-GB"/>
        </w:rPr>
        <w:t>.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It would show under section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1,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3A of the OLA 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>1957 that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responsibility of the occupiers </w:t>
      </w:r>
      <w:r w:rsidR="00943CF5" w:rsidRPr="008B304D">
        <w:rPr>
          <w:rFonts w:eastAsia="Times New Roman" w:cstheme="minorHAnsi"/>
          <w:bCs/>
          <w:sz w:val="28"/>
          <w:szCs w:val="28"/>
          <w:lang w:eastAsia="en-GB"/>
        </w:rPr>
        <w:t>is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to fix any dangers on the premises </w:t>
      </w:r>
      <w:r w:rsidR="00943CF5" w:rsidRPr="008B304D">
        <w:rPr>
          <w:rFonts w:eastAsia="Times New Roman" w:cstheme="minorHAnsi"/>
          <w:bCs/>
          <w:sz w:val="28"/>
          <w:szCs w:val="28"/>
          <w:lang w:eastAsia="en-GB"/>
        </w:rPr>
        <w:t>in line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with the</w:t>
      </w:r>
      <w:r w:rsidR="00246E2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OLA 1957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246E2C" w:rsidRPr="008B304D">
        <w:rPr>
          <w:rFonts w:eastAsia="Times New Roman" w:cstheme="minorHAnsi"/>
          <w:bCs/>
          <w:sz w:val="28"/>
          <w:szCs w:val="28"/>
          <w:lang w:eastAsia="en-GB"/>
        </w:rPr>
        <w:t>A</w:t>
      </w:r>
      <w:r w:rsidR="00943CF5" w:rsidRPr="008B304D">
        <w:rPr>
          <w:rFonts w:eastAsia="Times New Roman" w:cstheme="minorHAnsi"/>
          <w:bCs/>
          <w:sz w:val="28"/>
          <w:szCs w:val="28"/>
          <w:lang w:eastAsia="en-GB"/>
        </w:rPr>
        <w:t>ct.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This would include the fence that </w:t>
      </w:r>
      <w:r w:rsidR="00DD68A9" w:rsidRPr="008B304D">
        <w:rPr>
          <w:rFonts w:eastAsia="Times New Roman" w:cstheme="minorHAnsi"/>
          <w:bCs/>
          <w:sz w:val="28"/>
          <w:szCs w:val="28"/>
          <w:lang w:eastAsia="en-GB"/>
        </w:rPr>
        <w:t>Leo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had fallen over as it was a fixed structure.</w:t>
      </w:r>
      <w:r w:rsidR="004A15E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I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>t is common knowledge that children are less cautious than adults and the occupier must be aware that children may lean against the fences this would be defined under section 2, 3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a of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 act</w:t>
      </w:r>
      <w:r w:rsidR="006D1AA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. </w:t>
      </w:r>
    </w:p>
    <w:p w14:paraId="4ED6C110" w14:textId="3C898374" w:rsidR="00DA789A" w:rsidRPr="008B304D" w:rsidRDefault="00DA789A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It would have been in CPL ‘s best interest to have put a </w:t>
      </w:r>
      <w:r w:rsidR="00943CF5" w:rsidRPr="008B304D">
        <w:rPr>
          <w:rFonts w:eastAsia="Times New Roman" w:cstheme="minorHAnsi"/>
          <w:bCs/>
          <w:sz w:val="28"/>
          <w:szCs w:val="28"/>
          <w:lang w:eastAsia="en-GB"/>
        </w:rPr>
        <w:t>sign-up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notifying </w:t>
      </w:r>
      <w:r w:rsidR="00323E6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the public 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not to lean on the fence </w:t>
      </w:r>
      <w:r w:rsidR="00A7765E" w:rsidRPr="008B304D">
        <w:rPr>
          <w:rFonts w:eastAsia="Times New Roman" w:cstheme="minorHAnsi"/>
          <w:bCs/>
          <w:sz w:val="28"/>
          <w:szCs w:val="28"/>
          <w:lang w:eastAsia="en-GB"/>
        </w:rPr>
        <w:t>this could of prevented Leo from falling</w:t>
      </w:r>
      <w:r w:rsidR="003C1B1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and could of possibly prevented </w:t>
      </w:r>
      <w:r w:rsidR="003737B6" w:rsidRPr="008B304D">
        <w:rPr>
          <w:rFonts w:eastAsia="Times New Roman" w:cstheme="minorHAnsi"/>
          <w:bCs/>
          <w:sz w:val="28"/>
          <w:szCs w:val="28"/>
          <w:lang w:eastAsia="en-GB"/>
        </w:rPr>
        <w:t>CPL for being liable</w:t>
      </w:r>
      <w:r w:rsidR="00A7765E" w:rsidRPr="008B304D">
        <w:rPr>
          <w:rFonts w:eastAsia="Times New Roman" w:cstheme="minorHAnsi"/>
          <w:bCs/>
          <w:sz w:val="28"/>
          <w:szCs w:val="28"/>
          <w:lang w:eastAsia="en-GB"/>
        </w:rPr>
        <w:t>,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they</w:t>
      </w:r>
      <w:r w:rsidR="009F59E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could</w:t>
      </w:r>
      <w:r w:rsidR="00A7765E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of also</w:t>
      </w:r>
      <w:r w:rsidR="009F59E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offered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an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alternative </w:t>
      </w:r>
      <w:r w:rsidR="00810BF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safer 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route with access to the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ride</w:t>
      </w:r>
      <w:r w:rsidR="009F59E9" w:rsidRPr="008B304D">
        <w:rPr>
          <w:rFonts w:eastAsia="Times New Roman" w:cstheme="minorHAnsi"/>
          <w:bCs/>
          <w:sz w:val="28"/>
          <w:szCs w:val="28"/>
          <w:lang w:eastAsia="en-GB"/>
        </w:rPr>
        <w:t>,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this may have prevented Leo’s accident and any other possible 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>accidents</w:t>
      </w:r>
      <w:r w:rsidR="00A94EEA" w:rsidRPr="008B304D">
        <w:rPr>
          <w:rFonts w:eastAsia="Times New Roman" w:cstheme="minorHAnsi"/>
          <w:bCs/>
          <w:sz w:val="28"/>
          <w:szCs w:val="28"/>
          <w:lang w:eastAsia="en-GB"/>
        </w:rPr>
        <w:t>,</w:t>
      </w:r>
      <w:r w:rsidR="006D1AA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this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is stated in section 2, 4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a of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OLA 1957 and section 1, 3c of OLA 1984. Even if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CPL had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put a notice up it could 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lastRenderedPageBreak/>
        <w:t>have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given them time to fix the damage and shown they were offering reasonable care to all</w:t>
      </w:r>
      <w:r w:rsidR="00A94EE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their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visitors. Regular mainta</w:t>
      </w:r>
      <w:r w:rsidR="00A94EEA" w:rsidRPr="008B304D">
        <w:rPr>
          <w:rFonts w:eastAsia="Times New Roman" w:cstheme="minorHAnsi"/>
          <w:bCs/>
          <w:sz w:val="28"/>
          <w:szCs w:val="28"/>
          <w:lang w:eastAsia="en-GB"/>
        </w:rPr>
        <w:t>nce property and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on the fence to ensure no dangers were there would have been helpful and</w:t>
      </w:r>
      <w:r w:rsidR="0038536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an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easy </w:t>
      </w:r>
      <w:r w:rsidR="0038536C" w:rsidRPr="008B304D">
        <w:rPr>
          <w:rFonts w:eastAsia="Times New Roman" w:cstheme="minorHAnsi"/>
          <w:bCs/>
          <w:sz w:val="28"/>
          <w:szCs w:val="28"/>
          <w:lang w:eastAsia="en-GB"/>
        </w:rPr>
        <w:t>task for them to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include in daily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check</w:t>
      </w:r>
      <w:r w:rsidR="0038536C" w:rsidRPr="008B304D">
        <w:rPr>
          <w:rFonts w:eastAsia="Times New Roman" w:cstheme="minorHAnsi"/>
          <w:bCs/>
          <w:sz w:val="28"/>
          <w:szCs w:val="28"/>
          <w:lang w:eastAsia="en-GB"/>
        </w:rPr>
        <w:t>s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.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38536C" w:rsidRPr="008B304D">
        <w:rPr>
          <w:rFonts w:eastAsia="Times New Roman" w:cstheme="minorHAnsi"/>
          <w:bCs/>
          <w:sz w:val="28"/>
          <w:szCs w:val="28"/>
          <w:lang w:eastAsia="en-GB"/>
        </w:rPr>
        <w:t>A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lso included in the daily checks could have been the surrounding area such as the leaking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roof</w:t>
      </w:r>
      <w:r w:rsidR="0038536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of the funhouse ride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,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if </w:t>
      </w:r>
      <w:r w:rsidR="00943CF5" w:rsidRPr="008B304D">
        <w:rPr>
          <w:rFonts w:eastAsia="Times New Roman" w:cstheme="minorHAnsi"/>
          <w:bCs/>
          <w:sz w:val="28"/>
          <w:szCs w:val="28"/>
          <w:lang w:eastAsia="en-GB"/>
        </w:rPr>
        <w:t>you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are inviting visitors to your land then the area is to be correctly maintained and the correct inspections are in 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>place.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E4017C" w:rsidRPr="008B304D">
        <w:rPr>
          <w:rFonts w:eastAsia="Times New Roman" w:cstheme="minorHAnsi"/>
          <w:bCs/>
          <w:sz w:val="28"/>
          <w:szCs w:val="28"/>
          <w:lang w:eastAsia="en-GB"/>
        </w:rPr>
        <w:t>L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>ook at case law of Taylor v Glasgow corporation, 1922 where the defendant new of the danger but no protection was offered</w:t>
      </w:r>
      <w:r w:rsidR="006D1AA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. </w:t>
      </w:r>
    </w:p>
    <w:p w14:paraId="5D9B891D" w14:textId="35B190B4" w:rsidR="00DA789A" w:rsidRPr="008B304D" w:rsidRDefault="00DA789A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Conclusion here is </w:t>
      </w:r>
      <w:r w:rsidR="00DD68A9" w:rsidRPr="008B304D">
        <w:rPr>
          <w:rFonts w:eastAsia="Times New Roman" w:cstheme="minorHAnsi"/>
          <w:bCs/>
          <w:sz w:val="28"/>
          <w:szCs w:val="28"/>
          <w:lang w:eastAsia="en-GB"/>
        </w:rPr>
        <w:t>Leo’s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case would be safe to claim under the protection of the OLA 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>1957</w:t>
      </w:r>
      <w:r w:rsidR="00E4017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Act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>.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</w:p>
    <w:p w14:paraId="3DF636A7" w14:textId="299B760B" w:rsidR="00DA789A" w:rsidRPr="008B304D" w:rsidRDefault="00DA789A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4C0C4183" w14:textId="12C9AF9C" w:rsidR="00DA789A" w:rsidRPr="008B304D" w:rsidRDefault="00DD68A9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u w:val="single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u w:val="single"/>
          <w:lang w:eastAsia="en-GB"/>
        </w:rPr>
        <w:t>Millie’s</w:t>
      </w:r>
      <w:r w:rsidR="00DA789A" w:rsidRPr="008B304D">
        <w:rPr>
          <w:rFonts w:eastAsia="Times New Roman" w:cstheme="minorHAnsi"/>
          <w:bCs/>
          <w:sz w:val="28"/>
          <w:szCs w:val="28"/>
          <w:u w:val="single"/>
          <w:lang w:eastAsia="en-GB"/>
        </w:rPr>
        <w:t xml:space="preserve"> case </w:t>
      </w:r>
    </w:p>
    <w:p w14:paraId="329B03F3" w14:textId="7FF341B6" w:rsidR="00DA789A" w:rsidRPr="008B304D" w:rsidRDefault="00DA789A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u w:val="single"/>
          <w:lang w:eastAsia="en-GB"/>
        </w:rPr>
      </w:pPr>
    </w:p>
    <w:p w14:paraId="322CEB6A" w14:textId="3ECFA037" w:rsidR="00DA789A" w:rsidRPr="008B304D" w:rsidRDefault="00DA789A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>Millie decided not to pay the CPL entrance fee and</w:t>
      </w:r>
      <w:r w:rsidR="002124D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decided to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climb the fence to avoid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paying.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67082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By doing so 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>Millie would now be classed as a non-visitor</w:t>
      </w:r>
      <w:r w:rsidR="00670828" w:rsidRPr="008B304D">
        <w:rPr>
          <w:rFonts w:eastAsia="Times New Roman" w:cstheme="minorHAnsi"/>
          <w:bCs/>
          <w:sz w:val="28"/>
          <w:szCs w:val="28"/>
          <w:lang w:eastAsia="en-GB"/>
        </w:rPr>
        <w:t>. U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>nder the OLA 1984 section 1, 3 it states that the occupier must ensure reasonable safety for any non-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visitors,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this would include Millie </w:t>
      </w:r>
      <w:r w:rsidR="0067082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even though 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she climbed the fence with no intentions to pay the entrance fee. </w:t>
      </w:r>
    </w:p>
    <w:p w14:paraId="28854F37" w14:textId="7F2E5433" w:rsidR="00113343" w:rsidRPr="008B304D" w:rsidRDefault="00DA789A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For </w:t>
      </w:r>
      <w:r w:rsidR="009B6F11" w:rsidRPr="008B304D">
        <w:rPr>
          <w:rFonts w:eastAsia="Times New Roman" w:cstheme="minorHAnsi"/>
          <w:bCs/>
          <w:sz w:val="28"/>
          <w:szCs w:val="28"/>
          <w:lang w:eastAsia="en-GB"/>
        </w:rPr>
        <w:t>Millie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to be owed a duty of care her case would need to pass the 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>three-stage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test,</w:t>
      </w:r>
      <w:r w:rsidR="0027553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these being </w:t>
      </w:r>
      <w:r w:rsidR="00B0778B" w:rsidRPr="008B304D">
        <w:rPr>
          <w:rFonts w:eastAsia="Times New Roman" w:cstheme="minorHAnsi"/>
          <w:bCs/>
          <w:sz w:val="28"/>
          <w:szCs w:val="28"/>
          <w:lang w:eastAsia="en-GB"/>
        </w:rPr>
        <w:t>duty of care, breach of duty, causation of damage.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B0778B" w:rsidRPr="008B304D">
        <w:rPr>
          <w:rFonts w:eastAsia="Times New Roman" w:cstheme="minorHAnsi"/>
          <w:bCs/>
          <w:sz w:val="28"/>
          <w:szCs w:val="28"/>
          <w:lang w:eastAsia="en-GB"/>
        </w:rPr>
        <w:t>A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ll three parts would need to be proven for the case to be upheld. </w:t>
      </w:r>
      <w:r w:rsidR="00B0778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There would be no </w:t>
      </w:r>
      <w:r w:rsidR="00AB14A4" w:rsidRPr="008B304D">
        <w:rPr>
          <w:rFonts w:eastAsia="Times New Roman" w:cstheme="minorHAnsi"/>
          <w:bCs/>
          <w:sz w:val="28"/>
          <w:szCs w:val="28"/>
          <w:lang w:eastAsia="en-GB"/>
        </w:rPr>
        <w:t>sense</w:t>
      </w:r>
      <w:r w:rsidR="00B0778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1E5BB8" w:rsidRPr="008B304D">
        <w:rPr>
          <w:rFonts w:eastAsia="Times New Roman" w:cstheme="minorHAnsi"/>
          <w:bCs/>
          <w:sz w:val="28"/>
          <w:szCs w:val="28"/>
          <w:lang w:eastAsia="en-GB"/>
        </w:rPr>
        <w:t>to discuss if a duty of care exists if parties</w:t>
      </w:r>
      <w:r w:rsidR="00572B2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are in a position of relationship where this is established, however if this is not </w:t>
      </w:r>
      <w:r w:rsidR="00AB14A4" w:rsidRPr="008B304D">
        <w:rPr>
          <w:rFonts w:eastAsia="Times New Roman" w:cstheme="minorHAnsi"/>
          <w:bCs/>
          <w:sz w:val="28"/>
          <w:szCs w:val="28"/>
          <w:lang w:eastAsia="en-GB"/>
        </w:rPr>
        <w:t>established</w:t>
      </w:r>
      <w:r w:rsidR="00572B2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824165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then the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three-stage</w:t>
      </w:r>
      <w:r w:rsidR="00824165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test is </w:t>
      </w:r>
      <w:r w:rsidR="00AB14A4" w:rsidRPr="008B304D">
        <w:rPr>
          <w:rFonts w:eastAsia="Times New Roman" w:cstheme="minorHAnsi"/>
          <w:bCs/>
          <w:sz w:val="28"/>
          <w:szCs w:val="28"/>
          <w:lang w:eastAsia="en-GB"/>
        </w:rPr>
        <w:t>applied</w:t>
      </w:r>
      <w:r w:rsidR="00824165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and this test was</w:t>
      </w:r>
      <w:r w:rsidR="00623D63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first</w:t>
      </w:r>
      <w:r w:rsidR="00824165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developed from </w:t>
      </w:r>
      <w:r w:rsidR="00FB5B9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Caparo industries plc v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Dickman (</w:t>
      </w:r>
      <w:r w:rsidR="00FB5B98" w:rsidRPr="008B304D">
        <w:rPr>
          <w:rFonts w:eastAsia="Times New Roman" w:cstheme="minorHAnsi"/>
          <w:bCs/>
          <w:sz w:val="28"/>
          <w:szCs w:val="28"/>
          <w:lang w:eastAsia="en-GB"/>
        </w:rPr>
        <w:t>1990)</w:t>
      </w:r>
      <w:r w:rsidR="001A292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FE1402" w:rsidRPr="008B304D">
        <w:rPr>
          <w:rFonts w:eastAsia="Times New Roman" w:cstheme="minorHAnsi"/>
          <w:bCs/>
          <w:sz w:val="28"/>
          <w:szCs w:val="28"/>
          <w:lang w:eastAsia="en-GB"/>
        </w:rPr>
        <w:t>(cilex law school ltd,2018)</w:t>
      </w:r>
      <w:r w:rsidR="00FB5B98" w:rsidRPr="008B304D">
        <w:rPr>
          <w:rFonts w:eastAsia="Times New Roman" w:cstheme="minorHAnsi"/>
          <w:bCs/>
          <w:sz w:val="28"/>
          <w:szCs w:val="28"/>
          <w:lang w:eastAsia="en-GB"/>
        </w:rPr>
        <w:t>.</w:t>
      </w:r>
      <w:r w:rsidR="00572B2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</w:p>
    <w:p w14:paraId="5B6D4501" w14:textId="2966BCB1" w:rsidR="008C5129" w:rsidRPr="008B304D" w:rsidRDefault="00DA789A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>Millie fractured her skull and broke her sunglasses</w:t>
      </w:r>
      <w:r w:rsidR="00280E9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in the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accident,</w:t>
      </w:r>
      <w:r w:rsidR="00280E9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the lights falling on her were alleged to be loose and so it would be expected to ask if CPL knew that the lights and electrics were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loose,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if so then they </w:t>
      </w:r>
      <w:r w:rsidR="00AA6BE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would have been aware 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>of the dangers that could of ar</w:t>
      </w:r>
      <w:r w:rsidR="00AA6BE4" w:rsidRPr="008B304D">
        <w:rPr>
          <w:rFonts w:eastAsia="Times New Roman" w:cstheme="minorHAnsi"/>
          <w:bCs/>
          <w:sz w:val="28"/>
          <w:szCs w:val="28"/>
          <w:lang w:eastAsia="en-GB"/>
        </w:rPr>
        <w:t>ise</w:t>
      </w:r>
      <w:r w:rsidR="008109C2" w:rsidRPr="008B304D">
        <w:rPr>
          <w:rFonts w:eastAsia="Times New Roman" w:cstheme="minorHAnsi"/>
          <w:bCs/>
          <w:sz w:val="28"/>
          <w:szCs w:val="28"/>
          <w:lang w:eastAsia="en-GB"/>
        </w:rPr>
        <w:t>.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8109C2" w:rsidRPr="008B304D">
        <w:rPr>
          <w:rFonts w:eastAsia="Times New Roman" w:cstheme="minorHAnsi"/>
          <w:bCs/>
          <w:sz w:val="28"/>
          <w:szCs w:val="28"/>
          <w:lang w:eastAsia="en-GB"/>
        </w:rPr>
        <w:t>T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>his would come under section 1, 3a of the OLA 1984. If we now look to case law of Ferguson v Welsh 1987 where</w:t>
      </w:r>
      <w:r w:rsidR="008109C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danger was because of the condition of premises</w:t>
      </w:r>
      <w:r w:rsidR="0073180D" w:rsidRPr="008B304D">
        <w:rPr>
          <w:rFonts w:eastAsia="Times New Roman" w:cstheme="minorHAnsi"/>
          <w:bCs/>
          <w:sz w:val="28"/>
          <w:szCs w:val="28"/>
          <w:lang w:eastAsia="en-GB"/>
        </w:rPr>
        <w:t>,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it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was upheld that the occupier </w:t>
      </w:r>
      <w:r w:rsidR="0073180D" w:rsidRPr="008B304D">
        <w:rPr>
          <w:rFonts w:eastAsia="Times New Roman" w:cstheme="minorHAnsi"/>
          <w:bCs/>
          <w:sz w:val="28"/>
          <w:szCs w:val="28"/>
          <w:lang w:eastAsia="en-GB"/>
        </w:rPr>
        <w:t>was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liable.</w:t>
      </w:r>
      <w:r w:rsidR="0002058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73180D" w:rsidRPr="008B304D">
        <w:rPr>
          <w:rFonts w:eastAsia="Times New Roman" w:cstheme="minorHAnsi"/>
          <w:bCs/>
          <w:sz w:val="28"/>
          <w:szCs w:val="28"/>
          <w:lang w:eastAsia="en-GB"/>
        </w:rPr>
        <w:t>A</w:t>
      </w:r>
      <w:r w:rsidR="0002058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s a </w:t>
      </w:r>
      <w:r w:rsidR="00123A50" w:rsidRPr="008B304D">
        <w:rPr>
          <w:rFonts w:eastAsia="Times New Roman" w:cstheme="minorHAnsi"/>
          <w:bCs/>
          <w:sz w:val="28"/>
          <w:szCs w:val="28"/>
          <w:lang w:eastAsia="en-GB"/>
        </w:rPr>
        <w:t>visitor</w:t>
      </w:r>
      <w:r w:rsidR="0002058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or non-</w:t>
      </w:r>
      <w:r w:rsidR="00123A50" w:rsidRPr="008B304D">
        <w:rPr>
          <w:rFonts w:eastAsia="Times New Roman" w:cstheme="minorHAnsi"/>
          <w:bCs/>
          <w:sz w:val="28"/>
          <w:szCs w:val="28"/>
          <w:lang w:eastAsia="en-GB"/>
        </w:rPr>
        <w:t>visitor</w:t>
      </w:r>
      <w:r w:rsidR="0002058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123A50" w:rsidRPr="008B304D">
        <w:rPr>
          <w:rFonts w:eastAsia="Times New Roman" w:cstheme="minorHAnsi"/>
          <w:bCs/>
          <w:sz w:val="28"/>
          <w:szCs w:val="28"/>
          <w:lang w:eastAsia="en-GB"/>
        </w:rPr>
        <w:t>Millie</w:t>
      </w:r>
      <w:r w:rsidR="0002058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would have been able to attempt to ride that</w:t>
      </w:r>
      <w:r w:rsidR="0073180D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particular</w:t>
      </w:r>
      <w:r w:rsidR="0002058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ride as would others</w:t>
      </w:r>
      <w:r w:rsidR="00681C25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(</w:t>
      </w:r>
      <w:bookmarkStart w:id="0" w:name="_Hlk99487134"/>
      <w:r w:rsidR="00681C25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Young v </w:t>
      </w:r>
      <w:r w:rsidR="005630E0" w:rsidRPr="008B304D">
        <w:rPr>
          <w:rFonts w:eastAsia="Times New Roman" w:cstheme="minorHAnsi"/>
          <w:bCs/>
          <w:sz w:val="28"/>
          <w:szCs w:val="28"/>
          <w:lang w:eastAsia="en-GB"/>
        </w:rPr>
        <w:t>Kent County</w:t>
      </w:r>
      <w:r w:rsidR="00681C25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council </w:t>
      </w:r>
      <w:r w:rsidR="00E14AA7" w:rsidRPr="008B304D">
        <w:rPr>
          <w:rFonts w:eastAsia="Times New Roman" w:cstheme="minorHAnsi"/>
          <w:bCs/>
          <w:sz w:val="28"/>
          <w:szCs w:val="28"/>
          <w:lang w:eastAsia="en-GB"/>
        </w:rPr>
        <w:t>2005</w:t>
      </w:r>
      <w:bookmarkEnd w:id="0"/>
      <w:r w:rsidR="00E14AA7" w:rsidRPr="008B304D">
        <w:rPr>
          <w:rFonts w:eastAsia="Times New Roman" w:cstheme="minorHAnsi"/>
          <w:bCs/>
          <w:sz w:val="28"/>
          <w:szCs w:val="28"/>
          <w:lang w:eastAsia="en-GB"/>
        </w:rPr>
        <w:t>)</w:t>
      </w:r>
      <w:r w:rsidR="00CD54D9" w:rsidRPr="008B304D">
        <w:rPr>
          <w:rFonts w:eastAsia="Times New Roman" w:cstheme="minorHAnsi"/>
          <w:bCs/>
          <w:sz w:val="28"/>
          <w:szCs w:val="28"/>
          <w:lang w:eastAsia="en-GB"/>
        </w:rPr>
        <w:t>,</w:t>
      </w:r>
      <w:r w:rsidR="00F7378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so according to section 1, 3b the occupier should have known </w:t>
      </w:r>
      <w:r w:rsidR="00F2662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that any type of </w:t>
      </w:r>
      <w:r w:rsidR="00123A50" w:rsidRPr="008B304D">
        <w:rPr>
          <w:rFonts w:eastAsia="Times New Roman" w:cstheme="minorHAnsi"/>
          <w:bCs/>
          <w:sz w:val="28"/>
          <w:szCs w:val="28"/>
          <w:lang w:eastAsia="en-GB"/>
        </w:rPr>
        <w:t>visitor</w:t>
      </w:r>
      <w:r w:rsidR="00F2662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may </w:t>
      </w:r>
      <w:r w:rsidR="00713A67" w:rsidRPr="008B304D">
        <w:rPr>
          <w:rFonts w:eastAsia="Times New Roman" w:cstheme="minorHAnsi"/>
          <w:bCs/>
          <w:sz w:val="28"/>
          <w:szCs w:val="28"/>
          <w:lang w:eastAsia="en-GB"/>
        </w:rPr>
        <w:t>encounter</w:t>
      </w:r>
      <w:r w:rsidR="00F2662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 danger </w:t>
      </w:r>
      <w:r w:rsidR="00CD54D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that arose through Millie’s accident.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So,</w:t>
      </w:r>
      <w:r w:rsidR="009373B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if CPL had known</w:t>
      </w:r>
      <w:r w:rsidR="00DB1FC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about the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damage,</w:t>
      </w:r>
      <w:r w:rsidR="009373B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then they could have prevented such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accident!</w:t>
      </w:r>
      <w:r w:rsidR="009373B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981653" w:rsidRPr="008B304D">
        <w:rPr>
          <w:rFonts w:eastAsia="Times New Roman" w:cstheme="minorHAnsi"/>
          <w:bCs/>
          <w:sz w:val="28"/>
          <w:szCs w:val="28"/>
          <w:lang w:eastAsia="en-GB"/>
        </w:rPr>
        <w:t>U</w:t>
      </w:r>
      <w:r w:rsidR="0072579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nder section 1,3c OLA 1984 </w:t>
      </w:r>
      <w:r w:rsidR="00B026E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where the occupier could have reasonably </w:t>
      </w:r>
      <w:r w:rsidR="00B2069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offered a protection </w:t>
      </w:r>
      <w:r w:rsidR="005630E0" w:rsidRPr="008B304D">
        <w:rPr>
          <w:rFonts w:eastAsia="Times New Roman" w:cstheme="minorHAnsi"/>
          <w:bCs/>
          <w:sz w:val="28"/>
          <w:szCs w:val="28"/>
          <w:lang w:eastAsia="en-GB"/>
        </w:rPr>
        <w:t>here.</w:t>
      </w:r>
      <w:r w:rsidR="006A421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C</w:t>
      </w:r>
      <w:r w:rsidR="00B2069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ase law </w:t>
      </w:r>
      <w:r w:rsidR="006A421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that would be relevant </w:t>
      </w:r>
      <w:r w:rsidR="00B20698" w:rsidRPr="008B304D">
        <w:rPr>
          <w:rFonts w:eastAsia="Times New Roman" w:cstheme="minorHAnsi"/>
          <w:bCs/>
          <w:sz w:val="28"/>
          <w:szCs w:val="28"/>
          <w:lang w:eastAsia="en-GB"/>
        </w:rPr>
        <w:t>here</w:t>
      </w:r>
      <w:r w:rsidR="006A421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would be that</w:t>
      </w:r>
      <w:r w:rsidR="00B2069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of </w:t>
      </w:r>
      <w:bookmarkStart w:id="1" w:name="_Hlk98709899"/>
      <w:r w:rsidR="00993584" w:rsidRPr="008B304D">
        <w:rPr>
          <w:rFonts w:eastAsia="Times New Roman" w:cstheme="minorHAnsi"/>
          <w:bCs/>
          <w:sz w:val="28"/>
          <w:szCs w:val="28"/>
          <w:lang w:eastAsia="en-GB"/>
        </w:rPr>
        <w:t>Jolley</w:t>
      </w:r>
      <w:r w:rsidR="000D3C4D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v Sutton London borough council (2000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).</w:t>
      </w:r>
      <w:r w:rsidR="00363986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363986" w:rsidRPr="008B304D">
        <w:rPr>
          <w:rFonts w:eastAsia="Times New Roman" w:cstheme="minorHAnsi"/>
          <w:bCs/>
          <w:sz w:val="28"/>
          <w:szCs w:val="28"/>
          <w:lang w:eastAsia="en-GB"/>
        </w:rPr>
        <w:lastRenderedPageBreak/>
        <w:t xml:space="preserve">Shown in section 1, 4 </w:t>
      </w:r>
      <w:r w:rsidR="00674E4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of the OLA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1984,</w:t>
      </w:r>
      <w:r w:rsidR="00674E4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 owner has a duty to non-</w:t>
      </w:r>
      <w:r w:rsidR="00B052B0" w:rsidRPr="008B304D">
        <w:rPr>
          <w:rFonts w:eastAsia="Times New Roman" w:cstheme="minorHAnsi"/>
          <w:bCs/>
          <w:sz w:val="28"/>
          <w:szCs w:val="28"/>
          <w:lang w:eastAsia="en-GB"/>
        </w:rPr>
        <w:t>visitors</w:t>
      </w:r>
      <w:r w:rsidR="00674E4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281501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to ensure they are reasonable safe this section of the </w:t>
      </w:r>
      <w:r w:rsidR="006A421C" w:rsidRPr="008B304D">
        <w:rPr>
          <w:rFonts w:eastAsia="Times New Roman" w:cstheme="minorHAnsi"/>
          <w:bCs/>
          <w:sz w:val="28"/>
          <w:szCs w:val="28"/>
          <w:lang w:eastAsia="en-GB"/>
        </w:rPr>
        <w:t>A</w:t>
      </w:r>
      <w:r w:rsidR="00281501" w:rsidRPr="008B304D">
        <w:rPr>
          <w:rFonts w:eastAsia="Times New Roman" w:cstheme="minorHAnsi"/>
          <w:bCs/>
          <w:sz w:val="28"/>
          <w:szCs w:val="28"/>
          <w:lang w:eastAsia="en-GB"/>
        </w:rPr>
        <w:t>ct i</w:t>
      </w:r>
      <w:r w:rsidR="006A421C" w:rsidRPr="008B304D">
        <w:rPr>
          <w:rFonts w:eastAsia="Times New Roman" w:cstheme="minorHAnsi"/>
          <w:bCs/>
          <w:sz w:val="28"/>
          <w:szCs w:val="28"/>
          <w:lang w:eastAsia="en-GB"/>
        </w:rPr>
        <w:t>s</w:t>
      </w:r>
      <w:r w:rsidR="00281501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different to the </w:t>
      </w:r>
      <w:r w:rsidR="00E2448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1957 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OLA </w:t>
      </w:r>
      <w:r w:rsidR="006A421C" w:rsidRPr="008B304D">
        <w:rPr>
          <w:rFonts w:eastAsia="Times New Roman" w:cstheme="minorHAnsi"/>
          <w:bCs/>
          <w:sz w:val="28"/>
          <w:szCs w:val="28"/>
          <w:lang w:eastAsia="en-GB"/>
        </w:rPr>
        <w:t>A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>ct</w:t>
      </w:r>
      <w:r w:rsidR="00E2448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where it states that occupants do not have a </w:t>
      </w:r>
      <w:r w:rsidR="00943CF5" w:rsidRPr="008B304D">
        <w:rPr>
          <w:rFonts w:eastAsia="Times New Roman" w:cstheme="minorHAnsi"/>
          <w:bCs/>
          <w:sz w:val="28"/>
          <w:szCs w:val="28"/>
          <w:lang w:eastAsia="en-GB"/>
        </w:rPr>
        <w:t>duty to</w:t>
      </w:r>
      <w:r w:rsidR="00E2448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non-</w:t>
      </w:r>
      <w:r w:rsidR="00943CF5" w:rsidRPr="008B304D">
        <w:rPr>
          <w:rFonts w:eastAsia="Times New Roman" w:cstheme="minorHAnsi"/>
          <w:bCs/>
          <w:sz w:val="28"/>
          <w:szCs w:val="28"/>
          <w:lang w:eastAsia="en-GB"/>
        </w:rPr>
        <w:t>visitors.</w:t>
      </w:r>
      <w:r w:rsidR="00B052B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6A421C" w:rsidRPr="008B304D">
        <w:rPr>
          <w:rFonts w:eastAsia="Times New Roman" w:cstheme="minorHAnsi"/>
          <w:bCs/>
          <w:sz w:val="28"/>
          <w:szCs w:val="28"/>
          <w:lang w:eastAsia="en-GB"/>
        </w:rPr>
        <w:t>I</w:t>
      </w:r>
      <w:r w:rsidR="00B052B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t would be section </w:t>
      </w:r>
      <w:r w:rsidR="000005E3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1, 3 OLA 1984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that applies</w:t>
      </w:r>
      <w:r w:rsidR="000005E3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to non- visitors.</w:t>
      </w:r>
    </w:p>
    <w:p w14:paraId="75870250" w14:textId="51C9657E" w:rsidR="00907BBE" w:rsidRPr="008B304D" w:rsidRDefault="008C5129" w:rsidP="00716512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Whilst </w:t>
      </w:r>
      <w:r w:rsidR="009B6F11" w:rsidRPr="008B304D">
        <w:rPr>
          <w:rFonts w:eastAsia="Times New Roman" w:cstheme="minorHAnsi"/>
          <w:bCs/>
          <w:sz w:val="28"/>
          <w:szCs w:val="28"/>
          <w:lang w:eastAsia="en-GB"/>
        </w:rPr>
        <w:t>Millie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climbed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over the fence at her own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risk,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9029F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she should have been aware of any dangers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beforehand, </w:t>
      </w:r>
      <w:r w:rsidR="00713A67" w:rsidRPr="008B304D">
        <w:rPr>
          <w:rFonts w:eastAsia="Times New Roman" w:cstheme="minorHAnsi"/>
          <w:bCs/>
          <w:sz w:val="28"/>
          <w:szCs w:val="28"/>
          <w:lang w:eastAsia="en-GB"/>
        </w:rPr>
        <w:t>it</w:t>
      </w:r>
      <w:r w:rsidR="002F1BC1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was a</w:t>
      </w:r>
      <w:r w:rsidR="009029F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moving 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>ride</w:t>
      </w:r>
      <w:r w:rsidR="002F1BC1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at the time she jumped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>,</w:t>
      </w:r>
      <w:r w:rsidR="009029F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721741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but she still went ahead. Here is where it could be argued </w:t>
      </w:r>
      <w:r w:rsidR="000A613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that she may have suffered no </w:t>
      </w:r>
      <w:r w:rsidR="009B6F11" w:rsidRPr="008B304D">
        <w:rPr>
          <w:rFonts w:eastAsia="Times New Roman" w:cstheme="minorHAnsi"/>
          <w:bCs/>
          <w:sz w:val="28"/>
          <w:szCs w:val="28"/>
          <w:lang w:eastAsia="en-GB"/>
        </w:rPr>
        <w:t>injuries</w:t>
      </w:r>
      <w:r w:rsidR="000A613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at all had the ride not been moving. The lights came down whilst the ride was in motion</w:t>
      </w:r>
      <w:r w:rsidR="00B974BE" w:rsidRPr="008B304D">
        <w:rPr>
          <w:rFonts w:eastAsia="Times New Roman" w:cstheme="minorHAnsi"/>
          <w:bCs/>
          <w:sz w:val="28"/>
          <w:szCs w:val="28"/>
          <w:lang w:eastAsia="en-GB"/>
        </w:rPr>
        <w:t>,</w:t>
      </w:r>
      <w:r w:rsidR="000A613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513FF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if </w:t>
      </w:r>
      <w:r w:rsidR="00B974BE" w:rsidRPr="008B304D">
        <w:rPr>
          <w:rFonts w:eastAsia="Times New Roman" w:cstheme="minorHAnsi"/>
          <w:bCs/>
          <w:sz w:val="28"/>
          <w:szCs w:val="28"/>
          <w:lang w:eastAsia="en-GB"/>
        </w:rPr>
        <w:t>the ride</w:t>
      </w:r>
      <w:r w:rsidR="00513FF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A65BD6" w:rsidRPr="008B304D">
        <w:rPr>
          <w:rFonts w:eastAsia="Times New Roman" w:cstheme="minorHAnsi"/>
          <w:bCs/>
          <w:sz w:val="28"/>
          <w:szCs w:val="28"/>
          <w:lang w:eastAsia="en-GB"/>
        </w:rPr>
        <w:t>were</w:t>
      </w:r>
      <w:r w:rsidR="00513FF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DB7D9A" w:rsidRPr="008B304D">
        <w:rPr>
          <w:rFonts w:eastAsia="Times New Roman" w:cstheme="minorHAnsi"/>
          <w:bCs/>
          <w:sz w:val="28"/>
          <w:szCs w:val="28"/>
          <w:lang w:eastAsia="en-GB"/>
        </w:rPr>
        <w:t>not moving at the time</w:t>
      </w:r>
      <w:r w:rsidR="00513FF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when </w:t>
      </w:r>
      <w:r w:rsidR="009B6F11" w:rsidRPr="008B304D">
        <w:rPr>
          <w:rFonts w:eastAsia="Times New Roman" w:cstheme="minorHAnsi"/>
          <w:bCs/>
          <w:sz w:val="28"/>
          <w:szCs w:val="28"/>
          <w:lang w:eastAsia="en-GB"/>
        </w:rPr>
        <w:t>Millie</w:t>
      </w:r>
      <w:r w:rsidR="00513FF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landed would she have been </w:t>
      </w:r>
      <w:r w:rsidR="009B6F11" w:rsidRPr="008B304D">
        <w:rPr>
          <w:rFonts w:eastAsia="Times New Roman" w:cstheme="minorHAnsi"/>
          <w:bCs/>
          <w:sz w:val="28"/>
          <w:szCs w:val="28"/>
          <w:lang w:eastAsia="en-GB"/>
        </w:rPr>
        <w:t>injured</w:t>
      </w:r>
      <w:r w:rsidR="006D1AA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? </w:t>
      </w:r>
      <w:r w:rsidR="007804F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Could she </w:t>
      </w:r>
      <w:r w:rsidR="00943CF5" w:rsidRPr="008B304D">
        <w:rPr>
          <w:rFonts w:eastAsia="Times New Roman" w:cstheme="minorHAnsi"/>
          <w:bCs/>
          <w:sz w:val="28"/>
          <w:szCs w:val="28"/>
          <w:lang w:eastAsia="en-GB"/>
        </w:rPr>
        <w:t>have</w:t>
      </w:r>
      <w:r w:rsidR="007804F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waited for the ride to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stop?</w:t>
      </w:r>
      <w:r w:rsidR="007804F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and so argument could be it was her </w:t>
      </w:r>
      <w:r w:rsidR="00943CF5" w:rsidRPr="008B304D">
        <w:rPr>
          <w:rFonts w:eastAsia="Times New Roman" w:cstheme="minorHAnsi"/>
          <w:bCs/>
          <w:sz w:val="28"/>
          <w:szCs w:val="28"/>
          <w:lang w:eastAsia="en-GB"/>
        </w:rPr>
        <w:t>fault?</w:t>
      </w:r>
    </w:p>
    <w:p w14:paraId="1B0833E2" w14:textId="279B3EC7" w:rsidR="00907BBE" w:rsidRPr="008B304D" w:rsidRDefault="006D1AA9" w:rsidP="00300D90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>Let us</w:t>
      </w:r>
      <w:r w:rsidR="0071651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not forget here that there was also </w:t>
      </w:r>
      <w:r w:rsidR="00943CF5" w:rsidRPr="008B304D">
        <w:rPr>
          <w:rFonts w:eastAsia="Times New Roman" w:cstheme="minorHAnsi"/>
          <w:bCs/>
          <w:sz w:val="28"/>
          <w:szCs w:val="28"/>
          <w:lang w:eastAsia="en-GB"/>
        </w:rPr>
        <w:t>Leo’s</w:t>
      </w:r>
      <w:r w:rsidR="0071651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accident a few days prior to this and so </w:t>
      </w:r>
      <w:r w:rsidR="00A04BE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should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CPL have</w:t>
      </w:r>
      <w:r w:rsidR="00A04BE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known that there were </w:t>
      </w:r>
      <w:r w:rsidR="000B2231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rides in need of safety checks and </w:t>
      </w:r>
      <w:r w:rsidR="009B6F11" w:rsidRPr="008B304D">
        <w:rPr>
          <w:rFonts w:eastAsia="Times New Roman" w:cstheme="minorHAnsi"/>
          <w:bCs/>
          <w:sz w:val="28"/>
          <w:szCs w:val="28"/>
          <w:lang w:eastAsia="en-GB"/>
        </w:rPr>
        <w:t>maintenance</w:t>
      </w:r>
      <w:r w:rsidR="00B25FC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AB629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observed. Maybe if this 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>were</w:t>
      </w:r>
      <w:r w:rsidR="00AB629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known or checked such accidents could have been prevented</w:t>
      </w:r>
      <w:r w:rsidR="00770DF4" w:rsidRPr="008B304D">
        <w:rPr>
          <w:rFonts w:eastAsia="Times New Roman" w:cstheme="minorHAnsi"/>
          <w:bCs/>
          <w:sz w:val="28"/>
          <w:szCs w:val="28"/>
          <w:lang w:eastAsia="en-GB"/>
        </w:rPr>
        <w:t>.</w:t>
      </w:r>
      <w:r w:rsidR="00B25FC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Although it could be argued that the </w:t>
      </w:r>
      <w:r w:rsidR="00300D9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accident only occurred because the ride was in motion and only started coming loose at that </w:t>
      </w:r>
      <w:r w:rsidR="00F63D03" w:rsidRPr="008B304D">
        <w:rPr>
          <w:rFonts w:eastAsia="Times New Roman" w:cstheme="minorHAnsi"/>
          <w:bCs/>
          <w:sz w:val="28"/>
          <w:szCs w:val="28"/>
          <w:lang w:eastAsia="en-GB"/>
        </w:rPr>
        <w:t>time</w:t>
      </w:r>
      <w:r w:rsidR="00300D9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. </w:t>
      </w:r>
      <w:r w:rsidR="00E2295D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CPL should have also been aware of trespassers </w:t>
      </w:r>
      <w:r w:rsidR="00363546" w:rsidRPr="008B304D">
        <w:rPr>
          <w:rFonts w:eastAsia="Times New Roman" w:cstheme="minorHAnsi"/>
          <w:bCs/>
          <w:sz w:val="28"/>
          <w:szCs w:val="28"/>
          <w:lang w:eastAsia="en-GB"/>
        </w:rPr>
        <w:t>by putting signs in place warning of the dangers</w:t>
      </w:r>
      <w:r w:rsidR="00F63D03" w:rsidRPr="008B304D">
        <w:rPr>
          <w:rFonts w:eastAsia="Times New Roman" w:cstheme="minorHAnsi"/>
          <w:bCs/>
          <w:sz w:val="28"/>
          <w:szCs w:val="28"/>
          <w:lang w:eastAsia="en-GB"/>
        </w:rPr>
        <w:t>,</w:t>
      </w:r>
      <w:r w:rsidR="00363546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6C3233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section 1,2 OLA 1984 </w:t>
      </w:r>
      <w:r w:rsidR="005D738B" w:rsidRPr="008B304D">
        <w:rPr>
          <w:rFonts w:eastAsia="Times New Roman" w:cstheme="minorHAnsi"/>
          <w:bCs/>
          <w:sz w:val="28"/>
          <w:szCs w:val="28"/>
          <w:lang w:eastAsia="en-GB"/>
        </w:rPr>
        <w:t>(legislation.gov,2010).</w:t>
      </w:r>
    </w:p>
    <w:p w14:paraId="351B60A9" w14:textId="17D9DDDE" w:rsidR="00D767AB" w:rsidRPr="008B304D" w:rsidRDefault="00D767AB" w:rsidP="00300D90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Based on </w:t>
      </w:r>
      <w:r w:rsidR="00D874DC" w:rsidRPr="008B304D">
        <w:rPr>
          <w:rFonts w:eastAsia="Times New Roman" w:cstheme="minorHAnsi"/>
          <w:bCs/>
          <w:sz w:val="28"/>
          <w:szCs w:val="28"/>
          <w:lang w:eastAsia="en-GB"/>
        </w:rPr>
        <w:t>Millie’s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case she would have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an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F63D03" w:rsidRPr="008B304D">
        <w:rPr>
          <w:rFonts w:eastAsia="Times New Roman" w:cstheme="minorHAnsi"/>
          <w:bCs/>
          <w:sz w:val="28"/>
          <w:szCs w:val="28"/>
          <w:lang w:eastAsia="en-GB"/>
        </w:rPr>
        <w:t>argument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134745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under </w:t>
      </w:r>
      <w:r w:rsidR="00943CF5" w:rsidRPr="008B304D">
        <w:rPr>
          <w:rFonts w:eastAsia="Times New Roman" w:cstheme="minorHAnsi"/>
          <w:bCs/>
          <w:sz w:val="28"/>
          <w:szCs w:val="28"/>
          <w:lang w:eastAsia="en-GB"/>
        </w:rPr>
        <w:t>occupier’s</w:t>
      </w:r>
      <w:r w:rsidR="00134745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act 1984 section 1, </w:t>
      </w:r>
      <w:r w:rsidR="005C0A39" w:rsidRPr="008B304D">
        <w:rPr>
          <w:rFonts w:eastAsia="Times New Roman" w:cstheme="minorHAnsi"/>
          <w:bCs/>
          <w:sz w:val="28"/>
          <w:szCs w:val="28"/>
          <w:lang w:eastAsia="en-GB"/>
        </w:rPr>
        <w:t>3.</w:t>
      </w:r>
      <w:r w:rsidR="008359D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CPL would be liable for her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injury,</w:t>
      </w:r>
      <w:r w:rsidR="008359DA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and she</w:t>
      </w:r>
      <w:r w:rsidR="00FC31F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DB0B8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would be entitled to compensation but would be unable to gain any costs for damage to her 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>property</w:t>
      </w:r>
      <w:r w:rsidR="0030440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such as her sunglasses.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30440F" w:rsidRPr="008B304D">
        <w:rPr>
          <w:rFonts w:eastAsia="Times New Roman" w:cstheme="minorHAnsi"/>
          <w:bCs/>
          <w:sz w:val="28"/>
          <w:szCs w:val="28"/>
          <w:lang w:eastAsia="en-GB"/>
        </w:rPr>
        <w:t>U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>nder</w:t>
      </w:r>
      <w:r w:rsidR="00B84D2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section 1,8 where it sates that the occupier i</w:t>
      </w:r>
      <w:r w:rsidR="0030440F" w:rsidRPr="008B304D">
        <w:rPr>
          <w:rFonts w:eastAsia="Times New Roman" w:cstheme="minorHAnsi"/>
          <w:bCs/>
          <w:sz w:val="28"/>
          <w:szCs w:val="28"/>
          <w:lang w:eastAsia="en-GB"/>
        </w:rPr>
        <w:t>s</w:t>
      </w:r>
      <w:r w:rsidR="00B84D2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not in breach of duty for any broken </w:t>
      </w:r>
      <w:r w:rsidR="00380A51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/lost property. </w:t>
      </w:r>
    </w:p>
    <w:p w14:paraId="34DE9475" w14:textId="61BAD7C1" w:rsidR="003748EA" w:rsidRPr="008B304D" w:rsidRDefault="003748EA" w:rsidP="00300D90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According to Horsey and </w:t>
      </w:r>
      <w:r w:rsidR="00D874DC" w:rsidRPr="008B304D">
        <w:rPr>
          <w:rFonts w:eastAsia="Times New Roman" w:cstheme="minorHAnsi"/>
          <w:bCs/>
          <w:sz w:val="28"/>
          <w:szCs w:val="28"/>
          <w:lang w:eastAsia="en-GB"/>
        </w:rPr>
        <w:t>Rackley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(2015)</w:t>
      </w:r>
      <w:r w:rsidR="00BC08DD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‘the issue of the level </w:t>
      </w:r>
      <w:r w:rsidR="004C6C0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of duty which should be owned to </w:t>
      </w:r>
      <w:r w:rsidR="00D874DC" w:rsidRPr="008B304D">
        <w:rPr>
          <w:rFonts w:eastAsia="Times New Roman" w:cstheme="minorHAnsi"/>
          <w:bCs/>
          <w:sz w:val="28"/>
          <w:szCs w:val="28"/>
          <w:lang w:eastAsia="en-GB"/>
        </w:rPr>
        <w:t>trespassers</w:t>
      </w:r>
      <w:r w:rsidR="004C6C0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has had a </w:t>
      </w:r>
      <w:r w:rsidR="00D874DC" w:rsidRPr="008B304D">
        <w:rPr>
          <w:rFonts w:eastAsia="Times New Roman" w:cstheme="minorHAnsi"/>
          <w:bCs/>
          <w:sz w:val="28"/>
          <w:szCs w:val="28"/>
          <w:lang w:eastAsia="en-GB"/>
        </w:rPr>
        <w:t>turbulent</w:t>
      </w:r>
      <w:r w:rsidR="001F1F25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D874DC" w:rsidRPr="008B304D">
        <w:rPr>
          <w:rFonts w:eastAsia="Times New Roman" w:cstheme="minorHAnsi"/>
          <w:bCs/>
          <w:sz w:val="28"/>
          <w:szCs w:val="28"/>
          <w:lang w:eastAsia="en-GB"/>
        </w:rPr>
        <w:t>history, the</w:t>
      </w:r>
      <w:r w:rsidR="001F1F25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law relating have been very strict</w:t>
      </w:r>
      <w:r w:rsidR="002C227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, </w:t>
      </w:r>
      <w:r w:rsidR="00D874DC" w:rsidRPr="008B304D">
        <w:rPr>
          <w:rFonts w:eastAsia="Times New Roman" w:cstheme="minorHAnsi"/>
          <w:bCs/>
          <w:sz w:val="28"/>
          <w:szCs w:val="28"/>
          <w:lang w:eastAsia="en-GB"/>
        </w:rPr>
        <w:t>trespassers</w:t>
      </w:r>
      <w:r w:rsidR="002C227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went onto premises at their own risk and occupiers were simply</w:t>
      </w:r>
      <w:r w:rsidR="00D874D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4F4DE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under </w:t>
      </w:r>
      <w:r w:rsidR="0094606F" w:rsidRPr="008B304D">
        <w:rPr>
          <w:rFonts w:eastAsia="Times New Roman" w:cstheme="minorHAnsi"/>
          <w:bCs/>
          <w:sz w:val="28"/>
          <w:szCs w:val="28"/>
          <w:lang w:eastAsia="en-GB"/>
        </w:rPr>
        <w:t>an</w:t>
      </w:r>
      <w:r w:rsidR="004F4DE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obligation not to </w:t>
      </w:r>
      <w:r w:rsidR="00D874DC" w:rsidRPr="008B304D">
        <w:rPr>
          <w:rFonts w:eastAsia="Times New Roman" w:cstheme="minorHAnsi"/>
          <w:bCs/>
          <w:sz w:val="28"/>
          <w:szCs w:val="28"/>
          <w:lang w:eastAsia="en-GB"/>
        </w:rPr>
        <w:t>deliberately</w:t>
      </w:r>
      <w:r w:rsidR="004F4DE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or </w:t>
      </w:r>
      <w:r w:rsidR="00D874DC" w:rsidRPr="008B304D">
        <w:rPr>
          <w:rFonts w:eastAsia="Times New Roman" w:cstheme="minorHAnsi"/>
          <w:bCs/>
          <w:sz w:val="28"/>
          <w:szCs w:val="28"/>
          <w:lang w:eastAsia="en-GB"/>
        </w:rPr>
        <w:t>recklessly</w:t>
      </w:r>
      <w:r w:rsidR="00A57971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cause them harm</w:t>
      </w:r>
      <w:r w:rsidR="0032149E" w:rsidRPr="008B304D">
        <w:rPr>
          <w:rFonts w:eastAsia="Times New Roman" w:cstheme="minorHAnsi"/>
          <w:bCs/>
          <w:sz w:val="28"/>
          <w:szCs w:val="28"/>
          <w:lang w:eastAsia="en-GB"/>
        </w:rPr>
        <w:t>,</w:t>
      </w:r>
      <w:r w:rsidR="00A57971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this changed when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occupiers’</w:t>
      </w:r>
      <w:r w:rsidR="00D874D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liability act 1984 was brought in’.</w:t>
      </w:r>
      <w:r w:rsidR="00BC08DD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</w:p>
    <w:p w14:paraId="6952CD07" w14:textId="77777777" w:rsidR="0010218C" w:rsidRPr="008B304D" w:rsidRDefault="0010218C" w:rsidP="00300D90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46C49778" w14:textId="3C10EE50" w:rsidR="0010218C" w:rsidRPr="008B304D" w:rsidRDefault="0010218C" w:rsidP="00300D90">
      <w:pPr>
        <w:spacing w:after="0" w:line="240" w:lineRule="auto"/>
        <w:rPr>
          <w:rFonts w:eastAsia="Times New Roman" w:cstheme="minorHAnsi"/>
          <w:bCs/>
          <w:sz w:val="28"/>
          <w:szCs w:val="28"/>
          <w:u w:val="single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u w:val="single"/>
          <w:lang w:eastAsia="en-GB"/>
        </w:rPr>
        <w:t xml:space="preserve">Nia’s case </w:t>
      </w:r>
    </w:p>
    <w:p w14:paraId="3D3AEE84" w14:textId="77777777" w:rsidR="0010218C" w:rsidRPr="008B304D" w:rsidRDefault="0010218C" w:rsidP="00300D90">
      <w:pPr>
        <w:spacing w:after="0" w:line="240" w:lineRule="auto"/>
        <w:rPr>
          <w:rFonts w:eastAsia="Times New Roman" w:cstheme="minorHAnsi"/>
          <w:bCs/>
          <w:sz w:val="28"/>
          <w:szCs w:val="28"/>
          <w:u w:val="single"/>
          <w:lang w:eastAsia="en-GB"/>
        </w:rPr>
      </w:pPr>
    </w:p>
    <w:p w14:paraId="61EB8419" w14:textId="418A425A" w:rsidR="001C55C4" w:rsidRPr="008B304D" w:rsidRDefault="001C55C4" w:rsidP="00300D90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>Nia was a paying customer of CPL and therefore the owner</w:t>
      </w:r>
      <w:r w:rsidR="00B113A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/occupier would have had a duty of care to ensure her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safety, this</w:t>
      </w:r>
      <w:r w:rsidR="007F5ED5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would be under section 2,2 of OLA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1957.</w:t>
      </w:r>
      <w:r w:rsidR="005A0E7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713A67" w:rsidRPr="008B304D">
        <w:rPr>
          <w:rFonts w:eastAsia="Times New Roman" w:cstheme="minorHAnsi"/>
          <w:bCs/>
          <w:sz w:val="28"/>
          <w:szCs w:val="28"/>
          <w:lang w:eastAsia="en-GB"/>
        </w:rPr>
        <w:t>Nia’s injuries</w:t>
      </w:r>
      <w:r w:rsidR="005A0E7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7F7A2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may have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arisen</w:t>
      </w:r>
      <w:r w:rsidR="005A0E7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from CPL’s </w:t>
      </w:r>
      <w:r w:rsidR="00866F14" w:rsidRPr="008B304D">
        <w:rPr>
          <w:rFonts w:eastAsia="Times New Roman" w:cstheme="minorHAnsi"/>
          <w:bCs/>
          <w:sz w:val="28"/>
          <w:szCs w:val="28"/>
          <w:lang w:eastAsia="en-GB"/>
        </w:rPr>
        <w:t>negligence of the premises</w:t>
      </w:r>
      <w:r w:rsidR="00A2696D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. </w:t>
      </w:r>
      <w:r w:rsidR="0055691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Nia was not physically </w:t>
      </w:r>
      <w:r w:rsidR="00E77FD4" w:rsidRPr="008B304D">
        <w:rPr>
          <w:rFonts w:eastAsia="Times New Roman" w:cstheme="minorHAnsi"/>
          <w:bCs/>
          <w:sz w:val="28"/>
          <w:szCs w:val="28"/>
          <w:lang w:eastAsia="en-GB"/>
        </w:rPr>
        <w:t>injured</w:t>
      </w:r>
      <w:r w:rsidR="0055691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and therefore would not be able to claim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compensation, however</w:t>
      </w:r>
      <w:r w:rsidR="00E627C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had she had a physical injury then there would be grounds for compensation as she was </w:t>
      </w:r>
      <w:r w:rsidR="00713A67" w:rsidRPr="008B304D">
        <w:rPr>
          <w:rFonts w:eastAsia="Times New Roman" w:cstheme="minorHAnsi"/>
          <w:bCs/>
          <w:sz w:val="28"/>
          <w:szCs w:val="28"/>
          <w:lang w:eastAsia="en-GB"/>
        </w:rPr>
        <w:t>in</w:t>
      </w:r>
      <w:r w:rsidR="00633BC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 danger zone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,</w:t>
      </w:r>
      <w:r w:rsidR="001A65F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 </w:t>
      </w:r>
      <w:r w:rsidR="004671C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relevant </w:t>
      </w:r>
      <w:r w:rsidR="001A65F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case law to look at here would be </w:t>
      </w:r>
      <w:r w:rsidR="004671CB" w:rsidRPr="008B304D">
        <w:rPr>
          <w:rFonts w:eastAsia="Times New Roman" w:cstheme="minorHAnsi"/>
          <w:bCs/>
          <w:sz w:val="28"/>
          <w:szCs w:val="28"/>
          <w:lang w:eastAsia="en-GB"/>
        </w:rPr>
        <w:t>page</w:t>
      </w:r>
      <w:r w:rsidR="00E2534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4671CB" w:rsidRPr="008B304D">
        <w:rPr>
          <w:rFonts w:eastAsia="Times New Roman" w:cstheme="minorHAnsi"/>
          <w:bCs/>
          <w:sz w:val="28"/>
          <w:szCs w:val="28"/>
          <w:lang w:eastAsia="en-GB"/>
        </w:rPr>
        <w:t>v smith (1996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).</w:t>
      </w:r>
      <w:r w:rsidR="00E2534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633BC7" w:rsidRPr="008B304D">
        <w:rPr>
          <w:rFonts w:eastAsia="Times New Roman" w:cstheme="minorHAnsi"/>
          <w:bCs/>
          <w:sz w:val="28"/>
          <w:szCs w:val="28"/>
          <w:lang w:eastAsia="en-GB"/>
        </w:rPr>
        <w:t>T</w:t>
      </w:r>
      <w:r w:rsidR="00E2534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his case shows that even </w:t>
      </w:r>
      <w:r w:rsidR="00E25349" w:rsidRPr="008B304D">
        <w:rPr>
          <w:rFonts w:eastAsia="Times New Roman" w:cstheme="minorHAnsi"/>
          <w:bCs/>
          <w:sz w:val="28"/>
          <w:szCs w:val="28"/>
          <w:lang w:eastAsia="en-GB"/>
        </w:rPr>
        <w:lastRenderedPageBreak/>
        <w:t xml:space="preserve">though there is no physical </w:t>
      </w:r>
      <w:r w:rsidR="006B61A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injury that there would be liability to recover compensation for </w:t>
      </w:r>
      <w:r w:rsidR="00E77FD4" w:rsidRPr="008B304D">
        <w:rPr>
          <w:rFonts w:eastAsia="Times New Roman" w:cstheme="minorHAnsi"/>
          <w:bCs/>
          <w:sz w:val="28"/>
          <w:szCs w:val="28"/>
          <w:lang w:eastAsia="en-GB"/>
        </w:rPr>
        <w:t>psychiatric</w:t>
      </w:r>
      <w:r w:rsidR="006B61A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E77FD4" w:rsidRPr="008B304D">
        <w:rPr>
          <w:rFonts w:eastAsia="Times New Roman" w:cstheme="minorHAnsi"/>
          <w:bCs/>
          <w:sz w:val="28"/>
          <w:szCs w:val="28"/>
          <w:lang w:eastAsia="en-GB"/>
        </w:rPr>
        <w:t>i</w:t>
      </w:r>
      <w:r w:rsidR="005803BD" w:rsidRPr="008B304D">
        <w:rPr>
          <w:rFonts w:eastAsia="Times New Roman" w:cstheme="minorHAnsi"/>
          <w:bCs/>
          <w:sz w:val="28"/>
          <w:szCs w:val="28"/>
          <w:lang w:eastAsia="en-GB"/>
        </w:rPr>
        <w:t>llness</w:t>
      </w:r>
      <w:r w:rsidR="00E77FD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. </w:t>
      </w:r>
      <w:r w:rsidR="00631E23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It is clear that the </w:t>
      </w:r>
      <w:r w:rsidR="00B7335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lights and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electrics</w:t>
      </w:r>
      <w:r w:rsidR="00B7335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were not safe and so </w:t>
      </w:r>
      <w:r w:rsidR="00600650" w:rsidRPr="008B304D">
        <w:rPr>
          <w:rFonts w:eastAsia="Times New Roman" w:cstheme="minorHAnsi"/>
          <w:bCs/>
          <w:sz w:val="28"/>
          <w:szCs w:val="28"/>
          <w:lang w:eastAsia="en-GB"/>
        </w:rPr>
        <w:t>this would indicate that CPL were in breach of their duty to car</w:t>
      </w:r>
      <w:r w:rsidR="005F6B16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e, </w:t>
      </w:r>
      <w:r w:rsidR="00F10DBC" w:rsidRPr="008B304D">
        <w:rPr>
          <w:rFonts w:eastAsia="Times New Roman" w:cstheme="minorHAnsi"/>
          <w:bCs/>
          <w:sz w:val="28"/>
          <w:szCs w:val="28"/>
          <w:lang w:eastAsia="en-GB"/>
        </w:rPr>
        <w:t>according</w:t>
      </w:r>
      <w:r w:rsidR="005F6B16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to </w:t>
      </w:r>
      <w:r w:rsidR="00F92808" w:rsidRPr="008B304D">
        <w:rPr>
          <w:rFonts w:eastAsia="Times New Roman" w:cstheme="minorHAnsi"/>
          <w:bCs/>
          <w:sz w:val="28"/>
          <w:szCs w:val="28"/>
          <w:lang w:eastAsia="en-GB"/>
        </w:rPr>
        <w:t>horsey, rackley</w:t>
      </w:r>
      <w:r w:rsidR="004A2321" w:rsidRPr="008B304D">
        <w:rPr>
          <w:rFonts w:eastAsia="Times New Roman" w:cstheme="minorHAnsi"/>
          <w:bCs/>
          <w:sz w:val="28"/>
          <w:szCs w:val="28"/>
          <w:lang w:eastAsia="en-GB"/>
        </w:rPr>
        <w:t>,2015</w:t>
      </w:r>
      <w:r w:rsidR="00DA17D3" w:rsidRPr="008B304D">
        <w:rPr>
          <w:rFonts w:eastAsia="Times New Roman" w:cstheme="minorHAnsi"/>
          <w:bCs/>
          <w:sz w:val="28"/>
          <w:szCs w:val="28"/>
          <w:lang w:eastAsia="en-GB"/>
        </w:rPr>
        <w:t>’</w:t>
      </w:r>
      <w:r w:rsidR="004A2321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DA17D3" w:rsidRPr="008B304D">
        <w:rPr>
          <w:rFonts w:eastAsia="Times New Roman" w:cstheme="minorHAnsi"/>
          <w:bCs/>
          <w:sz w:val="28"/>
          <w:szCs w:val="28"/>
          <w:lang w:eastAsia="en-GB"/>
        </w:rPr>
        <w:t>‘</w:t>
      </w:r>
      <w:r w:rsidR="004A2321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standard of care of duty can be two ways </w:t>
      </w:r>
      <w:r w:rsidR="00960DD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either we ask if the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defendant created</w:t>
      </w:r>
      <w:r w:rsidR="00960DD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an</w:t>
      </w:r>
      <w:r w:rsidR="00960DD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unreasonable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risk,</w:t>
      </w:r>
      <w:r w:rsidR="00960DD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F10DBC" w:rsidRPr="008B304D">
        <w:rPr>
          <w:rFonts w:eastAsia="Times New Roman" w:cstheme="minorHAnsi"/>
          <w:bCs/>
          <w:sz w:val="28"/>
          <w:szCs w:val="28"/>
          <w:lang w:eastAsia="en-GB"/>
        </w:rPr>
        <w:t>or we ask at what level of safety a claimant is entitled to expect</w:t>
      </w:r>
      <w:r w:rsidR="00DA17D3" w:rsidRPr="008B304D">
        <w:rPr>
          <w:rFonts w:eastAsia="Times New Roman" w:cstheme="minorHAnsi"/>
          <w:bCs/>
          <w:sz w:val="28"/>
          <w:szCs w:val="28"/>
          <w:lang w:eastAsia="en-GB"/>
        </w:rPr>
        <w:t>’</w:t>
      </w:r>
      <w:r w:rsidR="00F10DBC" w:rsidRPr="008B304D">
        <w:rPr>
          <w:rFonts w:eastAsia="Times New Roman" w:cstheme="minorHAnsi"/>
          <w:bCs/>
          <w:sz w:val="28"/>
          <w:szCs w:val="28"/>
          <w:lang w:eastAsia="en-GB"/>
        </w:rPr>
        <w:t>.</w:t>
      </w:r>
      <w:r w:rsidR="0048622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If for any reason the occupier was unaware of the loose </w:t>
      </w:r>
      <w:r w:rsidR="0069457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lighting and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electricals,</w:t>
      </w:r>
      <w:r w:rsidR="0069457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then they would not have foreseen the danger and would not be in breach of their duty.</w:t>
      </w:r>
      <w:r w:rsidR="002D560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Claims for p</w:t>
      </w:r>
      <w:r w:rsidR="006D16B8" w:rsidRPr="008B304D">
        <w:rPr>
          <w:rFonts w:eastAsia="Times New Roman" w:cstheme="minorHAnsi"/>
          <w:bCs/>
          <w:sz w:val="28"/>
          <w:szCs w:val="28"/>
          <w:lang w:eastAsia="en-GB"/>
        </w:rPr>
        <w:t>sy</w:t>
      </w:r>
      <w:r w:rsidR="00E117AD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chiatric </w:t>
      </w:r>
      <w:r w:rsidR="002D5600" w:rsidRPr="008B304D">
        <w:rPr>
          <w:rFonts w:eastAsia="Times New Roman" w:cstheme="minorHAnsi"/>
          <w:bCs/>
          <w:sz w:val="28"/>
          <w:szCs w:val="28"/>
          <w:lang w:eastAsia="en-GB"/>
        </w:rPr>
        <w:t>i</w:t>
      </w:r>
      <w:r w:rsidR="00633BC7" w:rsidRPr="008B304D">
        <w:rPr>
          <w:rFonts w:eastAsia="Times New Roman" w:cstheme="minorHAnsi"/>
          <w:bCs/>
          <w:sz w:val="28"/>
          <w:szCs w:val="28"/>
          <w:lang w:eastAsia="en-GB"/>
        </w:rPr>
        <w:t>llness</w:t>
      </w:r>
      <w:r w:rsidR="002D560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6C2B9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are considered with two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points,</w:t>
      </w:r>
      <w:r w:rsidR="006C2B9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first one being </w:t>
      </w:r>
      <w:r w:rsidR="0079106E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have they suffered </w:t>
      </w:r>
      <w:r w:rsidR="006D16B8" w:rsidRPr="008B304D">
        <w:rPr>
          <w:rFonts w:eastAsia="Times New Roman" w:cstheme="minorHAnsi"/>
          <w:bCs/>
          <w:sz w:val="28"/>
          <w:szCs w:val="28"/>
          <w:lang w:eastAsia="en-GB"/>
        </w:rPr>
        <w:t>psychiatric</w:t>
      </w:r>
      <w:r w:rsidR="0079106E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illness and a result of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their own</w:t>
      </w:r>
      <w:r w:rsidR="0079106E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physical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injury or</w:t>
      </w:r>
      <w:r w:rsidR="00531B76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fear of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an</w:t>
      </w:r>
      <w:r w:rsidR="00531B76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injury to somebody else.</w:t>
      </w:r>
      <w:r w:rsidR="00E02B3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Also,</w:t>
      </w:r>
      <w:r w:rsidR="00E02B3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 </w:t>
      </w:r>
      <w:r w:rsidR="006D16B8" w:rsidRPr="008B304D">
        <w:rPr>
          <w:rFonts w:eastAsia="Times New Roman" w:cstheme="minorHAnsi"/>
          <w:bCs/>
          <w:sz w:val="28"/>
          <w:szCs w:val="28"/>
          <w:lang w:eastAsia="en-GB"/>
        </w:rPr>
        <w:t>distinction</w:t>
      </w:r>
      <w:r w:rsidR="00E02B3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between primary &amp; secondary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victims. (Law</w:t>
      </w:r>
      <w:r w:rsidR="005519DD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commission, lawcom.gov</w:t>
      </w:r>
      <w:r w:rsidR="005519DD" w:rsidRPr="008B304D">
        <w:rPr>
          <w:rFonts w:eastAsia="Times New Roman" w:cstheme="minorHAnsi"/>
          <w:bCs/>
          <w:sz w:val="28"/>
          <w:szCs w:val="28"/>
          <w:lang w:eastAsia="en-GB"/>
        </w:rPr>
        <w:t>)</w:t>
      </w:r>
      <w:r w:rsidR="00FC049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. </w:t>
      </w:r>
    </w:p>
    <w:p w14:paraId="53607B05" w14:textId="76A09B1F" w:rsidR="00FC049C" w:rsidRPr="008B304D" w:rsidRDefault="00FC049C" w:rsidP="00300D90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A primary victim is one who had been </w:t>
      </w:r>
      <w:r w:rsidR="006A231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involved themselves in the accident whereas a secondary victim </w:t>
      </w:r>
      <w:r w:rsidR="00A81CBE" w:rsidRPr="008B304D">
        <w:rPr>
          <w:rFonts w:eastAsia="Times New Roman" w:cstheme="minorHAnsi"/>
          <w:bCs/>
          <w:sz w:val="28"/>
          <w:szCs w:val="28"/>
          <w:lang w:eastAsia="en-GB"/>
        </w:rPr>
        <w:t>has witnessed the accident but not directly involved themselves</w:t>
      </w:r>
      <w:r w:rsidR="004B4B8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(Haughton,2019).</w:t>
      </w:r>
    </w:p>
    <w:p w14:paraId="6A8B2E80" w14:textId="30336155" w:rsidR="003169D1" w:rsidRPr="008B304D" w:rsidRDefault="009A5FA4" w:rsidP="002C5E13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Although there was potential danger for </w:t>
      </w:r>
      <w:r w:rsidR="00F92808" w:rsidRPr="008B304D">
        <w:rPr>
          <w:rFonts w:eastAsia="Times New Roman" w:cstheme="minorHAnsi"/>
          <w:bCs/>
          <w:sz w:val="28"/>
          <w:szCs w:val="28"/>
          <w:lang w:eastAsia="en-GB"/>
        </w:rPr>
        <w:t>Nia,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she was not physically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injured,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854B46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and this would make her brother </w:t>
      </w:r>
      <w:r w:rsidR="003D6209" w:rsidRPr="008B304D">
        <w:rPr>
          <w:rFonts w:eastAsia="Times New Roman" w:cstheme="minorHAnsi"/>
          <w:bCs/>
          <w:sz w:val="28"/>
          <w:szCs w:val="28"/>
          <w:lang w:eastAsia="en-GB"/>
        </w:rPr>
        <w:t>Owen</w:t>
      </w:r>
      <w:r w:rsidR="00854B46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who watched the events unfold from a distance a secondary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victim.</w:t>
      </w:r>
      <w:r w:rsidR="00854B46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E24734" w:rsidRPr="008B304D">
        <w:rPr>
          <w:rFonts w:eastAsia="Times New Roman" w:cstheme="minorHAnsi"/>
          <w:bCs/>
          <w:sz w:val="28"/>
          <w:szCs w:val="28"/>
          <w:lang w:eastAsia="en-GB"/>
        </w:rPr>
        <w:t>T</w:t>
      </w:r>
      <w:r w:rsidR="00854B46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he fire was caused from the loose </w:t>
      </w:r>
      <w:r w:rsidR="00163883" w:rsidRPr="008B304D">
        <w:rPr>
          <w:rFonts w:eastAsia="Times New Roman" w:cstheme="minorHAnsi"/>
          <w:bCs/>
          <w:sz w:val="28"/>
          <w:szCs w:val="28"/>
          <w:lang w:eastAsia="en-GB"/>
        </w:rPr>
        <w:t>lighten which sparked</w:t>
      </w:r>
      <w:r w:rsidR="00E24734" w:rsidRPr="008B304D">
        <w:rPr>
          <w:rFonts w:eastAsia="Times New Roman" w:cstheme="minorHAnsi"/>
          <w:bCs/>
          <w:sz w:val="28"/>
          <w:szCs w:val="28"/>
          <w:lang w:eastAsia="en-GB"/>
        </w:rPr>
        <w:t>,</w:t>
      </w:r>
      <w:r w:rsidR="00163883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there would be questions that could arise around the safety of such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fixtures,</w:t>
      </w:r>
      <w:r w:rsidR="002C6BA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example when were they last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checked,</w:t>
      </w:r>
      <w:r w:rsidR="002C6BA9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how long had they not been safe? Case law here would be </w:t>
      </w:r>
      <w:r w:rsidR="003A4A3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ward v </w:t>
      </w:r>
      <w:r w:rsidR="000D48EC" w:rsidRPr="008B304D">
        <w:rPr>
          <w:rFonts w:eastAsia="Times New Roman" w:cstheme="minorHAnsi"/>
          <w:bCs/>
          <w:sz w:val="28"/>
          <w:szCs w:val="28"/>
          <w:lang w:eastAsia="en-GB"/>
        </w:rPr>
        <w:t>Tesco LTD</w:t>
      </w:r>
      <w:r w:rsidR="003A4A3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(1976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);</w:t>
      </w:r>
      <w:r w:rsidR="008F33E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 </w:t>
      </w:r>
      <w:r w:rsidR="002C5E13" w:rsidRPr="008B304D">
        <w:rPr>
          <w:rFonts w:eastAsia="Times New Roman" w:cstheme="minorHAnsi"/>
          <w:bCs/>
          <w:sz w:val="28"/>
          <w:szCs w:val="28"/>
          <w:lang w:eastAsia="en-GB"/>
        </w:rPr>
        <w:t>defendant</w:t>
      </w:r>
      <w:r w:rsidR="008F33E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would have to </w:t>
      </w:r>
      <w:r w:rsidR="002C5E13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prove the latest checks had been done to be able to win. </w:t>
      </w:r>
      <w:r w:rsidR="009A2773" w:rsidRPr="008B304D">
        <w:rPr>
          <w:rFonts w:eastAsia="Times New Roman" w:cstheme="minorHAnsi"/>
          <w:bCs/>
          <w:sz w:val="28"/>
          <w:szCs w:val="28"/>
          <w:lang w:eastAsia="en-GB"/>
        </w:rPr>
        <w:t>Nia would potentially be classed as the primary victim and</w:t>
      </w:r>
      <w:r w:rsidR="000A077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could </w:t>
      </w:r>
      <w:r w:rsidR="00A65BD6" w:rsidRPr="008B304D">
        <w:rPr>
          <w:rFonts w:eastAsia="Times New Roman" w:cstheme="minorHAnsi"/>
          <w:bCs/>
          <w:sz w:val="28"/>
          <w:szCs w:val="28"/>
          <w:lang w:eastAsia="en-GB"/>
        </w:rPr>
        <w:t>recover</w:t>
      </w:r>
      <w:r w:rsidR="009A2773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her losses</w:t>
      </w:r>
      <w:r w:rsidR="00E9661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if the injury is </w:t>
      </w:r>
      <w:r w:rsidR="006D63B0" w:rsidRPr="008B304D">
        <w:rPr>
          <w:rFonts w:eastAsia="Times New Roman" w:cstheme="minorHAnsi"/>
          <w:bCs/>
          <w:sz w:val="28"/>
          <w:szCs w:val="28"/>
          <w:lang w:eastAsia="en-GB"/>
        </w:rPr>
        <w:t>proven</w:t>
      </w:r>
      <w:r w:rsidR="00E9661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foreseeable,</w:t>
      </w:r>
      <w:r w:rsidR="00E9661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even if she had only suffered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psychiatric illness</w:t>
      </w:r>
      <w:r w:rsidR="00E9661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without injury</w:t>
      </w:r>
      <w:r w:rsidR="004961E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at all (furniss,2014). </w:t>
      </w:r>
    </w:p>
    <w:p w14:paraId="080BAEB5" w14:textId="77777777" w:rsidR="0074762E" w:rsidRPr="008B304D" w:rsidRDefault="0074762E" w:rsidP="002C5E13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7883D2B7" w14:textId="010F99A4" w:rsidR="003169D1" w:rsidRPr="008B304D" w:rsidRDefault="009E04C8" w:rsidP="0074762E">
      <w:pPr>
        <w:spacing w:after="0" w:line="240" w:lineRule="auto"/>
        <w:rPr>
          <w:rFonts w:eastAsia="Times New Roman" w:cstheme="minorHAnsi"/>
          <w:bCs/>
          <w:sz w:val="28"/>
          <w:szCs w:val="28"/>
          <w:u w:val="single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u w:val="single"/>
          <w:lang w:eastAsia="en-GB"/>
        </w:rPr>
        <w:t>Owens’s</w:t>
      </w:r>
      <w:r w:rsidR="0074762E" w:rsidRPr="008B304D">
        <w:rPr>
          <w:rFonts w:eastAsia="Times New Roman" w:cstheme="minorHAnsi"/>
          <w:bCs/>
          <w:sz w:val="28"/>
          <w:szCs w:val="28"/>
          <w:u w:val="single"/>
          <w:lang w:eastAsia="en-GB"/>
        </w:rPr>
        <w:t xml:space="preserve"> case </w:t>
      </w:r>
    </w:p>
    <w:p w14:paraId="51C9F8E2" w14:textId="77777777" w:rsidR="0074762E" w:rsidRPr="008B304D" w:rsidRDefault="0074762E" w:rsidP="0074762E">
      <w:pPr>
        <w:spacing w:after="0" w:line="240" w:lineRule="auto"/>
        <w:rPr>
          <w:rFonts w:eastAsia="Times New Roman" w:cstheme="minorHAnsi"/>
          <w:bCs/>
          <w:sz w:val="28"/>
          <w:szCs w:val="28"/>
          <w:u w:val="single"/>
          <w:lang w:eastAsia="en-GB"/>
        </w:rPr>
      </w:pPr>
    </w:p>
    <w:p w14:paraId="1168CFB7" w14:textId="3B4951EC" w:rsidR="00C52D9F" w:rsidRPr="008B304D" w:rsidRDefault="00DC55A9" w:rsidP="00025166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>Owen</w:t>
      </w:r>
      <w:r w:rsidR="00BC4AC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watched the events 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>unfold</w:t>
      </w:r>
      <w:r w:rsidR="00BC4AC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from a distance and so he would be classed as</w:t>
      </w:r>
      <w:r w:rsidR="0046705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</w:t>
      </w:r>
      <w:r w:rsidR="00BC4AC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secondary victim. </w:t>
      </w:r>
      <w:r w:rsidR="009E04C8" w:rsidRPr="008B304D">
        <w:rPr>
          <w:rFonts w:eastAsia="Times New Roman" w:cstheme="minorHAnsi"/>
          <w:bCs/>
          <w:sz w:val="28"/>
          <w:szCs w:val="28"/>
          <w:lang w:eastAsia="en-GB"/>
        </w:rPr>
        <w:t>However,</w:t>
      </w:r>
      <w:r w:rsidR="00773AD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4865BB" w:rsidRPr="008B304D">
        <w:rPr>
          <w:rFonts w:eastAsia="Times New Roman" w:cstheme="minorHAnsi"/>
          <w:bCs/>
          <w:sz w:val="28"/>
          <w:szCs w:val="28"/>
          <w:lang w:eastAsia="en-GB"/>
        </w:rPr>
        <w:t>to</w:t>
      </w:r>
      <w:r w:rsidR="00773AD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recover an</w:t>
      </w:r>
      <w:r w:rsidR="0004177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y </w:t>
      </w:r>
      <w:r w:rsidR="00773AD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compensation for 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>psychiatric</w:t>
      </w:r>
      <w:r w:rsidR="00773AD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harm </w:t>
      </w:r>
      <w:r w:rsidR="002A6AA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the victim would need to be a close relative such as parent or 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>spouse</w:t>
      </w:r>
      <w:r w:rsidR="00681FF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, </w:t>
      </w:r>
      <w:r w:rsidR="00121128" w:rsidRPr="008B304D">
        <w:rPr>
          <w:rFonts w:eastAsia="Times New Roman" w:cstheme="minorHAnsi"/>
          <w:bCs/>
          <w:sz w:val="28"/>
          <w:szCs w:val="28"/>
          <w:lang w:eastAsia="en-GB"/>
        </w:rPr>
        <w:t>Nia</w:t>
      </w:r>
      <w:r w:rsidR="00681FF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was his sister and therefore would not class as a close enough relative</w:t>
      </w:r>
      <w:r w:rsidR="00CF2EE2" w:rsidRPr="008B304D">
        <w:rPr>
          <w:rFonts w:eastAsia="Times New Roman" w:cstheme="minorHAnsi"/>
          <w:bCs/>
          <w:sz w:val="28"/>
          <w:szCs w:val="28"/>
          <w:lang w:eastAsia="en-GB"/>
        </w:rPr>
        <w:t>.</w:t>
      </w:r>
      <w:r w:rsidR="00C52D9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</w:p>
    <w:p w14:paraId="5A48DEC8" w14:textId="2EDC4823" w:rsidR="00CF2EE2" w:rsidRPr="008B304D" w:rsidRDefault="00DC55A9" w:rsidP="00CF2EE2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060080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A secondary victim would also need to prove </w:t>
      </w:r>
      <w:r w:rsidR="00E3420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that they were at the </w:t>
      </w:r>
      <w:r w:rsidR="00181102" w:rsidRPr="008B304D">
        <w:rPr>
          <w:rFonts w:eastAsia="Times New Roman" w:cstheme="minorHAnsi"/>
          <w:bCs/>
          <w:sz w:val="28"/>
          <w:szCs w:val="28"/>
          <w:lang w:eastAsia="en-GB"/>
        </w:rPr>
        <w:t>scene</w:t>
      </w:r>
      <w:r w:rsidR="00E3420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of the accident and that the cause of the p</w:t>
      </w:r>
      <w:r w:rsidR="000041C3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sychiatric illness was through </w:t>
      </w:r>
      <w:r w:rsidR="00181102" w:rsidRPr="008B304D">
        <w:rPr>
          <w:rFonts w:eastAsia="Times New Roman" w:cstheme="minorHAnsi"/>
          <w:bCs/>
          <w:sz w:val="28"/>
          <w:szCs w:val="28"/>
          <w:lang w:eastAsia="en-GB"/>
        </w:rPr>
        <w:t>visibly</w:t>
      </w:r>
      <w:r w:rsidR="000041C3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seeing the accident happen</w:t>
      </w:r>
      <w:r w:rsidR="00CF2EE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, however this rule was overturned in the case </w:t>
      </w:r>
      <w:bookmarkStart w:id="2" w:name="_Hlk98799317"/>
      <w:r w:rsidR="00CF2EE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of McLoughlin v O’Brian (1983) </w:t>
      </w:r>
      <w:bookmarkEnd w:id="2"/>
      <w:r w:rsidR="0011227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where the parent who was not at the </w:t>
      </w:r>
      <w:r w:rsidR="00B13B88" w:rsidRPr="008B304D">
        <w:rPr>
          <w:rFonts w:eastAsia="Times New Roman" w:cstheme="minorHAnsi"/>
          <w:bCs/>
          <w:sz w:val="28"/>
          <w:szCs w:val="28"/>
          <w:lang w:eastAsia="en-GB"/>
        </w:rPr>
        <w:t>scene</w:t>
      </w:r>
      <w:r w:rsidR="0011227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of the accident</w:t>
      </w:r>
      <w:r w:rsidR="00CE7F97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itself</w:t>
      </w:r>
      <w:r w:rsidR="0011227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but was made ill from the aftermath of the after scene in hospital</w:t>
      </w:r>
      <w:r w:rsidR="00D8156A" w:rsidRPr="008B304D">
        <w:rPr>
          <w:rFonts w:eastAsia="Times New Roman" w:cstheme="minorHAnsi"/>
          <w:bCs/>
          <w:sz w:val="28"/>
          <w:szCs w:val="28"/>
          <w:lang w:eastAsia="en-GB"/>
        </w:rPr>
        <w:t>.</w:t>
      </w:r>
      <w:r w:rsidR="0011227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D8156A" w:rsidRPr="008B304D">
        <w:rPr>
          <w:rFonts w:eastAsia="Times New Roman" w:cstheme="minorHAnsi"/>
          <w:bCs/>
          <w:sz w:val="28"/>
          <w:szCs w:val="28"/>
          <w:lang w:eastAsia="en-GB"/>
        </w:rPr>
        <w:t>T</w:t>
      </w:r>
      <w:r w:rsidR="00112278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he </w:t>
      </w:r>
      <w:r w:rsidR="00D1081E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case was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appealed,</w:t>
      </w:r>
      <w:r w:rsidR="00D1081E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and it was said that the house of lords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was</w:t>
      </w:r>
      <w:r w:rsidR="00D1081E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to extend the class of persons who would be considered </w:t>
      </w:r>
      <w:r w:rsidR="009E04C8" w:rsidRPr="008B304D">
        <w:rPr>
          <w:rFonts w:eastAsia="Times New Roman" w:cstheme="minorHAnsi"/>
          <w:bCs/>
          <w:sz w:val="28"/>
          <w:szCs w:val="28"/>
          <w:lang w:eastAsia="en-GB"/>
        </w:rPr>
        <w:t>proximate to</w:t>
      </w:r>
      <w:r w:rsidR="00C8540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those who came within immediate aftermath of the </w:t>
      </w:r>
      <w:r w:rsidR="00975FA8" w:rsidRPr="008B304D">
        <w:rPr>
          <w:rFonts w:eastAsia="Times New Roman" w:cstheme="minorHAnsi"/>
          <w:bCs/>
          <w:sz w:val="28"/>
          <w:szCs w:val="28"/>
          <w:lang w:eastAsia="en-GB"/>
        </w:rPr>
        <w:t>event.</w:t>
      </w:r>
    </w:p>
    <w:p w14:paraId="43151724" w14:textId="32572087" w:rsidR="00B44333" w:rsidRPr="008B304D" w:rsidRDefault="00B13B88" w:rsidP="00B7057A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lastRenderedPageBreak/>
        <w:t xml:space="preserve">Lastly </w:t>
      </w:r>
      <w:r w:rsidR="00DB5D31" w:rsidRPr="008B304D">
        <w:rPr>
          <w:rFonts w:eastAsia="Times New Roman" w:cstheme="minorHAnsi"/>
          <w:bCs/>
          <w:sz w:val="28"/>
          <w:szCs w:val="28"/>
          <w:lang w:eastAsia="en-GB"/>
        </w:rPr>
        <w:t>Injury m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>u</w:t>
      </w:r>
      <w:r w:rsidR="00DB5D31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st also </w:t>
      </w:r>
      <w:r w:rsidR="009E04C8" w:rsidRPr="008B304D">
        <w:rPr>
          <w:rFonts w:eastAsia="Times New Roman" w:cstheme="minorHAnsi"/>
          <w:bCs/>
          <w:sz w:val="28"/>
          <w:szCs w:val="28"/>
          <w:lang w:eastAsia="en-GB"/>
        </w:rPr>
        <w:t>be</w:t>
      </w:r>
      <w:r w:rsidR="00DB5D31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proven that it is </w:t>
      </w:r>
      <w:r w:rsidR="00181102" w:rsidRPr="008B304D">
        <w:rPr>
          <w:rFonts w:eastAsia="Times New Roman" w:cstheme="minorHAnsi"/>
          <w:bCs/>
          <w:sz w:val="28"/>
          <w:szCs w:val="28"/>
          <w:lang w:eastAsia="en-GB"/>
        </w:rPr>
        <w:t>definitely</w:t>
      </w:r>
      <w:r w:rsidR="00DB5D31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‘</w:t>
      </w:r>
      <w:r w:rsidR="00181102" w:rsidRPr="008B304D">
        <w:rPr>
          <w:rFonts w:eastAsia="Times New Roman" w:cstheme="minorHAnsi"/>
          <w:bCs/>
          <w:sz w:val="28"/>
          <w:szCs w:val="28"/>
          <w:lang w:eastAsia="en-GB"/>
        </w:rPr>
        <w:t>nervous</w:t>
      </w:r>
      <w:r w:rsidR="00DB5D31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shock’(</w:t>
      </w:r>
      <w:r w:rsidR="00025166" w:rsidRPr="008B304D">
        <w:rPr>
          <w:rFonts w:eastAsia="Times New Roman" w:cstheme="minorHAnsi"/>
          <w:bCs/>
          <w:sz w:val="28"/>
          <w:szCs w:val="28"/>
          <w:lang w:eastAsia="en-GB"/>
        </w:rPr>
        <w:t>mcinlay,2021</w:t>
      </w:r>
      <w:r w:rsidR="005630E0" w:rsidRPr="008B304D">
        <w:rPr>
          <w:rFonts w:eastAsia="Times New Roman" w:cstheme="minorHAnsi"/>
          <w:bCs/>
          <w:sz w:val="28"/>
          <w:szCs w:val="28"/>
          <w:lang w:eastAsia="en-GB"/>
        </w:rPr>
        <w:t>), Owen</w:t>
      </w:r>
      <w:r w:rsidR="00AE4A01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would need </w:t>
      </w:r>
      <w:r w:rsidR="00AC304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medical </w:t>
      </w:r>
      <w:r w:rsidR="00AE4A01" w:rsidRPr="008B304D">
        <w:rPr>
          <w:rFonts w:eastAsia="Times New Roman" w:cstheme="minorHAnsi"/>
          <w:bCs/>
          <w:sz w:val="28"/>
          <w:szCs w:val="28"/>
          <w:lang w:eastAsia="en-GB"/>
        </w:rPr>
        <w:t>evidence that would prove</w:t>
      </w:r>
      <w:r w:rsidR="00AC304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 </w:t>
      </w:r>
      <w:r w:rsidR="00F92808" w:rsidRPr="008B304D">
        <w:rPr>
          <w:rFonts w:eastAsia="Times New Roman" w:cstheme="minorHAnsi"/>
          <w:bCs/>
          <w:sz w:val="28"/>
          <w:szCs w:val="28"/>
          <w:lang w:eastAsia="en-GB"/>
        </w:rPr>
        <w:t>diagnosed psychiatric</w:t>
      </w:r>
      <w:r w:rsidR="009104CD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illness was cause</w:t>
      </w:r>
      <w:r w:rsidR="00280DB5" w:rsidRPr="008B304D">
        <w:rPr>
          <w:rFonts w:eastAsia="Times New Roman" w:cstheme="minorHAnsi"/>
          <w:bCs/>
          <w:sz w:val="28"/>
          <w:szCs w:val="28"/>
          <w:lang w:eastAsia="en-GB"/>
        </w:rPr>
        <w:t>d and that it was</w:t>
      </w:r>
      <w:r w:rsidR="009104CD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direct from the primary </w:t>
      </w:r>
      <w:r w:rsidR="005630E0" w:rsidRPr="008B304D">
        <w:rPr>
          <w:rFonts w:eastAsia="Times New Roman" w:cstheme="minorHAnsi"/>
          <w:bCs/>
          <w:sz w:val="28"/>
          <w:szCs w:val="28"/>
          <w:lang w:eastAsia="en-GB"/>
        </w:rPr>
        <w:t>victim’s</w:t>
      </w:r>
      <w:r w:rsidR="009104CD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accident </w:t>
      </w:r>
      <w:r w:rsidR="00B250B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by </w:t>
      </w:r>
      <w:r w:rsidR="006C1CEC" w:rsidRPr="008B304D">
        <w:rPr>
          <w:rFonts w:eastAsia="Times New Roman" w:cstheme="minorHAnsi"/>
          <w:bCs/>
          <w:sz w:val="28"/>
          <w:szCs w:val="28"/>
          <w:lang w:eastAsia="en-GB"/>
        </w:rPr>
        <w:t>visibly</w:t>
      </w:r>
      <w:r w:rsidR="00B250BF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seeing it and hearing it rather that claiming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stress,</w:t>
      </w:r>
      <w:r w:rsidR="006C1CE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strain, </w:t>
      </w:r>
      <w:r w:rsidR="00A65BD6" w:rsidRPr="008B304D">
        <w:rPr>
          <w:rFonts w:eastAsia="Times New Roman" w:cstheme="minorHAnsi"/>
          <w:bCs/>
          <w:sz w:val="28"/>
          <w:szCs w:val="28"/>
          <w:lang w:eastAsia="en-GB"/>
        </w:rPr>
        <w:t>grief,</w:t>
      </w:r>
      <w:r w:rsidR="00AC304B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or 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sorrow (</w:t>
      </w:r>
      <w:r w:rsidR="00247257" w:rsidRPr="008B304D">
        <w:rPr>
          <w:rFonts w:eastAsia="Times New Roman" w:cstheme="minorHAnsi"/>
          <w:bCs/>
          <w:sz w:val="28"/>
          <w:szCs w:val="28"/>
          <w:lang w:eastAsia="en-GB"/>
        </w:rPr>
        <w:t>sower</w:t>
      </w:r>
      <w:r w:rsidR="00B15B3D" w:rsidRPr="008B304D">
        <w:rPr>
          <w:rFonts w:eastAsia="Times New Roman" w:cstheme="minorHAnsi"/>
          <w:bCs/>
          <w:sz w:val="28"/>
          <w:szCs w:val="28"/>
          <w:lang w:eastAsia="en-GB"/>
        </w:rPr>
        <w:t>sby,</w:t>
      </w:r>
      <w:r w:rsidR="006C1CEC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no date</w:t>
      </w:r>
      <w:r w:rsidR="001A3FED" w:rsidRPr="008B304D">
        <w:rPr>
          <w:rFonts w:eastAsia="Times New Roman" w:cstheme="minorHAnsi"/>
          <w:bCs/>
          <w:sz w:val="28"/>
          <w:szCs w:val="28"/>
          <w:lang w:eastAsia="en-GB"/>
        </w:rPr>
        <w:t>).</w:t>
      </w:r>
    </w:p>
    <w:p w14:paraId="1B6051FC" w14:textId="51EB6D64" w:rsidR="00033146" w:rsidRPr="008B304D" w:rsidRDefault="009376BE" w:rsidP="00033146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Another case to look at here is </w:t>
      </w:r>
      <w:bookmarkStart w:id="3" w:name="_Hlk98799235"/>
      <w:r w:rsidR="007361C4" w:rsidRPr="008B304D">
        <w:rPr>
          <w:rFonts w:eastAsia="Times New Roman" w:cstheme="minorHAnsi"/>
          <w:bCs/>
          <w:sz w:val="28"/>
          <w:szCs w:val="28"/>
          <w:lang w:eastAsia="en-GB"/>
        </w:rPr>
        <w:t>A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lcock v </w:t>
      </w:r>
      <w:r w:rsidR="007361C4" w:rsidRPr="008B304D">
        <w:rPr>
          <w:rFonts w:eastAsia="Times New Roman" w:cstheme="minorHAnsi"/>
          <w:bCs/>
          <w:sz w:val="28"/>
          <w:szCs w:val="28"/>
          <w:lang w:eastAsia="en-GB"/>
        </w:rPr>
        <w:t>C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>.</w:t>
      </w:r>
      <w:r w:rsidR="007361C4" w:rsidRPr="008B304D">
        <w:rPr>
          <w:rFonts w:eastAsia="Times New Roman" w:cstheme="minorHAnsi"/>
          <w:bCs/>
          <w:sz w:val="28"/>
          <w:szCs w:val="28"/>
          <w:lang w:eastAsia="en-GB"/>
        </w:rPr>
        <w:t>C</w:t>
      </w: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south Yorkshire (1992) </w:t>
      </w:r>
      <w:bookmarkEnd w:id="3"/>
      <w:r w:rsidR="00C04962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this case was proven on secondary victims and therefore </w:t>
      </w:r>
      <w:r w:rsidR="00AA4F45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proximation was based on bonds of love and </w:t>
      </w:r>
      <w:r w:rsidR="009E04C8" w:rsidRPr="008B304D">
        <w:rPr>
          <w:rFonts w:eastAsia="Times New Roman" w:cstheme="minorHAnsi"/>
          <w:bCs/>
          <w:sz w:val="28"/>
          <w:szCs w:val="28"/>
          <w:lang w:eastAsia="en-GB"/>
        </w:rPr>
        <w:t>affection,</w:t>
      </w:r>
      <w:r w:rsidR="007361C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closeness had to be proven through each individual case rather than on a close relative basis. </w:t>
      </w:r>
      <w:bookmarkEnd w:id="1"/>
      <w:r w:rsidR="00CE4323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If own could prove these </w:t>
      </w:r>
      <w:r w:rsidR="00FD078E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events happened and cause direct affect and a diagnosable </w:t>
      </w:r>
      <w:r w:rsidR="005630E0" w:rsidRPr="008B304D">
        <w:rPr>
          <w:rFonts w:eastAsia="Times New Roman" w:cstheme="minorHAnsi"/>
          <w:bCs/>
          <w:sz w:val="28"/>
          <w:szCs w:val="28"/>
          <w:lang w:eastAsia="en-GB"/>
        </w:rPr>
        <w:t>illness,</w:t>
      </w:r>
      <w:r w:rsidR="00FD078E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then it would be fair to say he would have a valid case to take CPL </w:t>
      </w:r>
      <w:r w:rsidR="00D64CB4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to trail. </w:t>
      </w:r>
    </w:p>
    <w:p w14:paraId="595ACF60" w14:textId="31888AEA" w:rsidR="00D91716" w:rsidRPr="008B304D" w:rsidRDefault="00D91716" w:rsidP="00033146">
      <w:pPr>
        <w:spacing w:after="0" w:line="240" w:lineRule="auto"/>
        <w:rPr>
          <w:rFonts w:eastAsia="Times New Roman" w:cstheme="minorHAnsi"/>
          <w:bCs/>
          <w:sz w:val="28"/>
          <w:szCs w:val="28"/>
          <w:u w:val="single"/>
          <w:lang w:eastAsia="en-GB"/>
        </w:rPr>
      </w:pPr>
    </w:p>
    <w:p w14:paraId="0636EC4D" w14:textId="77777777" w:rsidR="00033146" w:rsidRPr="008B304D" w:rsidRDefault="00033146" w:rsidP="00033146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5A4E4FD4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4372356F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27599648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6801A5F4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4FEF8C91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2AA0638C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399547B6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4E1357CF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7D42E39E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7F5A2F9F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0F8F2446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27BE46E8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742FC694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6923E1BB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7790999E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326836B2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21A0821A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4FB2AC45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36DE10FA" w14:textId="77777777" w:rsidR="003F48F4" w:rsidRPr="008B304D" w:rsidRDefault="003F48F4" w:rsidP="00033146">
      <w:pPr>
        <w:spacing w:after="0" w:line="240" w:lineRule="auto"/>
        <w:rPr>
          <w:rFonts w:cstheme="minorHAnsi"/>
          <w:color w:val="000000"/>
          <w:sz w:val="28"/>
          <w:szCs w:val="28"/>
          <w:u w:val="single"/>
        </w:rPr>
      </w:pPr>
    </w:p>
    <w:p w14:paraId="7FE78156" w14:textId="37C6BA77" w:rsidR="00DA789A" w:rsidRPr="008B304D" w:rsidRDefault="00DA789A" w:rsidP="00D32B70">
      <w:pPr>
        <w:spacing w:after="0" w:line="240" w:lineRule="auto"/>
        <w:rPr>
          <w:rFonts w:eastAsia="Times New Roman" w:cstheme="minorHAnsi"/>
          <w:bCs/>
          <w:sz w:val="28"/>
          <w:szCs w:val="28"/>
          <w:u w:val="single"/>
          <w:lang w:eastAsia="en-GB"/>
        </w:rPr>
      </w:pPr>
      <w:bookmarkStart w:id="4" w:name="_Hlk99485387"/>
    </w:p>
    <w:bookmarkEnd w:id="4"/>
    <w:p w14:paraId="0A119BB0" w14:textId="77777777" w:rsidR="00D32B70" w:rsidRPr="008B304D" w:rsidRDefault="00D32B70" w:rsidP="00DA789A">
      <w:pPr>
        <w:pStyle w:val="NormalWeb"/>
        <w:rPr>
          <w:rFonts w:asciiTheme="minorHAnsi" w:hAnsiTheme="minorHAnsi" w:cstheme="minorHAnsi"/>
          <w:color w:val="000000"/>
          <w:sz w:val="28"/>
          <w:szCs w:val="28"/>
          <w:u w:val="single"/>
        </w:rPr>
      </w:pPr>
    </w:p>
    <w:p w14:paraId="4F5FC554" w14:textId="77777777" w:rsidR="00D32B70" w:rsidRPr="008B304D" w:rsidRDefault="00D32B70" w:rsidP="00DA789A">
      <w:pPr>
        <w:pStyle w:val="NormalWeb"/>
        <w:rPr>
          <w:rFonts w:asciiTheme="minorHAnsi" w:hAnsiTheme="minorHAnsi" w:cstheme="minorHAnsi"/>
          <w:color w:val="000000"/>
          <w:sz w:val="28"/>
          <w:szCs w:val="28"/>
          <w:u w:val="single"/>
        </w:rPr>
      </w:pPr>
    </w:p>
    <w:p w14:paraId="091C8CA2" w14:textId="608E5500" w:rsidR="00DA789A" w:rsidRPr="008B304D" w:rsidRDefault="00DA789A" w:rsidP="00DA789A">
      <w:pPr>
        <w:pStyle w:val="NormalWeb"/>
        <w:rPr>
          <w:rFonts w:asciiTheme="minorHAnsi" w:hAnsiTheme="minorHAnsi" w:cstheme="minorHAnsi"/>
          <w:color w:val="000000"/>
          <w:sz w:val="28"/>
          <w:szCs w:val="28"/>
          <w:u w:val="single"/>
        </w:rPr>
      </w:pPr>
      <w:r w:rsidRPr="008B304D">
        <w:rPr>
          <w:rFonts w:asciiTheme="minorHAnsi" w:hAnsiTheme="minorHAnsi" w:cstheme="minorHAnsi"/>
          <w:color w:val="000000"/>
          <w:sz w:val="28"/>
          <w:szCs w:val="28"/>
          <w:u w:val="single"/>
        </w:rPr>
        <w:t xml:space="preserve">Reference list </w:t>
      </w:r>
    </w:p>
    <w:p w14:paraId="3592F5B1" w14:textId="0304BC5A" w:rsidR="00FE1402" w:rsidRPr="008B304D" w:rsidRDefault="00FE1402" w:rsidP="00DA789A">
      <w:pPr>
        <w:pStyle w:val="NormalWeb"/>
        <w:rPr>
          <w:rFonts w:asciiTheme="minorHAnsi" w:hAnsiTheme="minorHAnsi" w:cstheme="minorHAnsi"/>
          <w:i/>
          <w:iCs/>
          <w:color w:val="000000"/>
          <w:sz w:val="28"/>
          <w:szCs w:val="28"/>
        </w:rPr>
      </w:pPr>
      <w:r w:rsidRPr="008B304D">
        <w:rPr>
          <w:rFonts w:asciiTheme="minorHAnsi" w:hAnsiTheme="minorHAnsi" w:cstheme="minorHAnsi"/>
          <w:color w:val="000000"/>
          <w:sz w:val="28"/>
          <w:szCs w:val="28"/>
        </w:rPr>
        <w:lastRenderedPageBreak/>
        <w:t>Cilex law school ltd</w:t>
      </w:r>
      <w:r w:rsidR="00186CA0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. (2018). </w:t>
      </w:r>
      <w:r w:rsidR="00186CA0" w:rsidRPr="008B304D">
        <w:rPr>
          <w:rFonts w:asciiTheme="minorHAnsi" w:hAnsiTheme="minorHAnsi" w:cstheme="minorHAnsi"/>
          <w:i/>
          <w:iCs/>
          <w:color w:val="000000"/>
          <w:sz w:val="28"/>
          <w:szCs w:val="28"/>
        </w:rPr>
        <w:t>Law of tort</w:t>
      </w:r>
      <w:r w:rsidR="00623F00" w:rsidRPr="008B304D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. </w:t>
      </w:r>
      <w:r w:rsidR="00623F00" w:rsidRPr="008B304D">
        <w:rPr>
          <w:rFonts w:asciiTheme="minorHAnsi" w:hAnsiTheme="minorHAnsi" w:cstheme="minorHAnsi"/>
          <w:color w:val="000000"/>
          <w:sz w:val="28"/>
          <w:szCs w:val="28"/>
        </w:rPr>
        <w:t>[pdf]. UK</w:t>
      </w:r>
      <w:r w:rsidR="002847CE" w:rsidRPr="008B304D">
        <w:rPr>
          <w:rFonts w:asciiTheme="minorHAnsi" w:hAnsiTheme="minorHAnsi" w:cstheme="minorHAnsi"/>
          <w:color w:val="000000"/>
          <w:sz w:val="28"/>
          <w:szCs w:val="28"/>
        </w:rPr>
        <w:t>: Cilex law school</w:t>
      </w:r>
      <w:r w:rsidR="00D12E05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. Available at: </w:t>
      </w:r>
      <w:hyperlink r:id="rId4" w:history="1">
        <w:r w:rsidR="00D12E05" w:rsidRPr="008B304D">
          <w:rPr>
            <w:rFonts w:asciiTheme="minorHAnsi" w:eastAsiaTheme="minorHAnsi" w:hAnsiTheme="minorHAnsi" w:cstheme="minorHAnsi"/>
            <w:color w:val="0000FF"/>
            <w:sz w:val="28"/>
            <w:szCs w:val="28"/>
            <w:u w:val="single"/>
            <w:lang w:eastAsia="en-US"/>
          </w:rPr>
          <w:t>UQ05-Law-of-Tort-Sample-2018.pdf (cilexlawschool.ac.uk)</w:t>
        </w:r>
      </w:hyperlink>
      <w:r w:rsidR="000D671F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 </w:t>
      </w:r>
      <w:r w:rsidR="00D91716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>D</w:t>
      </w:r>
      <w:r w:rsidR="000D671F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ate accessed: </w:t>
      </w:r>
      <w:r w:rsidR="00AB14A4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7 </w:t>
      </w:r>
      <w:r w:rsidR="00F92808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>March</w:t>
      </w:r>
      <w:r w:rsidR="00AB14A4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 2022</w:t>
      </w:r>
    </w:p>
    <w:p w14:paraId="255EDAED" w14:textId="240A4AA2" w:rsidR="00C15295" w:rsidRPr="008B304D" w:rsidRDefault="00C15295" w:rsidP="00DA789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Furniss, R. (2014) </w:t>
      </w:r>
      <w:r w:rsidRPr="008B304D">
        <w:rPr>
          <w:rFonts w:asciiTheme="minorHAnsi" w:hAnsiTheme="minorHAnsi" w:cstheme="minorHAnsi"/>
          <w:i/>
          <w:iCs/>
          <w:color w:val="000000"/>
          <w:sz w:val="28"/>
          <w:szCs w:val="28"/>
        </w:rPr>
        <w:t>‘personal injury: nervous shock’</w:t>
      </w:r>
      <w:r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 Available at:</w:t>
      </w:r>
      <w:r w:rsidR="00ED019B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hyperlink r:id="rId5" w:history="1">
        <w:r w:rsidR="0074762E" w:rsidRPr="008B304D">
          <w:rPr>
            <w:rStyle w:val="Hyperlink"/>
            <w:rFonts w:asciiTheme="minorHAnsi" w:hAnsiTheme="minorHAnsi" w:cstheme="minorHAnsi"/>
            <w:sz w:val="28"/>
            <w:szCs w:val="28"/>
          </w:rPr>
          <w:t>www.westlaw.co.uk/document/personalinjury/nervouseshock</w:t>
        </w:r>
      </w:hyperlink>
      <w:r w:rsidR="0074762E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="00D91716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 Date </w:t>
      </w:r>
      <w:r w:rsidR="0074762E" w:rsidRPr="008B304D">
        <w:rPr>
          <w:rFonts w:asciiTheme="minorHAnsi" w:hAnsiTheme="minorHAnsi" w:cstheme="minorHAnsi"/>
          <w:color w:val="000000"/>
          <w:sz w:val="28"/>
          <w:szCs w:val="28"/>
        </w:rPr>
        <w:t>accessed</w:t>
      </w:r>
      <w:r w:rsidR="00D91716" w:rsidRPr="008B304D">
        <w:rPr>
          <w:rFonts w:asciiTheme="minorHAnsi" w:hAnsiTheme="minorHAnsi" w:cstheme="minorHAnsi"/>
          <w:color w:val="000000"/>
          <w:sz w:val="28"/>
          <w:szCs w:val="28"/>
        </w:rPr>
        <w:t>:</w:t>
      </w:r>
      <w:r w:rsidR="0074762E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 7 </w:t>
      </w:r>
      <w:r w:rsidR="009E04C8" w:rsidRPr="008B304D">
        <w:rPr>
          <w:rFonts w:asciiTheme="minorHAnsi" w:hAnsiTheme="minorHAnsi" w:cstheme="minorHAnsi"/>
          <w:color w:val="000000"/>
          <w:sz w:val="28"/>
          <w:szCs w:val="28"/>
        </w:rPr>
        <w:t>March</w:t>
      </w:r>
      <w:r w:rsidR="0074762E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 2022</w:t>
      </w:r>
    </w:p>
    <w:p w14:paraId="26282F31" w14:textId="7CCEF4F1" w:rsidR="00FC5E0E" w:rsidRPr="008B304D" w:rsidRDefault="00FC5E0E" w:rsidP="00DA789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8B304D">
        <w:rPr>
          <w:rFonts w:asciiTheme="minorHAnsi" w:hAnsiTheme="minorHAnsi" w:cstheme="minorHAnsi"/>
          <w:color w:val="000000"/>
          <w:sz w:val="28"/>
          <w:szCs w:val="28"/>
        </w:rPr>
        <w:t>Haughton, A</w:t>
      </w:r>
      <w:r w:rsidR="00136090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. (2019). </w:t>
      </w:r>
      <w:r w:rsidR="00136090" w:rsidRPr="008B304D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Primary and secondary </w:t>
      </w:r>
      <w:r w:rsidR="00975FA8" w:rsidRPr="008B304D">
        <w:rPr>
          <w:rFonts w:asciiTheme="minorHAnsi" w:hAnsiTheme="minorHAnsi" w:cstheme="minorHAnsi"/>
          <w:i/>
          <w:iCs/>
          <w:color w:val="000000"/>
          <w:sz w:val="28"/>
          <w:szCs w:val="28"/>
        </w:rPr>
        <w:t>victims: what</w:t>
      </w:r>
      <w:r w:rsidR="0057458B" w:rsidRPr="008B304D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 is the </w:t>
      </w:r>
      <w:r w:rsidR="00975FA8" w:rsidRPr="008B304D">
        <w:rPr>
          <w:rFonts w:asciiTheme="minorHAnsi" w:hAnsiTheme="minorHAnsi" w:cstheme="minorHAnsi"/>
          <w:i/>
          <w:iCs/>
          <w:color w:val="000000"/>
          <w:sz w:val="28"/>
          <w:szCs w:val="28"/>
        </w:rPr>
        <w:t>difference?</w:t>
      </w:r>
      <w:r w:rsidR="00F501B2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 Personal</w:t>
      </w:r>
      <w:r w:rsidR="003B021F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 injury. </w:t>
      </w:r>
      <w:hyperlink r:id="rId6" w:history="1">
        <w:r w:rsidR="003B021F" w:rsidRPr="008B304D">
          <w:rPr>
            <w:rFonts w:asciiTheme="minorHAnsi" w:eastAsiaTheme="minorHAnsi" w:hAnsiTheme="minorHAnsi" w:cstheme="minorHAnsi"/>
            <w:color w:val="0000FF"/>
            <w:sz w:val="28"/>
            <w:szCs w:val="28"/>
            <w:u w:val="single"/>
            <w:lang w:eastAsia="en-US"/>
          </w:rPr>
          <w:t>Primary and secondary victims: what is the difference? (thompsons-scotland.co.uk)</w:t>
        </w:r>
      </w:hyperlink>
      <w:r w:rsidR="00F501B2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 </w:t>
      </w:r>
      <w:r w:rsidR="00C24A81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>D</w:t>
      </w:r>
      <w:r w:rsidR="00F501B2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ate accessed: 7 </w:t>
      </w:r>
      <w:r w:rsidR="00975FA8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>March</w:t>
      </w:r>
      <w:r w:rsidR="00F501B2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 2022</w:t>
      </w:r>
    </w:p>
    <w:p w14:paraId="40398330" w14:textId="1C0926F4" w:rsidR="00A401F9" w:rsidRPr="008B304D" w:rsidRDefault="00A401F9" w:rsidP="00DA789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8B304D">
        <w:rPr>
          <w:rFonts w:asciiTheme="minorHAnsi" w:hAnsiTheme="minorHAnsi" w:cstheme="minorHAnsi"/>
          <w:color w:val="000000"/>
          <w:sz w:val="28"/>
          <w:szCs w:val="28"/>
        </w:rPr>
        <w:t>Horsey, K &amp; Rackley</w:t>
      </w:r>
      <w:r w:rsidR="00E67930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, E. (2015). </w:t>
      </w:r>
      <w:r w:rsidR="009B6F11" w:rsidRPr="008B304D">
        <w:rPr>
          <w:rFonts w:asciiTheme="minorHAnsi" w:hAnsiTheme="minorHAnsi" w:cstheme="minorHAnsi"/>
          <w:i/>
          <w:iCs/>
          <w:color w:val="000000"/>
          <w:sz w:val="28"/>
          <w:szCs w:val="28"/>
        </w:rPr>
        <w:t>Kidner’s</w:t>
      </w:r>
      <w:r w:rsidR="00E67930" w:rsidRPr="008B304D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 casebook on torts</w:t>
      </w:r>
      <w:r w:rsidR="00672BD8" w:rsidRPr="008B304D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. </w:t>
      </w:r>
      <w:r w:rsidR="00672BD8" w:rsidRPr="008B304D">
        <w:rPr>
          <w:rFonts w:asciiTheme="minorHAnsi" w:hAnsiTheme="minorHAnsi" w:cstheme="minorHAnsi"/>
          <w:color w:val="000000"/>
          <w:sz w:val="28"/>
          <w:szCs w:val="28"/>
        </w:rPr>
        <w:t>13</w:t>
      </w:r>
      <w:r w:rsidR="00672BD8" w:rsidRPr="008B304D">
        <w:rPr>
          <w:rFonts w:asciiTheme="minorHAnsi" w:hAnsiTheme="minorHAnsi" w:cstheme="minorHAnsi"/>
          <w:color w:val="000000"/>
          <w:sz w:val="28"/>
          <w:szCs w:val="28"/>
          <w:vertAlign w:val="superscript"/>
        </w:rPr>
        <w:t>th</w:t>
      </w:r>
      <w:r w:rsidR="00672BD8" w:rsidRPr="008B304D">
        <w:rPr>
          <w:rFonts w:asciiTheme="minorHAnsi" w:hAnsiTheme="minorHAnsi" w:cstheme="minorHAnsi"/>
          <w:color w:val="000000"/>
          <w:sz w:val="28"/>
          <w:szCs w:val="28"/>
        </w:rPr>
        <w:t>. UK: Oxford</w:t>
      </w:r>
      <w:r w:rsidR="00BD19DF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 university press. P250</w:t>
      </w:r>
    </w:p>
    <w:p w14:paraId="1E95BA40" w14:textId="00F0CDED" w:rsidR="00DA789A" w:rsidRPr="008B304D" w:rsidRDefault="00DA789A" w:rsidP="00DA789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Lunney, M &amp; Oliphant, K. (2013). </w:t>
      </w:r>
      <w:r w:rsidRPr="008B304D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Tort Law. </w:t>
      </w:r>
      <w:r w:rsidRPr="008B304D">
        <w:rPr>
          <w:rFonts w:asciiTheme="minorHAnsi" w:hAnsiTheme="minorHAnsi" w:cstheme="minorHAnsi"/>
          <w:color w:val="000000"/>
          <w:sz w:val="28"/>
          <w:szCs w:val="28"/>
        </w:rPr>
        <w:t>Fifth</w:t>
      </w:r>
      <w:r w:rsidR="00C3469A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 E</w:t>
      </w:r>
      <w:r w:rsidR="000B69A5" w:rsidRPr="008B304D">
        <w:rPr>
          <w:rFonts w:asciiTheme="minorHAnsi" w:hAnsiTheme="minorHAnsi" w:cstheme="minorHAnsi"/>
          <w:color w:val="000000"/>
          <w:sz w:val="28"/>
          <w:szCs w:val="28"/>
        </w:rPr>
        <w:t>dition</w:t>
      </w:r>
      <w:r w:rsidRPr="008B304D">
        <w:rPr>
          <w:rFonts w:asciiTheme="minorHAnsi" w:hAnsiTheme="minorHAnsi" w:cstheme="minorHAnsi"/>
          <w:color w:val="000000"/>
          <w:sz w:val="28"/>
          <w:szCs w:val="28"/>
        </w:rPr>
        <w:t>. UK: Oxford university press</w:t>
      </w:r>
    </w:p>
    <w:p w14:paraId="457B8ACE" w14:textId="4F4EB9EC" w:rsidR="00F1104D" w:rsidRPr="00C935A4" w:rsidRDefault="00015740" w:rsidP="00DA789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McKinlay, K, (2021) ‘personal injury: psychiatric harm’ Available at: </w:t>
      </w:r>
      <w:hyperlink r:id="rId7" w:history="1">
        <w:r w:rsidR="0083277C" w:rsidRPr="008B304D">
          <w:rPr>
            <w:rStyle w:val="Hyperlink"/>
            <w:rFonts w:asciiTheme="minorHAnsi" w:hAnsiTheme="minorHAnsi" w:cstheme="minorHAnsi"/>
            <w:sz w:val="28"/>
            <w:szCs w:val="28"/>
          </w:rPr>
          <w:t>www.westlaw.co.uk/document/personalinjury/psychiatricharm</w:t>
        </w:r>
      </w:hyperlink>
      <w:r w:rsidR="0083277C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="003F48F4" w:rsidRPr="008B304D">
        <w:rPr>
          <w:rFonts w:asciiTheme="minorHAnsi" w:hAnsiTheme="minorHAnsi" w:cstheme="minorHAnsi"/>
          <w:color w:val="000000"/>
          <w:sz w:val="28"/>
          <w:szCs w:val="28"/>
        </w:rPr>
        <w:t>D</w:t>
      </w:r>
      <w:r w:rsidR="00181102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ate accessed: 4 </w:t>
      </w:r>
      <w:r w:rsidR="00F92808" w:rsidRPr="008B304D">
        <w:rPr>
          <w:rFonts w:asciiTheme="minorHAnsi" w:hAnsiTheme="minorHAnsi" w:cstheme="minorHAnsi"/>
          <w:color w:val="000000"/>
          <w:sz w:val="28"/>
          <w:szCs w:val="28"/>
        </w:rPr>
        <w:t>March</w:t>
      </w:r>
      <w:r w:rsidR="00181102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 2022</w:t>
      </w:r>
      <w:bookmarkStart w:id="5" w:name="_Hlk99487565"/>
    </w:p>
    <w:bookmarkEnd w:id="5"/>
    <w:p w14:paraId="0647F62D" w14:textId="3977C990" w:rsidR="00637A9D" w:rsidRPr="008B304D" w:rsidRDefault="00637A9D" w:rsidP="00DA789A">
      <w:pPr>
        <w:pStyle w:val="NormalWeb"/>
        <w:rPr>
          <w:rFonts w:asciiTheme="minorHAnsi" w:eastAsiaTheme="minorHAnsi" w:hAnsiTheme="minorHAnsi" w:cstheme="minorHAnsi"/>
          <w:sz w:val="28"/>
          <w:szCs w:val="28"/>
          <w:lang w:eastAsia="en-US"/>
        </w:rPr>
      </w:pPr>
      <w:r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>Sow</w:t>
      </w:r>
      <w:r w:rsidR="00AE0045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ersby, R. </w:t>
      </w:r>
      <w:r w:rsidR="00AE0045" w:rsidRPr="008B304D">
        <w:rPr>
          <w:rFonts w:asciiTheme="minorHAnsi" w:eastAsiaTheme="minorHAnsi" w:hAnsiTheme="minorHAnsi" w:cstheme="minorHAnsi"/>
          <w:i/>
          <w:iCs/>
          <w:sz w:val="28"/>
          <w:szCs w:val="28"/>
          <w:lang w:eastAsia="en-US"/>
        </w:rPr>
        <w:t>Psychi</w:t>
      </w:r>
      <w:r w:rsidR="00EE47B7" w:rsidRPr="008B304D">
        <w:rPr>
          <w:rFonts w:asciiTheme="minorHAnsi" w:eastAsiaTheme="minorHAnsi" w:hAnsiTheme="minorHAnsi" w:cstheme="minorHAnsi"/>
          <w:i/>
          <w:iCs/>
          <w:sz w:val="28"/>
          <w:szCs w:val="28"/>
          <w:lang w:eastAsia="en-US"/>
        </w:rPr>
        <w:t xml:space="preserve">atric damage: primary &amp; secondary victims. </w:t>
      </w:r>
      <w:r w:rsidR="00EE47B7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>[pdf</w:t>
      </w:r>
      <w:r w:rsidR="00D37DB8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]. Guildhall chambers. Avaible at: </w:t>
      </w:r>
      <w:hyperlink r:id="rId8" w:history="1">
        <w:r w:rsidR="00243718" w:rsidRPr="008B304D">
          <w:rPr>
            <w:rFonts w:asciiTheme="minorHAnsi" w:eastAsiaTheme="minorHAnsi" w:hAnsiTheme="minorHAnsi" w:cstheme="minorHAnsi"/>
            <w:color w:val="0000FF"/>
            <w:sz w:val="28"/>
            <w:szCs w:val="28"/>
            <w:u w:val="single"/>
            <w:lang w:eastAsia="en-US"/>
          </w:rPr>
          <w:t>Main Heading (guildhallchambers.co.uk)</w:t>
        </w:r>
      </w:hyperlink>
      <w:r w:rsidR="00243718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 </w:t>
      </w:r>
      <w:r w:rsidR="003F48F4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>D</w:t>
      </w:r>
      <w:r w:rsidR="00243718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ate accessed:17 </w:t>
      </w:r>
      <w:r w:rsidR="00F92808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>March</w:t>
      </w:r>
      <w:r w:rsidR="00243718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 2022</w:t>
      </w:r>
    </w:p>
    <w:p w14:paraId="47F7B993" w14:textId="598EFADE" w:rsidR="005519DD" w:rsidRDefault="005519DD" w:rsidP="00DA789A">
      <w:pPr>
        <w:pStyle w:val="NormalWeb"/>
        <w:rPr>
          <w:rFonts w:asciiTheme="minorHAnsi" w:eastAsiaTheme="minorHAnsi" w:hAnsiTheme="minorHAnsi" w:cstheme="minorHAnsi"/>
          <w:sz w:val="28"/>
          <w:szCs w:val="28"/>
          <w:lang w:eastAsia="en-US"/>
        </w:rPr>
      </w:pPr>
      <w:r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The law </w:t>
      </w:r>
      <w:r w:rsidR="00975FA8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>commission,</w:t>
      </w:r>
      <w:r w:rsidR="00291E9A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 Liability for </w:t>
      </w:r>
      <w:r w:rsidR="004865BB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psychiatric </w:t>
      </w:r>
      <w:r w:rsidR="00291E9A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>illness</w:t>
      </w:r>
      <w:r w:rsidR="008D25B7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. </w:t>
      </w:r>
      <w:r w:rsidR="006D63B0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>Available</w:t>
      </w:r>
      <w:r w:rsidR="008D25B7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 at: </w:t>
      </w:r>
      <w:hyperlink r:id="rId9" w:history="1">
        <w:r w:rsidR="008D25B7" w:rsidRPr="008B304D">
          <w:rPr>
            <w:rFonts w:asciiTheme="minorHAnsi" w:eastAsiaTheme="minorHAnsi" w:hAnsiTheme="minorHAnsi" w:cstheme="minorHAnsi"/>
            <w:color w:val="0000FF"/>
            <w:sz w:val="28"/>
            <w:szCs w:val="28"/>
            <w:u w:val="single"/>
            <w:lang w:eastAsia="en-US"/>
          </w:rPr>
          <w:t>LC249PDF.PDF (lawcom.gov.uk)</w:t>
        </w:r>
      </w:hyperlink>
      <w:r w:rsidR="008D25B7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 </w:t>
      </w:r>
      <w:r w:rsidR="003F48F4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>D</w:t>
      </w:r>
      <w:r w:rsidR="006D16B8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>ate accessed: 7</w:t>
      </w:r>
      <w:r w:rsidR="006D16B8" w:rsidRPr="008B304D">
        <w:rPr>
          <w:rFonts w:asciiTheme="minorHAnsi" w:eastAsiaTheme="minorHAnsi" w:hAnsiTheme="minorHAnsi" w:cstheme="minorHAnsi"/>
          <w:sz w:val="28"/>
          <w:szCs w:val="28"/>
          <w:vertAlign w:val="superscript"/>
          <w:lang w:eastAsia="en-US"/>
        </w:rPr>
        <w:t>th</w:t>
      </w:r>
      <w:r w:rsidR="006D16B8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 </w:t>
      </w:r>
      <w:r w:rsidR="00975FA8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>March</w:t>
      </w:r>
      <w:r w:rsidR="006D16B8" w:rsidRPr="008B304D">
        <w:rPr>
          <w:rFonts w:asciiTheme="minorHAnsi" w:eastAsiaTheme="minorHAnsi" w:hAnsiTheme="minorHAnsi" w:cstheme="minorHAnsi"/>
          <w:sz w:val="28"/>
          <w:szCs w:val="28"/>
          <w:lang w:eastAsia="en-US"/>
        </w:rPr>
        <w:t xml:space="preserve"> 2022</w:t>
      </w:r>
    </w:p>
    <w:p w14:paraId="2DCBB25E" w14:textId="6EDBD098" w:rsidR="00C935A4" w:rsidRDefault="00C935A4" w:rsidP="00DA789A">
      <w:pPr>
        <w:pStyle w:val="NormalWeb"/>
        <w:rPr>
          <w:rFonts w:asciiTheme="minorHAnsi" w:eastAsiaTheme="minorHAnsi" w:hAnsiTheme="minorHAnsi" w:cstheme="minorHAnsi"/>
          <w:sz w:val="28"/>
          <w:szCs w:val="28"/>
          <w:u w:val="single"/>
          <w:lang w:eastAsia="en-US"/>
        </w:rPr>
      </w:pPr>
      <w:r w:rsidRPr="00C935A4">
        <w:rPr>
          <w:rFonts w:asciiTheme="minorHAnsi" w:eastAsiaTheme="minorHAnsi" w:hAnsiTheme="minorHAnsi" w:cstheme="minorHAnsi"/>
          <w:sz w:val="28"/>
          <w:szCs w:val="28"/>
          <w:u w:val="single"/>
          <w:lang w:eastAsia="en-US"/>
        </w:rPr>
        <w:t xml:space="preserve">Legislation </w:t>
      </w:r>
    </w:p>
    <w:p w14:paraId="565E7738" w14:textId="4BA6D4E4" w:rsidR="00C935A4" w:rsidRPr="008B304D" w:rsidRDefault="00C935A4" w:rsidP="00C935A4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8B304D">
        <w:rPr>
          <w:rFonts w:asciiTheme="minorHAnsi" w:hAnsiTheme="minorHAnsi" w:cstheme="minorHAnsi"/>
          <w:color w:val="000000"/>
          <w:sz w:val="28"/>
          <w:szCs w:val="28"/>
        </w:rPr>
        <w:t>Occupiers Liability Act 1957, c. 31</w:t>
      </w:r>
    </w:p>
    <w:p w14:paraId="01108E8B" w14:textId="36CDA7BA" w:rsidR="00C935A4" w:rsidRPr="008B304D" w:rsidRDefault="00C935A4" w:rsidP="00C935A4">
      <w:pPr>
        <w:pStyle w:val="NormalWeb"/>
        <w:rPr>
          <w:rFonts w:asciiTheme="minorHAnsi" w:eastAsiaTheme="minorHAnsi" w:hAnsiTheme="minorHAnsi" w:cstheme="minorHAnsi"/>
          <w:sz w:val="28"/>
          <w:szCs w:val="28"/>
          <w:lang w:eastAsia="en-US"/>
        </w:rPr>
      </w:pPr>
      <w:r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Occupiers’ liability Act 1984, c. 3 </w:t>
      </w:r>
    </w:p>
    <w:p w14:paraId="6F0FDD54" w14:textId="31E95AB5" w:rsidR="00D32B70" w:rsidRPr="008B304D" w:rsidRDefault="00D32B70" w:rsidP="00D32B70">
      <w:pPr>
        <w:spacing w:after="0" w:line="240" w:lineRule="auto"/>
        <w:rPr>
          <w:rFonts w:eastAsia="Times New Roman" w:cstheme="minorHAnsi"/>
          <w:bCs/>
          <w:sz w:val="28"/>
          <w:szCs w:val="28"/>
          <w:u w:val="single"/>
          <w:lang w:eastAsia="en-GB"/>
        </w:rPr>
      </w:pPr>
      <w:r w:rsidRPr="008B304D">
        <w:rPr>
          <w:rFonts w:cstheme="minorHAnsi"/>
          <w:color w:val="000000"/>
          <w:sz w:val="28"/>
          <w:szCs w:val="28"/>
          <w:u w:val="single"/>
        </w:rPr>
        <w:t xml:space="preserve">Case law </w:t>
      </w:r>
    </w:p>
    <w:p w14:paraId="3914C221" w14:textId="77777777" w:rsidR="00D32B70" w:rsidRPr="008B304D" w:rsidRDefault="00D32B70" w:rsidP="00D32B70">
      <w:pPr>
        <w:pStyle w:val="NormalWeb"/>
        <w:rPr>
          <w:rFonts w:asciiTheme="minorHAnsi" w:hAnsiTheme="minorHAnsi" w:cstheme="minorHAnsi"/>
          <w:bCs/>
          <w:sz w:val="28"/>
          <w:szCs w:val="28"/>
        </w:rPr>
      </w:pPr>
      <w:r w:rsidRPr="008B304D">
        <w:rPr>
          <w:rFonts w:asciiTheme="minorHAnsi" w:hAnsiTheme="minorHAnsi" w:cstheme="minorHAnsi"/>
          <w:bCs/>
          <w:sz w:val="28"/>
          <w:szCs w:val="28"/>
        </w:rPr>
        <w:t xml:space="preserve">Alcock v C.C south Yorkshire (1992) AC 310 </w:t>
      </w:r>
    </w:p>
    <w:p w14:paraId="0A7B1D02" w14:textId="559B122A" w:rsidR="00D32B70" w:rsidRPr="008B304D" w:rsidRDefault="00D32B70" w:rsidP="00D32B70">
      <w:pPr>
        <w:pStyle w:val="NormalWeb"/>
        <w:rPr>
          <w:rFonts w:asciiTheme="minorHAnsi" w:hAnsiTheme="minorHAnsi" w:cstheme="minorHAnsi"/>
          <w:bCs/>
          <w:sz w:val="28"/>
          <w:szCs w:val="28"/>
        </w:rPr>
      </w:pPr>
      <w:r w:rsidRPr="008B304D">
        <w:rPr>
          <w:rStyle w:val="Strong"/>
          <w:rFonts w:asciiTheme="minorHAnsi" w:hAnsiTheme="minorHAnsi" w:cstheme="minorHAnsi"/>
          <w:b w:val="0"/>
          <w:bCs w:val="0"/>
          <w:i/>
          <w:iCs/>
          <w:color w:val="000000"/>
          <w:sz w:val="28"/>
          <w:szCs w:val="28"/>
          <w:shd w:val="clear" w:color="auto" w:fill="FFFFFF"/>
        </w:rPr>
        <w:t>Caparo Industries pIc v Dickman</w:t>
      </w:r>
      <w:r w:rsidRPr="008B304D">
        <w:rPr>
          <w:rFonts w:asciiTheme="minorHAnsi" w:hAnsiTheme="minorHAnsi" w:cstheme="minorHAnsi"/>
          <w:b/>
          <w:bCs/>
          <w:color w:val="000000"/>
          <w:sz w:val="28"/>
          <w:szCs w:val="28"/>
          <w:shd w:val="clear" w:color="auto" w:fill="FFFFFF"/>
        </w:rPr>
        <w:t> [</w:t>
      </w:r>
      <w:r w:rsidRPr="008B304D">
        <w:rPr>
          <w:rFonts w:asciiTheme="minorHAnsi" w:hAnsiTheme="minorHAnsi" w:cstheme="minorHAnsi"/>
          <w:color w:val="000000"/>
          <w:sz w:val="28"/>
          <w:szCs w:val="28"/>
          <w:shd w:val="clear" w:color="auto" w:fill="FFFFFF"/>
        </w:rPr>
        <w:t>1990] 2 AC 605</w:t>
      </w:r>
    </w:p>
    <w:p w14:paraId="30148C20" w14:textId="77777777" w:rsidR="00D32B70" w:rsidRPr="008B304D" w:rsidRDefault="00D32B70" w:rsidP="00D32B70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Ferguson v Welsh (1987) 1WLR 1553 </w:t>
      </w:r>
    </w:p>
    <w:p w14:paraId="1F507C85" w14:textId="77777777" w:rsidR="00D32B70" w:rsidRPr="008B304D" w:rsidRDefault="00D32B70" w:rsidP="00D32B70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lastRenderedPageBreak/>
        <w:t xml:space="preserve">Jolley v Sutton London borough council (2000). 1WLR 1082 </w:t>
      </w:r>
    </w:p>
    <w:p w14:paraId="6DC5CC6F" w14:textId="77777777" w:rsidR="00D32B70" w:rsidRPr="008B304D" w:rsidRDefault="00D32B70" w:rsidP="00D32B70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5840C186" w14:textId="77777777" w:rsidR="00D32B70" w:rsidRPr="008B304D" w:rsidRDefault="00D32B70" w:rsidP="00D32B70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McLoughlin v O’Brian (1983) 1 AC </w:t>
      </w:r>
    </w:p>
    <w:p w14:paraId="561A848C" w14:textId="77777777" w:rsidR="004B0514" w:rsidRPr="008B304D" w:rsidRDefault="004B0514" w:rsidP="00D32B70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27741E16" w14:textId="0E5AE9AE" w:rsidR="004B0514" w:rsidRPr="008B304D" w:rsidRDefault="004B0514" w:rsidP="00D32B70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  <w:r w:rsidRPr="008B304D">
        <w:rPr>
          <w:rFonts w:eastAsia="Times New Roman" w:cstheme="minorHAnsi"/>
          <w:bCs/>
          <w:sz w:val="28"/>
          <w:szCs w:val="28"/>
          <w:lang w:eastAsia="en-GB"/>
        </w:rPr>
        <w:t>Page v Smith (1996)</w:t>
      </w:r>
      <w:r w:rsidR="00F9487E" w:rsidRPr="008B304D">
        <w:rPr>
          <w:rFonts w:eastAsia="Times New Roman" w:cstheme="minorHAnsi"/>
          <w:bCs/>
          <w:sz w:val="28"/>
          <w:szCs w:val="28"/>
          <w:lang w:eastAsia="en-GB"/>
        </w:rPr>
        <w:t xml:space="preserve"> 1AC 155 </w:t>
      </w:r>
    </w:p>
    <w:p w14:paraId="474D0D9E" w14:textId="77777777" w:rsidR="00D32B70" w:rsidRPr="008B304D" w:rsidRDefault="00D32B70" w:rsidP="00D32B70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8B304D">
        <w:rPr>
          <w:rFonts w:asciiTheme="minorHAnsi" w:hAnsiTheme="minorHAnsi" w:cstheme="minorHAnsi"/>
          <w:color w:val="000000"/>
          <w:sz w:val="28"/>
          <w:szCs w:val="28"/>
        </w:rPr>
        <w:t>Taylor v Glasgow corporation (1922) 1AC 448</w:t>
      </w:r>
    </w:p>
    <w:p w14:paraId="72103B5D" w14:textId="77777777" w:rsidR="00D32B70" w:rsidRPr="008B304D" w:rsidRDefault="00D32B70" w:rsidP="00D32B70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Ward v Tesco ltd (1976) 1 WLR 810 </w:t>
      </w:r>
    </w:p>
    <w:p w14:paraId="73C25E3C" w14:textId="62CA0701" w:rsidR="00D32B70" w:rsidRPr="008B304D" w:rsidRDefault="00D32B70" w:rsidP="00D32B70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8B304D">
        <w:rPr>
          <w:rFonts w:asciiTheme="minorHAnsi" w:hAnsiTheme="minorHAnsi" w:cstheme="minorHAnsi"/>
          <w:color w:val="000000"/>
          <w:sz w:val="28"/>
          <w:szCs w:val="28"/>
        </w:rPr>
        <w:t>Wheat v Lacon (1966)</w:t>
      </w:r>
      <w:r w:rsidR="009B7513" w:rsidRPr="008B304D">
        <w:rPr>
          <w:rFonts w:asciiTheme="minorHAnsi" w:hAnsiTheme="minorHAnsi" w:cstheme="minorHAnsi"/>
          <w:color w:val="000000"/>
          <w:sz w:val="28"/>
          <w:szCs w:val="28"/>
        </w:rPr>
        <w:t xml:space="preserve"> AC 552 </w:t>
      </w:r>
    </w:p>
    <w:p w14:paraId="1F63CE54" w14:textId="3A5BA2C7" w:rsidR="00E14AA7" w:rsidRPr="008B304D" w:rsidRDefault="00E14AA7" w:rsidP="00D32B70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8B304D">
        <w:rPr>
          <w:rFonts w:asciiTheme="minorHAnsi" w:hAnsiTheme="minorHAnsi" w:cstheme="minorHAnsi"/>
          <w:bCs/>
          <w:sz w:val="28"/>
          <w:szCs w:val="28"/>
        </w:rPr>
        <w:t xml:space="preserve">Young v </w:t>
      </w:r>
      <w:r w:rsidR="005630E0" w:rsidRPr="008B304D">
        <w:rPr>
          <w:rFonts w:asciiTheme="minorHAnsi" w:hAnsiTheme="minorHAnsi" w:cstheme="minorHAnsi"/>
          <w:bCs/>
          <w:sz w:val="28"/>
          <w:szCs w:val="28"/>
        </w:rPr>
        <w:t>Kent County</w:t>
      </w:r>
      <w:r w:rsidRPr="008B304D">
        <w:rPr>
          <w:rFonts w:asciiTheme="minorHAnsi" w:hAnsiTheme="minorHAnsi" w:cstheme="minorHAnsi"/>
          <w:bCs/>
          <w:sz w:val="28"/>
          <w:szCs w:val="28"/>
        </w:rPr>
        <w:t xml:space="preserve"> council 2005</w:t>
      </w:r>
      <w:r w:rsidR="00C04171" w:rsidRPr="008B304D">
        <w:rPr>
          <w:rFonts w:asciiTheme="minorHAnsi" w:hAnsiTheme="minorHAnsi" w:cstheme="minorHAnsi"/>
          <w:bCs/>
          <w:sz w:val="28"/>
          <w:szCs w:val="28"/>
        </w:rPr>
        <w:t xml:space="preserve"> EWHC </w:t>
      </w:r>
      <w:r w:rsidR="00140BFB" w:rsidRPr="008B304D">
        <w:rPr>
          <w:rFonts w:asciiTheme="minorHAnsi" w:hAnsiTheme="minorHAnsi" w:cstheme="minorHAnsi"/>
          <w:bCs/>
          <w:sz w:val="28"/>
          <w:szCs w:val="28"/>
        </w:rPr>
        <w:t>1342</w:t>
      </w:r>
    </w:p>
    <w:p w14:paraId="062EA317" w14:textId="77777777" w:rsidR="00D32B70" w:rsidRPr="008B304D" w:rsidRDefault="00D32B70" w:rsidP="00DA789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p w14:paraId="0B9B90E3" w14:textId="77777777" w:rsidR="00DA789A" w:rsidRPr="008B304D" w:rsidRDefault="00DA789A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u w:val="single"/>
          <w:lang w:eastAsia="en-GB"/>
        </w:rPr>
      </w:pPr>
    </w:p>
    <w:p w14:paraId="76BED9CC" w14:textId="77777777" w:rsidR="00DB3AE1" w:rsidRPr="008B304D" w:rsidRDefault="00DB3AE1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6379019B" w14:textId="343F9244" w:rsidR="00DB3AE1" w:rsidRPr="008B304D" w:rsidRDefault="00DB3AE1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05DB1752" w14:textId="411A4562" w:rsidR="00DB3AE1" w:rsidRPr="008B304D" w:rsidRDefault="00DB3AE1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27E49AF8" w14:textId="0819D1D2" w:rsidR="00DB3AE1" w:rsidRPr="008B304D" w:rsidRDefault="00DB3AE1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619321D4" w14:textId="6485B93A" w:rsidR="00DB3AE1" w:rsidRPr="008B304D" w:rsidRDefault="00DB3AE1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791FBF88" w14:textId="5203BFF6" w:rsidR="00DB3AE1" w:rsidRPr="008B304D" w:rsidRDefault="00DB3AE1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74E82E6F" w14:textId="0A4A5203" w:rsidR="00DB3AE1" w:rsidRPr="008B304D" w:rsidRDefault="00DB3AE1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6038EFF7" w14:textId="035ABD63" w:rsidR="00DB3AE1" w:rsidRPr="008B304D" w:rsidRDefault="00DB3AE1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4B202C99" w14:textId="2C5BB4D0" w:rsidR="00DB3AE1" w:rsidRPr="008B304D" w:rsidRDefault="00DB3AE1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55345120" w14:textId="53190FFE" w:rsidR="00DB3AE1" w:rsidRPr="008B304D" w:rsidRDefault="00DB3AE1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0387552D" w14:textId="79DB40EA" w:rsidR="00DB3AE1" w:rsidRPr="008B304D" w:rsidRDefault="00DB3AE1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6B56393B" w14:textId="65DE7FBF" w:rsidR="00DB3AE1" w:rsidRPr="008B304D" w:rsidRDefault="00DB3AE1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23D7B135" w14:textId="77777777" w:rsidR="00DB3AE1" w:rsidRPr="008B304D" w:rsidRDefault="00DB3AE1" w:rsidP="00DB3AE1">
      <w:pPr>
        <w:spacing w:after="0" w:line="240" w:lineRule="auto"/>
        <w:rPr>
          <w:rFonts w:eastAsia="Times New Roman" w:cstheme="minorHAnsi"/>
          <w:bCs/>
          <w:sz w:val="28"/>
          <w:szCs w:val="28"/>
          <w:lang w:eastAsia="en-GB"/>
        </w:rPr>
      </w:pPr>
    </w:p>
    <w:p w14:paraId="0E061119" w14:textId="77777777" w:rsidR="00DB3AE1" w:rsidRPr="008B304D" w:rsidRDefault="00DB3AE1">
      <w:pPr>
        <w:rPr>
          <w:rFonts w:cstheme="minorHAnsi"/>
          <w:sz w:val="28"/>
          <w:szCs w:val="28"/>
        </w:rPr>
      </w:pPr>
    </w:p>
    <w:sectPr w:rsidR="00DB3AE1" w:rsidRPr="008B30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AE1"/>
    <w:rsid w:val="000005E3"/>
    <w:rsid w:val="000041C3"/>
    <w:rsid w:val="00015740"/>
    <w:rsid w:val="00020582"/>
    <w:rsid w:val="00025166"/>
    <w:rsid w:val="00033146"/>
    <w:rsid w:val="00036A15"/>
    <w:rsid w:val="00041777"/>
    <w:rsid w:val="0004509F"/>
    <w:rsid w:val="00060080"/>
    <w:rsid w:val="00067C5F"/>
    <w:rsid w:val="00072EFA"/>
    <w:rsid w:val="000A077B"/>
    <w:rsid w:val="000A613B"/>
    <w:rsid w:val="000B2231"/>
    <w:rsid w:val="000B69A5"/>
    <w:rsid w:val="000C408C"/>
    <w:rsid w:val="000D3C4D"/>
    <w:rsid w:val="000D48EC"/>
    <w:rsid w:val="000D671F"/>
    <w:rsid w:val="000E65AA"/>
    <w:rsid w:val="0010202F"/>
    <w:rsid w:val="0010218C"/>
    <w:rsid w:val="00112278"/>
    <w:rsid w:val="00113343"/>
    <w:rsid w:val="00121128"/>
    <w:rsid w:val="00123A50"/>
    <w:rsid w:val="00134745"/>
    <w:rsid w:val="00136090"/>
    <w:rsid w:val="00140BFB"/>
    <w:rsid w:val="00163883"/>
    <w:rsid w:val="00181102"/>
    <w:rsid w:val="00186CA0"/>
    <w:rsid w:val="001A292F"/>
    <w:rsid w:val="001A3FED"/>
    <w:rsid w:val="001A65F4"/>
    <w:rsid w:val="001B1B8A"/>
    <w:rsid w:val="001C55C4"/>
    <w:rsid w:val="001C5C3F"/>
    <w:rsid w:val="001E5BB8"/>
    <w:rsid w:val="001F0B40"/>
    <w:rsid w:val="001F1F25"/>
    <w:rsid w:val="0020057D"/>
    <w:rsid w:val="002124DF"/>
    <w:rsid w:val="0022134E"/>
    <w:rsid w:val="00223206"/>
    <w:rsid w:val="00243718"/>
    <w:rsid w:val="00246E2C"/>
    <w:rsid w:val="00247257"/>
    <w:rsid w:val="00275532"/>
    <w:rsid w:val="00280DB5"/>
    <w:rsid w:val="00280E97"/>
    <w:rsid w:val="00281501"/>
    <w:rsid w:val="002847CE"/>
    <w:rsid w:val="00291E9A"/>
    <w:rsid w:val="002A6AAB"/>
    <w:rsid w:val="002B6DC5"/>
    <w:rsid w:val="002C2272"/>
    <w:rsid w:val="002C5E13"/>
    <w:rsid w:val="002C6BA9"/>
    <w:rsid w:val="002D5600"/>
    <w:rsid w:val="002F1BC1"/>
    <w:rsid w:val="00300D90"/>
    <w:rsid w:val="0030440F"/>
    <w:rsid w:val="00313A7A"/>
    <w:rsid w:val="003169D1"/>
    <w:rsid w:val="0032149E"/>
    <w:rsid w:val="003232B0"/>
    <w:rsid w:val="00323E69"/>
    <w:rsid w:val="0032514B"/>
    <w:rsid w:val="00363546"/>
    <w:rsid w:val="00363986"/>
    <w:rsid w:val="003737B6"/>
    <w:rsid w:val="003748EA"/>
    <w:rsid w:val="00380A51"/>
    <w:rsid w:val="0038536C"/>
    <w:rsid w:val="00397747"/>
    <w:rsid w:val="003A4A3B"/>
    <w:rsid w:val="003B021F"/>
    <w:rsid w:val="003C1B10"/>
    <w:rsid w:val="003C4889"/>
    <w:rsid w:val="003D6209"/>
    <w:rsid w:val="003F48F4"/>
    <w:rsid w:val="003F724D"/>
    <w:rsid w:val="0043511F"/>
    <w:rsid w:val="00455DB9"/>
    <w:rsid w:val="00463950"/>
    <w:rsid w:val="0046705C"/>
    <w:rsid w:val="004671CB"/>
    <w:rsid w:val="00486227"/>
    <w:rsid w:val="004865BB"/>
    <w:rsid w:val="004961E4"/>
    <w:rsid w:val="004A15E8"/>
    <w:rsid w:val="004A2321"/>
    <w:rsid w:val="004A5FCE"/>
    <w:rsid w:val="004B0514"/>
    <w:rsid w:val="004B4B8F"/>
    <w:rsid w:val="004C6C04"/>
    <w:rsid w:val="004E5E5B"/>
    <w:rsid w:val="004F4DE7"/>
    <w:rsid w:val="00513FF7"/>
    <w:rsid w:val="005170F9"/>
    <w:rsid w:val="00531B76"/>
    <w:rsid w:val="005519DD"/>
    <w:rsid w:val="00556914"/>
    <w:rsid w:val="005630E0"/>
    <w:rsid w:val="00563BCE"/>
    <w:rsid w:val="00572B2B"/>
    <w:rsid w:val="00572F7F"/>
    <w:rsid w:val="0057458B"/>
    <w:rsid w:val="00575A90"/>
    <w:rsid w:val="005803BD"/>
    <w:rsid w:val="005A0E72"/>
    <w:rsid w:val="005C0A39"/>
    <w:rsid w:val="005D738B"/>
    <w:rsid w:val="005F6603"/>
    <w:rsid w:val="005F6B16"/>
    <w:rsid w:val="00600650"/>
    <w:rsid w:val="00623D63"/>
    <w:rsid w:val="00623F00"/>
    <w:rsid w:val="00631E23"/>
    <w:rsid w:val="00633BC7"/>
    <w:rsid w:val="00637A9D"/>
    <w:rsid w:val="00644BDB"/>
    <w:rsid w:val="00646E43"/>
    <w:rsid w:val="00664122"/>
    <w:rsid w:val="0066593E"/>
    <w:rsid w:val="00670828"/>
    <w:rsid w:val="00672BD8"/>
    <w:rsid w:val="00674E4F"/>
    <w:rsid w:val="00681C25"/>
    <w:rsid w:val="00681FFF"/>
    <w:rsid w:val="0069393D"/>
    <w:rsid w:val="00694577"/>
    <w:rsid w:val="006A2312"/>
    <w:rsid w:val="006A421C"/>
    <w:rsid w:val="006B61A8"/>
    <w:rsid w:val="006C1CEC"/>
    <w:rsid w:val="006C2B94"/>
    <w:rsid w:val="006C3233"/>
    <w:rsid w:val="006D16B8"/>
    <w:rsid w:val="006D1AA9"/>
    <w:rsid w:val="006D63B0"/>
    <w:rsid w:val="00713A67"/>
    <w:rsid w:val="00716512"/>
    <w:rsid w:val="00721741"/>
    <w:rsid w:val="00725790"/>
    <w:rsid w:val="0073180D"/>
    <w:rsid w:val="007361C4"/>
    <w:rsid w:val="0074762E"/>
    <w:rsid w:val="00770DF4"/>
    <w:rsid w:val="00773AD7"/>
    <w:rsid w:val="007804FA"/>
    <w:rsid w:val="00780E52"/>
    <w:rsid w:val="0079106E"/>
    <w:rsid w:val="007A5686"/>
    <w:rsid w:val="007D08A1"/>
    <w:rsid w:val="007F5ED5"/>
    <w:rsid w:val="007F7A27"/>
    <w:rsid w:val="008109C2"/>
    <w:rsid w:val="00810BF9"/>
    <w:rsid w:val="00824165"/>
    <w:rsid w:val="0083277C"/>
    <w:rsid w:val="008359DA"/>
    <w:rsid w:val="008503A5"/>
    <w:rsid w:val="00854B46"/>
    <w:rsid w:val="008578C9"/>
    <w:rsid w:val="00866F14"/>
    <w:rsid w:val="008979D3"/>
    <w:rsid w:val="008B304D"/>
    <w:rsid w:val="008C5129"/>
    <w:rsid w:val="008D25B7"/>
    <w:rsid w:val="008F238C"/>
    <w:rsid w:val="008F33EB"/>
    <w:rsid w:val="009029F9"/>
    <w:rsid w:val="00907BBE"/>
    <w:rsid w:val="009104CD"/>
    <w:rsid w:val="009263B2"/>
    <w:rsid w:val="009373B8"/>
    <w:rsid w:val="009376BE"/>
    <w:rsid w:val="00943CF5"/>
    <w:rsid w:val="0094606F"/>
    <w:rsid w:val="00960DDF"/>
    <w:rsid w:val="00975C38"/>
    <w:rsid w:val="00975FA8"/>
    <w:rsid w:val="00981653"/>
    <w:rsid w:val="00993584"/>
    <w:rsid w:val="009A2773"/>
    <w:rsid w:val="009A5FA4"/>
    <w:rsid w:val="009A6DF9"/>
    <w:rsid w:val="009A72C5"/>
    <w:rsid w:val="009B55D2"/>
    <w:rsid w:val="009B6F11"/>
    <w:rsid w:val="009B7513"/>
    <w:rsid w:val="009B7560"/>
    <w:rsid w:val="009E04C8"/>
    <w:rsid w:val="009F19C4"/>
    <w:rsid w:val="009F59E9"/>
    <w:rsid w:val="009F6CF2"/>
    <w:rsid w:val="00A04BEB"/>
    <w:rsid w:val="00A13E40"/>
    <w:rsid w:val="00A2696D"/>
    <w:rsid w:val="00A26B90"/>
    <w:rsid w:val="00A401F9"/>
    <w:rsid w:val="00A57971"/>
    <w:rsid w:val="00A65BD6"/>
    <w:rsid w:val="00A7765E"/>
    <w:rsid w:val="00A80833"/>
    <w:rsid w:val="00A81CBE"/>
    <w:rsid w:val="00A94EEA"/>
    <w:rsid w:val="00AA4F45"/>
    <w:rsid w:val="00AA6BE4"/>
    <w:rsid w:val="00AB14A4"/>
    <w:rsid w:val="00AB6290"/>
    <w:rsid w:val="00AC304B"/>
    <w:rsid w:val="00AC31B7"/>
    <w:rsid w:val="00AC3AA4"/>
    <w:rsid w:val="00AE0045"/>
    <w:rsid w:val="00AE4A01"/>
    <w:rsid w:val="00AE5595"/>
    <w:rsid w:val="00B026EF"/>
    <w:rsid w:val="00B04691"/>
    <w:rsid w:val="00B052B0"/>
    <w:rsid w:val="00B0778B"/>
    <w:rsid w:val="00B113A8"/>
    <w:rsid w:val="00B13B88"/>
    <w:rsid w:val="00B14DC7"/>
    <w:rsid w:val="00B15B3D"/>
    <w:rsid w:val="00B20698"/>
    <w:rsid w:val="00B250BF"/>
    <w:rsid w:val="00B25FC9"/>
    <w:rsid w:val="00B44333"/>
    <w:rsid w:val="00B46F8B"/>
    <w:rsid w:val="00B56A67"/>
    <w:rsid w:val="00B5798F"/>
    <w:rsid w:val="00B7057A"/>
    <w:rsid w:val="00B71764"/>
    <w:rsid w:val="00B7335C"/>
    <w:rsid w:val="00B75750"/>
    <w:rsid w:val="00B84D28"/>
    <w:rsid w:val="00B974BE"/>
    <w:rsid w:val="00BB1A01"/>
    <w:rsid w:val="00BC08DD"/>
    <w:rsid w:val="00BC4ACF"/>
    <w:rsid w:val="00BD19DF"/>
    <w:rsid w:val="00C04171"/>
    <w:rsid w:val="00C04962"/>
    <w:rsid w:val="00C15295"/>
    <w:rsid w:val="00C24A81"/>
    <w:rsid w:val="00C3469A"/>
    <w:rsid w:val="00C52D9F"/>
    <w:rsid w:val="00C8540F"/>
    <w:rsid w:val="00C935A4"/>
    <w:rsid w:val="00CA19E9"/>
    <w:rsid w:val="00CD54D9"/>
    <w:rsid w:val="00CE4323"/>
    <w:rsid w:val="00CE7F97"/>
    <w:rsid w:val="00CF2EE2"/>
    <w:rsid w:val="00D1081E"/>
    <w:rsid w:val="00D12E05"/>
    <w:rsid w:val="00D32B70"/>
    <w:rsid w:val="00D37DB8"/>
    <w:rsid w:val="00D459FF"/>
    <w:rsid w:val="00D64CB4"/>
    <w:rsid w:val="00D767AB"/>
    <w:rsid w:val="00D8156A"/>
    <w:rsid w:val="00D874DC"/>
    <w:rsid w:val="00D91716"/>
    <w:rsid w:val="00D94D3B"/>
    <w:rsid w:val="00DA17D3"/>
    <w:rsid w:val="00DA789A"/>
    <w:rsid w:val="00DB0B87"/>
    <w:rsid w:val="00DB1FC4"/>
    <w:rsid w:val="00DB21CA"/>
    <w:rsid w:val="00DB3AE1"/>
    <w:rsid w:val="00DB5D31"/>
    <w:rsid w:val="00DB6968"/>
    <w:rsid w:val="00DB7D9A"/>
    <w:rsid w:val="00DC55A9"/>
    <w:rsid w:val="00DD68A9"/>
    <w:rsid w:val="00DE54AE"/>
    <w:rsid w:val="00E02B3F"/>
    <w:rsid w:val="00E117AD"/>
    <w:rsid w:val="00E14AA7"/>
    <w:rsid w:val="00E2295D"/>
    <w:rsid w:val="00E24488"/>
    <w:rsid w:val="00E24734"/>
    <w:rsid w:val="00E25349"/>
    <w:rsid w:val="00E34204"/>
    <w:rsid w:val="00E4017C"/>
    <w:rsid w:val="00E627C0"/>
    <w:rsid w:val="00E64285"/>
    <w:rsid w:val="00E67930"/>
    <w:rsid w:val="00E77FD4"/>
    <w:rsid w:val="00E83384"/>
    <w:rsid w:val="00E96617"/>
    <w:rsid w:val="00EC0E7B"/>
    <w:rsid w:val="00EC196B"/>
    <w:rsid w:val="00ED019B"/>
    <w:rsid w:val="00EE47B7"/>
    <w:rsid w:val="00F10DBC"/>
    <w:rsid w:val="00F1104D"/>
    <w:rsid w:val="00F26624"/>
    <w:rsid w:val="00F47FFD"/>
    <w:rsid w:val="00F501B2"/>
    <w:rsid w:val="00F503C2"/>
    <w:rsid w:val="00F509C1"/>
    <w:rsid w:val="00F61364"/>
    <w:rsid w:val="00F63D03"/>
    <w:rsid w:val="00F73784"/>
    <w:rsid w:val="00F76AEF"/>
    <w:rsid w:val="00F92808"/>
    <w:rsid w:val="00F93900"/>
    <w:rsid w:val="00F9487E"/>
    <w:rsid w:val="00FA2204"/>
    <w:rsid w:val="00FB5B98"/>
    <w:rsid w:val="00FC049C"/>
    <w:rsid w:val="00FC31F4"/>
    <w:rsid w:val="00FC5E0E"/>
    <w:rsid w:val="00FD078E"/>
    <w:rsid w:val="00FE14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227DFF"/>
  <w15:chartTrackingRefBased/>
  <w15:docId w15:val="{9CC12E7D-2011-435C-B688-03AC529E87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A78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A78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789A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8503A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679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21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25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39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60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33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0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60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82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uildhallchambers.co.uk/uploadedFiles/PrimaryandSecondaryVictims_RS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westlaw.co.uk/document/personalinjury/psychiatrichar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ompsons-scotland.co.uk/blog/35-personal-injury-claim/3061-primary-and-secondary-victims-what-is-the-difference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westlaw.co.uk/document/personalinjury/nervouseshock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://www.cilexlawschool.ac.uk/wp-content/uploads/2018/10/UQ05-Law-of-Tort-Sample-2018.pdf" TargetMode="External"/><Relationship Id="rId9" Type="http://schemas.openxmlformats.org/officeDocument/2006/relationships/hyperlink" Target="https://www.lawcom.gov.uk/app/uploads/2015/04/LC249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2064</Words>
  <Characters>11769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ceri-anne johnson</dc:creator>
  <cp:keywords/>
  <dc:description/>
  <cp:lastModifiedBy>ceri-anne johnson</cp:lastModifiedBy>
  <cp:revision>2</cp:revision>
  <dcterms:created xsi:type="dcterms:W3CDTF">2022-03-29T22:06:00Z</dcterms:created>
  <dcterms:modified xsi:type="dcterms:W3CDTF">2022-03-29T22:06:00Z</dcterms:modified>
</cp:coreProperties>
</file>