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C41C3" w14:textId="7A755D5F" w:rsidR="00D0255B" w:rsidRDefault="00D0255B" w:rsidP="00D75DD3">
      <w:pPr>
        <w:rPr>
          <w:rFonts w:asciiTheme="majorHAnsi" w:hAnsiTheme="majorHAnsi" w:cstheme="majorHAnsi"/>
          <w:color w:val="373A3C"/>
          <w:sz w:val="28"/>
          <w:szCs w:val="21"/>
          <w:shd w:val="clear" w:color="auto" w:fill="FFFFFF"/>
        </w:rPr>
      </w:pPr>
      <w:r>
        <w:rPr>
          <w:rFonts w:asciiTheme="majorHAnsi" w:hAnsiTheme="majorHAnsi" w:cstheme="majorHAnsi"/>
          <w:color w:val="373A3C"/>
          <w:sz w:val="28"/>
          <w:szCs w:val="21"/>
          <w:shd w:val="clear" w:color="auto" w:fill="FFFFFF"/>
        </w:rPr>
        <w:t>Aristotle’s hero</w:t>
      </w:r>
      <w:r w:rsidR="00100872">
        <w:rPr>
          <w:rFonts w:asciiTheme="majorHAnsi" w:hAnsiTheme="majorHAnsi" w:cstheme="majorHAnsi"/>
          <w:color w:val="373A3C"/>
          <w:sz w:val="28"/>
          <w:szCs w:val="21"/>
          <w:shd w:val="clear" w:color="auto" w:fill="FFFFFF"/>
        </w:rPr>
        <w:t>:</w:t>
      </w:r>
      <w:r>
        <w:rPr>
          <w:rFonts w:asciiTheme="majorHAnsi" w:hAnsiTheme="majorHAnsi" w:cstheme="majorHAnsi"/>
          <w:color w:val="373A3C"/>
          <w:sz w:val="28"/>
          <w:szCs w:val="21"/>
          <w:shd w:val="clear" w:color="auto" w:fill="FFFFFF"/>
        </w:rPr>
        <w:t xml:space="preserve"> </w:t>
      </w:r>
    </w:p>
    <w:p w14:paraId="3B2FAD4C" w14:textId="7E1F6640" w:rsidR="00E14BBA" w:rsidRDefault="00D75DD3" w:rsidP="00D75DD3">
      <w:r w:rsidRPr="00813D6E">
        <w:rPr>
          <w:rFonts w:asciiTheme="majorHAnsi" w:hAnsiTheme="majorHAnsi" w:cstheme="majorHAnsi"/>
          <w:color w:val="373A3C"/>
          <w:sz w:val="28"/>
          <w:szCs w:val="21"/>
          <w:shd w:val="clear" w:color="auto" w:fill="FFFFFF"/>
        </w:rPr>
        <w:t xml:space="preserve">Are Alexander the Great’s actions in </w:t>
      </w:r>
      <w:r w:rsidR="00100872">
        <w:rPr>
          <w:rFonts w:asciiTheme="majorHAnsi" w:hAnsiTheme="majorHAnsi" w:cstheme="majorHAnsi"/>
          <w:color w:val="373A3C"/>
          <w:sz w:val="28"/>
          <w:szCs w:val="21"/>
          <w:shd w:val="clear" w:color="auto" w:fill="FFFFFF"/>
        </w:rPr>
        <w:t xml:space="preserve">the accounts of </w:t>
      </w:r>
      <w:r w:rsidRPr="00813D6E">
        <w:rPr>
          <w:rFonts w:asciiTheme="majorHAnsi" w:hAnsiTheme="majorHAnsi" w:cstheme="majorHAnsi"/>
          <w:color w:val="373A3C"/>
          <w:sz w:val="28"/>
          <w:szCs w:val="21"/>
          <w:shd w:val="clear" w:color="auto" w:fill="FFFFFF"/>
        </w:rPr>
        <w:t>both the Battle of Gaugamela and the Sack of Persepolis in positive accordance with ancient philosophical ideas of heroism?</w:t>
      </w:r>
    </w:p>
    <w:p w14:paraId="3D431088" w14:textId="50DE100A" w:rsidR="00D75DD3" w:rsidRDefault="00D75DD3" w:rsidP="00D75DD3"/>
    <w:p w14:paraId="721A3947" w14:textId="77777777" w:rsidR="00D75DD3" w:rsidRPr="00D75DD3" w:rsidRDefault="00D75DD3" w:rsidP="00D75DD3"/>
    <w:p w14:paraId="453F60FD" w14:textId="6D0E6223" w:rsidR="00783164" w:rsidRPr="00D75DD3" w:rsidRDefault="00DF4BA8" w:rsidP="00D75DD3">
      <w:r w:rsidRPr="00D75DD3">
        <w:t>Alexander the Great’s character appears to us through many diverse variations – from the heroic philosopher-king, to the drunk, to the dangerously unpredictable subjugator of thousands.</w:t>
      </w:r>
      <w:r w:rsidR="00D75DD3" w:rsidRPr="00D75DD3">
        <w:rPr>
          <w:rStyle w:val="FootnoteReference"/>
        </w:rPr>
        <w:footnoteReference w:id="1"/>
      </w:r>
      <w:r w:rsidR="00D75DD3" w:rsidRPr="00D75DD3">
        <w:t xml:space="preserve"> </w:t>
      </w:r>
      <w:r w:rsidRPr="00D75DD3">
        <w:t xml:space="preserve">Despite this, due to the scale of his conquests, his importance to human history cannot be underestimated. This importance, in tandem with such an ambiguity, creates a diversity of historical interpretations of Alexander’s character, </w:t>
      </w:r>
      <w:r w:rsidR="00E14BBA" w:rsidRPr="00D75DD3">
        <w:t xml:space="preserve">interpretations </w:t>
      </w:r>
      <w:r w:rsidRPr="00D75DD3">
        <w:t>often prefaced by the expertise and experience of the academics that interpret him.</w:t>
      </w:r>
      <w:r w:rsidR="00D75DD3" w:rsidRPr="00D75DD3">
        <w:rPr>
          <w:rStyle w:val="FootnoteReference"/>
        </w:rPr>
        <w:footnoteReference w:id="2"/>
      </w:r>
      <w:r w:rsidR="00D75DD3" w:rsidRPr="00D75DD3">
        <w:t xml:space="preserve"> </w:t>
      </w:r>
      <w:r w:rsidRPr="00D75DD3">
        <w:t>Therefore, exploration of this enigmatic figure’s character is challenged by this diversity.</w:t>
      </w:r>
      <w:r w:rsidR="00E14BBA" w:rsidRPr="00D75DD3">
        <w:t xml:space="preserve"> For simplicity, this essay will focus on and challenge one interpretation of his character, that of the heroic archetype</w:t>
      </w:r>
      <w:r w:rsidR="00975649" w:rsidRPr="00D75DD3">
        <w:t xml:space="preserve">, assessing </w:t>
      </w:r>
      <w:r w:rsidR="00E14BBA" w:rsidRPr="00D75DD3">
        <w:t xml:space="preserve">how much or how little this </w:t>
      </w:r>
      <w:r w:rsidR="00975649" w:rsidRPr="00D75DD3">
        <w:t xml:space="preserve">archetype </w:t>
      </w:r>
      <w:r w:rsidR="00E14BBA" w:rsidRPr="00D75DD3">
        <w:t>is evident in accounts of two events – the Battle of Gaugamela and the Sack of Persepolis</w:t>
      </w:r>
      <w:r w:rsidR="00975649" w:rsidRPr="00D75DD3">
        <w:t>.</w:t>
      </w:r>
      <w:r w:rsidR="00D75DD3" w:rsidRPr="00D75DD3">
        <w:rPr>
          <w:rStyle w:val="FootnoteReference"/>
        </w:rPr>
        <w:footnoteReference w:id="3"/>
      </w:r>
      <w:r w:rsidR="00975649" w:rsidRPr="00D75DD3">
        <w:t xml:space="preserve"> </w:t>
      </w:r>
      <w:r w:rsidR="004A6AFF">
        <w:t>While it is impossible to separate fully the truth from the fiction, t</w:t>
      </w:r>
      <w:r w:rsidR="00975649" w:rsidRPr="00D75DD3">
        <w:t>he main argument of this essay is that alexander’s character is</w:t>
      </w:r>
      <w:r w:rsidR="00D75DD3" w:rsidRPr="00D75DD3">
        <w:t xml:space="preserve"> </w:t>
      </w:r>
      <w:r w:rsidR="00975649" w:rsidRPr="00D75DD3">
        <w:t xml:space="preserve">far more multifaceted, </w:t>
      </w:r>
      <w:r w:rsidR="00A21F70">
        <w:t xml:space="preserve">and far </w:t>
      </w:r>
      <w:r w:rsidR="00975649" w:rsidRPr="00D75DD3">
        <w:t>more human, than this heroic interpretation</w:t>
      </w:r>
      <w:r w:rsidR="004A6AFF">
        <w:t xml:space="preserve">. </w:t>
      </w:r>
      <w:r w:rsidR="00975649" w:rsidRPr="00D75DD3">
        <w:t xml:space="preserve">    </w:t>
      </w:r>
      <w:r w:rsidR="00D75DD3" w:rsidRPr="00D75DD3">
        <w:t xml:space="preserve"> </w:t>
      </w:r>
    </w:p>
    <w:p w14:paraId="6E9FDB1C" w14:textId="77777777" w:rsidR="00DA1AB5" w:rsidRPr="00D75DD3" w:rsidRDefault="00DA1AB5" w:rsidP="00D75DD3"/>
    <w:p w14:paraId="191269B1" w14:textId="19D7DA4E" w:rsidR="00D75DD3" w:rsidRDefault="00DA1AB5" w:rsidP="00D75DD3">
      <w:r w:rsidRPr="00D75DD3">
        <w:t>To understand this, it is vital first to understand what is meant by the term</w:t>
      </w:r>
      <w:r w:rsidR="00A21F70">
        <w:t>s surrounding</w:t>
      </w:r>
      <w:r w:rsidRPr="00D75DD3">
        <w:t xml:space="preserve"> ‘heroism’ in the ancient Greek sense, and to therefore examine the ethical views that precede</w:t>
      </w:r>
      <w:r w:rsidR="00D75DD3" w:rsidRPr="00D75DD3">
        <w:t xml:space="preserve"> </w:t>
      </w:r>
      <w:r w:rsidRPr="00D75DD3">
        <w:t xml:space="preserve">this heroic archetype. Naturally, as both the great ethicist and as </w:t>
      </w:r>
      <w:r w:rsidR="00CE4ADC" w:rsidRPr="00D75DD3">
        <w:t>A</w:t>
      </w:r>
      <w:r w:rsidRPr="00D75DD3">
        <w:t xml:space="preserve">lexander’s personal </w:t>
      </w:r>
      <w:r w:rsidR="00CE4ADC" w:rsidRPr="00D75DD3">
        <w:t>tutor, Aristotle seems an appropriate place</w:t>
      </w:r>
      <w:r w:rsidR="001062B8">
        <w:t xml:space="preserve"> on which</w:t>
      </w:r>
      <w:r w:rsidR="00CE4ADC" w:rsidRPr="00D75DD3">
        <w:t xml:space="preserve"> to </w:t>
      </w:r>
      <w:r w:rsidR="001062B8">
        <w:t>focus</w:t>
      </w:r>
      <w:r w:rsidR="00CE4ADC" w:rsidRPr="00D75DD3">
        <w:t>.</w:t>
      </w:r>
      <w:r w:rsidR="00D75DD3" w:rsidRPr="00D75DD3">
        <w:rPr>
          <w:rStyle w:val="FootnoteReference"/>
        </w:rPr>
        <w:footnoteReference w:id="4"/>
      </w:r>
      <w:r w:rsidR="00CE4ADC" w:rsidRPr="00D75DD3">
        <w:t xml:space="preserve">  This essay will therefore assess the</w:t>
      </w:r>
      <w:r w:rsidR="001062B8">
        <w:t xml:space="preserve"> Homeric,</w:t>
      </w:r>
      <w:r w:rsidR="00A21F70">
        <w:t xml:space="preserve"> and</w:t>
      </w:r>
      <w:r w:rsidR="00CE4ADC" w:rsidRPr="00D75DD3">
        <w:t xml:space="preserve"> Platonic</w:t>
      </w:r>
      <w:r w:rsidR="00A21F70">
        <w:t xml:space="preserve"> influences</w:t>
      </w:r>
      <w:r w:rsidR="00CE4ADC" w:rsidRPr="00D75DD3">
        <w:t xml:space="preserve"> </w:t>
      </w:r>
      <w:r w:rsidR="00A21F70">
        <w:t>on</w:t>
      </w:r>
      <w:r w:rsidR="00CE4ADC" w:rsidRPr="00D75DD3">
        <w:t xml:space="preserve"> Aristotelian notions</w:t>
      </w:r>
      <w:r w:rsidR="00DB584A">
        <w:t>—and to an extent Alexander’s own formulations—</w:t>
      </w:r>
      <w:r w:rsidR="00CE4ADC" w:rsidRPr="00D75DD3">
        <w:t xml:space="preserve">of </w:t>
      </w:r>
      <w:r w:rsidR="00DB584A">
        <w:t>heroism.</w:t>
      </w:r>
      <w:r w:rsidR="00CE4ADC" w:rsidRPr="00D75DD3">
        <w:t xml:space="preserve"> </w:t>
      </w:r>
      <w:r w:rsidR="00DB584A">
        <w:t xml:space="preserve">Then </w:t>
      </w:r>
      <w:r w:rsidR="00A21F70">
        <w:t>this essay will address</w:t>
      </w:r>
      <w:r w:rsidR="00DB584A">
        <w:t xml:space="preserve"> </w:t>
      </w:r>
      <w:r w:rsidR="001062B8">
        <w:t>Aristotle’s contributions</w:t>
      </w:r>
      <w:r w:rsidR="00DB584A">
        <w:t xml:space="preserve"> to ideas of heroism</w:t>
      </w:r>
      <w:r w:rsidR="001062B8">
        <w:t xml:space="preserve">, </w:t>
      </w:r>
      <w:r w:rsidR="00CE4ADC" w:rsidRPr="00D75DD3">
        <w:t xml:space="preserve">and how Alexander may be measured by these standards. </w:t>
      </w:r>
      <w:r w:rsidR="00E0365A">
        <w:t>Next this essay will ad</w:t>
      </w:r>
      <w:r w:rsidR="00E0365A" w:rsidRPr="00D75DD3">
        <w:t>dress the historiography of the primary sources used, and assess</w:t>
      </w:r>
      <w:r w:rsidR="00E0365A">
        <w:t>ment of each</w:t>
      </w:r>
      <w:r w:rsidR="00E0365A" w:rsidRPr="00D75DD3">
        <w:t xml:space="preserve"> author’s motives and means, </w:t>
      </w:r>
      <w:r w:rsidR="00E0365A">
        <w:t>considering</w:t>
      </w:r>
      <w:r w:rsidR="00E0365A" w:rsidRPr="00D75DD3">
        <w:t xml:space="preserve"> all the issues that arise from th</w:t>
      </w:r>
      <w:r w:rsidR="00E0365A">
        <w:t>ese factors</w:t>
      </w:r>
      <w:r w:rsidR="00E0365A" w:rsidRPr="00D75DD3">
        <w:t>.</w:t>
      </w:r>
      <w:r w:rsidR="00E0365A">
        <w:t xml:space="preserve"> </w:t>
      </w:r>
      <w:proofErr w:type="gramStart"/>
      <w:r w:rsidR="00CE4ADC" w:rsidRPr="00D75DD3">
        <w:t>In order to</w:t>
      </w:r>
      <w:proofErr w:type="gramEnd"/>
      <w:r w:rsidR="00CE4ADC" w:rsidRPr="00D75DD3">
        <w:t xml:space="preserve"> </w:t>
      </w:r>
      <w:r w:rsidR="00195754" w:rsidRPr="00D75DD3">
        <w:t xml:space="preserve">both </w:t>
      </w:r>
      <w:r w:rsidR="00CE4ADC" w:rsidRPr="00D75DD3">
        <w:t xml:space="preserve">understand </w:t>
      </w:r>
      <w:r w:rsidR="00195754" w:rsidRPr="00D75DD3">
        <w:t>how different authorship can change perspectives on Alexander’s character, and to determine if</w:t>
      </w:r>
      <w:r w:rsidR="00195754" w:rsidRPr="00D75DD3">
        <w:rPr>
          <w:i/>
        </w:rPr>
        <w:t xml:space="preserve"> </w:t>
      </w:r>
      <w:r w:rsidR="00195754" w:rsidRPr="00D75DD3">
        <w:t>there is a common narrative</w:t>
      </w:r>
      <w:r w:rsidR="00CE4ADC" w:rsidRPr="00D75DD3">
        <w:t xml:space="preserve"> </w:t>
      </w:r>
      <w:r w:rsidR="00195754" w:rsidRPr="00D75DD3">
        <w:t>between the t</w:t>
      </w:r>
      <w:r w:rsidR="003B0BDD">
        <w:t>hree</w:t>
      </w:r>
      <w:r w:rsidR="00195754" w:rsidRPr="00D75DD3">
        <w:t xml:space="preserve"> that we can use to gain insight into his character, this essay will </w:t>
      </w:r>
      <w:r w:rsidR="00DB584A">
        <w:t xml:space="preserve">then </w:t>
      </w:r>
      <w:r w:rsidR="00195754" w:rsidRPr="00D75DD3">
        <w:t>focus on the accounts</w:t>
      </w:r>
      <w:r w:rsidR="00D75DD3" w:rsidRPr="00D75DD3">
        <w:t xml:space="preserve"> of the Battle of Gaugamela</w:t>
      </w:r>
      <w:r w:rsidR="00E0365A">
        <w:t>,</w:t>
      </w:r>
      <w:r w:rsidR="00D75DD3" w:rsidRPr="00D75DD3">
        <w:t xml:space="preserve"> and the </w:t>
      </w:r>
      <w:r w:rsidR="00100872">
        <w:t>S</w:t>
      </w:r>
      <w:r w:rsidR="00D75DD3" w:rsidRPr="00D75DD3">
        <w:t>ack of Persepolis</w:t>
      </w:r>
      <w:r w:rsidR="00E0365A">
        <w:t>,</w:t>
      </w:r>
      <w:r w:rsidR="00D75DD3" w:rsidRPr="00D75DD3">
        <w:t xml:space="preserve"> by </w:t>
      </w:r>
      <w:r w:rsidR="00195754" w:rsidRPr="00D75DD3">
        <w:t>Arrian</w:t>
      </w:r>
      <w:r w:rsidR="003B0BDD">
        <w:t>, Diodorus,</w:t>
      </w:r>
      <w:r w:rsidR="00195754" w:rsidRPr="00D75DD3">
        <w:t xml:space="preserve"> and Plutarch.</w:t>
      </w:r>
      <w:r w:rsidR="00DB584A">
        <w:t xml:space="preserve"> </w:t>
      </w:r>
      <w:r w:rsidR="00EA55DB">
        <w:t>This section will describe briefly the t</w:t>
      </w:r>
      <w:r w:rsidR="00E0365A">
        <w:t>hree</w:t>
      </w:r>
      <w:r w:rsidR="00EA55DB">
        <w:t xml:space="preserve"> accounts, assess the idea of heroism surrounding both these events, and then compare the t</w:t>
      </w:r>
      <w:r w:rsidR="00E0365A">
        <w:t>hree</w:t>
      </w:r>
      <w:r w:rsidR="00EA55DB">
        <w:t xml:space="preserve"> author’s versions to see whether they both support the same viewpoints. </w:t>
      </w:r>
      <w:r w:rsidR="00DB584A">
        <w:t>Th</w:t>
      </w:r>
      <w:r w:rsidR="002F3AA4">
        <w:t>is</w:t>
      </w:r>
      <w:r w:rsidR="00DB584A">
        <w:t xml:space="preserve"> allow</w:t>
      </w:r>
      <w:r w:rsidR="002F3AA4">
        <w:t>s</w:t>
      </w:r>
      <w:r w:rsidR="00DB584A">
        <w:t xml:space="preserve"> for a more inclusive assessment of Alexander’s heroism in two very different circumstances. </w:t>
      </w:r>
      <w:r w:rsidR="00195754" w:rsidRPr="00D75DD3">
        <w:t xml:space="preserve"> </w:t>
      </w:r>
    </w:p>
    <w:p w14:paraId="1AA1A893" w14:textId="77777777" w:rsidR="0053708E" w:rsidRDefault="0053708E" w:rsidP="00D75DD3"/>
    <w:p w14:paraId="12004828" w14:textId="3571F227" w:rsidR="00494558" w:rsidRDefault="004D215B" w:rsidP="00D75DD3">
      <w:r>
        <w:t>Ancient Greek opinions on heroism for Alexander would</w:t>
      </w:r>
      <w:r w:rsidR="00D46F78">
        <w:t xml:space="preserve"> have closely involved the Iliad, </w:t>
      </w:r>
      <w:r w:rsidR="0059249E">
        <w:t xml:space="preserve">of which he took a </w:t>
      </w:r>
      <w:r w:rsidR="00A21F70">
        <w:t xml:space="preserve">personal </w:t>
      </w:r>
      <w:r w:rsidR="0059249E">
        <w:t xml:space="preserve">copy </w:t>
      </w:r>
      <w:r w:rsidR="00A21F70">
        <w:t>with him</w:t>
      </w:r>
      <w:r w:rsidR="0059249E">
        <w:t xml:space="preserve"> </w:t>
      </w:r>
      <w:r w:rsidR="00D46F78">
        <w:t>across Asia</w:t>
      </w:r>
      <w:r>
        <w:t>.</w:t>
      </w:r>
      <w:r>
        <w:rPr>
          <w:rStyle w:val="FootnoteReference"/>
        </w:rPr>
        <w:footnoteReference w:id="5"/>
      </w:r>
      <w:r>
        <w:t xml:space="preserve"> In the Iliad</w:t>
      </w:r>
      <w:r w:rsidR="007141B0">
        <w:t>,</w:t>
      </w:r>
      <w:r>
        <w:t xml:space="preserve"> </w:t>
      </w:r>
      <w:r>
        <w:lastRenderedPageBreak/>
        <w:t>Atreus rallies his men cautioning heroism must involve consideration for other soldiers, so clearly in the Iliad, heroism is taught as disciplined, and cannot be rash.</w:t>
      </w:r>
      <w:r>
        <w:rPr>
          <w:rStyle w:val="FootnoteReference"/>
        </w:rPr>
        <w:footnoteReference w:id="6"/>
      </w:r>
      <w:r w:rsidR="007141B0">
        <w:t xml:space="preserve"> The Iliad also displays acts of sacrifice for </w:t>
      </w:r>
      <w:r w:rsidR="009452B7">
        <w:t>others</w:t>
      </w:r>
      <w:r w:rsidR="007141B0">
        <w:t xml:space="preserve"> as heroic</w:t>
      </w:r>
      <w:r w:rsidR="009452B7">
        <w:t>.</w:t>
      </w:r>
      <w:r w:rsidR="009452B7">
        <w:rPr>
          <w:rStyle w:val="FootnoteReference"/>
        </w:rPr>
        <w:footnoteReference w:id="7"/>
      </w:r>
      <w:r w:rsidR="003220C0">
        <w:t xml:space="preserve"> Edmunds remarks that Alexander’s hero emulation was an important </w:t>
      </w:r>
      <w:r w:rsidR="001031A9">
        <w:t>aspect</w:t>
      </w:r>
      <w:r w:rsidR="003220C0">
        <w:t xml:space="preserve"> of his conquests</w:t>
      </w:r>
      <w:r w:rsidR="00404B28">
        <w:t>, which</w:t>
      </w:r>
      <w:r w:rsidR="00EF0DE7">
        <w:t xml:space="preserve"> is evidence </w:t>
      </w:r>
      <w:r w:rsidR="00404B28">
        <w:t xml:space="preserve">that Alexander </w:t>
      </w:r>
      <w:r w:rsidR="00EF0DE7">
        <w:t>understood and knew the Homeric heroes well</w:t>
      </w:r>
      <w:r w:rsidR="001031A9">
        <w:t>.</w:t>
      </w:r>
      <w:r w:rsidR="001031A9">
        <w:rPr>
          <w:rStyle w:val="FootnoteReference"/>
        </w:rPr>
        <w:footnoteReference w:id="8"/>
      </w:r>
      <w:r w:rsidR="003220C0">
        <w:t xml:space="preserve"> </w:t>
      </w:r>
      <w:r w:rsidR="001031A9">
        <w:t>T</w:t>
      </w:r>
      <w:r w:rsidR="003220C0">
        <w:t>his is supported by Alexander’s visitations to the Trojan war’s her</w:t>
      </w:r>
      <w:r w:rsidR="001031A9">
        <w:t>oe</w:t>
      </w:r>
      <w:r w:rsidR="003220C0">
        <w:t>s</w:t>
      </w:r>
      <w:r w:rsidR="001031A9">
        <w:t>’ tombs</w:t>
      </w:r>
      <w:r w:rsidR="003220C0">
        <w:t>, and Alexander’s emulation of Achilles when he thrusts his spear onto the beach of Asia.</w:t>
      </w:r>
      <w:r w:rsidR="001031A9">
        <w:rPr>
          <w:rStyle w:val="FootnoteReference"/>
        </w:rPr>
        <w:footnoteReference w:id="9"/>
      </w:r>
      <w:r w:rsidR="001031A9">
        <w:t xml:space="preserve"> Clearly Alexander took </w:t>
      </w:r>
      <w:r w:rsidR="004D2250">
        <w:t>considerable</w:t>
      </w:r>
      <w:r w:rsidR="001031A9">
        <w:t xml:space="preserve"> inspiration from these </w:t>
      </w:r>
      <w:r w:rsidR="004D2250">
        <w:t xml:space="preserve">Homeric </w:t>
      </w:r>
      <w:r w:rsidR="001031A9">
        <w:t>heroes that he is shown to value.</w:t>
      </w:r>
      <w:r w:rsidR="001031A9">
        <w:rPr>
          <w:rStyle w:val="FootnoteReference"/>
        </w:rPr>
        <w:footnoteReference w:id="10"/>
      </w:r>
      <w:r w:rsidR="001031A9">
        <w:t xml:space="preserve"> </w:t>
      </w:r>
      <w:r w:rsidR="00A212AD">
        <w:t>One of the main heroes, Achilles, was a furious warrior, that charged into battle with enormous might and valour.</w:t>
      </w:r>
      <w:r w:rsidR="00A212AD">
        <w:rPr>
          <w:rStyle w:val="FootnoteReference"/>
        </w:rPr>
        <w:footnoteReference w:id="11"/>
      </w:r>
      <w:r w:rsidR="00A212AD">
        <w:t xml:space="preserve"> Alexander may have taken this as great heroism, but Achilles was also cruel and brutal at times, which wouldn’t have fit into any Nichomachean virtues.</w:t>
      </w:r>
      <w:r w:rsidR="00A212AD">
        <w:rPr>
          <w:rStyle w:val="FootnoteReference"/>
        </w:rPr>
        <w:footnoteReference w:id="12"/>
      </w:r>
      <w:r w:rsidR="00F62E8B">
        <w:t xml:space="preserve"> </w:t>
      </w:r>
      <w:r w:rsidR="00EC5974">
        <w:t>Alexander however, was supposedly related to this ‘poetic paradigm of a hero’.</w:t>
      </w:r>
      <w:r w:rsidR="00EC5974">
        <w:rPr>
          <w:rStyle w:val="FootnoteReference"/>
        </w:rPr>
        <w:footnoteReference w:id="13"/>
      </w:r>
      <w:r w:rsidR="00EC5974">
        <w:t xml:space="preserve"> </w:t>
      </w:r>
      <w:r w:rsidR="00DB584A">
        <w:t>Heroes in the Iliad often have many different character trait</w:t>
      </w:r>
      <w:r w:rsidR="00FE5146">
        <w:t>s</w:t>
      </w:r>
      <w:r w:rsidR="00DB584A">
        <w:t>, and therefore it is impossible to derive any complete, consistent heroic code that Alexander could have found in it</w:t>
      </w:r>
      <w:r w:rsidR="00EF0DE7">
        <w:t>, but aspects of certain characters do clearly influence Alexander’s ideas of heroism</w:t>
      </w:r>
      <w:r w:rsidR="00DB584A">
        <w:t>.</w:t>
      </w:r>
      <w:r w:rsidR="00FE5146">
        <w:rPr>
          <w:rStyle w:val="FootnoteReference"/>
        </w:rPr>
        <w:footnoteReference w:id="14"/>
      </w:r>
    </w:p>
    <w:p w14:paraId="59AAD705" w14:textId="0A07D34E" w:rsidR="001062B8" w:rsidRDefault="001062B8" w:rsidP="00D75DD3"/>
    <w:p w14:paraId="69420DCE" w14:textId="7ACB84D0" w:rsidR="001062B8" w:rsidRDefault="001062B8" w:rsidP="00D75DD3">
      <w:r>
        <w:t xml:space="preserve">The ancient Greek philosophy on ethics </w:t>
      </w:r>
      <w:r w:rsidR="00EF0DE7">
        <w:t>inclined</w:t>
      </w:r>
      <w:r>
        <w:t xml:space="preserve"> towards character-based rather than deontological or teleological views.</w:t>
      </w:r>
      <w:r>
        <w:rPr>
          <w:rStyle w:val="FootnoteReference"/>
        </w:rPr>
        <w:footnoteReference w:id="15"/>
      </w:r>
      <w:r w:rsidR="001541FA">
        <w:t xml:space="preserve"> In </w:t>
      </w:r>
      <w:r w:rsidR="001541FA">
        <w:rPr>
          <w:i/>
        </w:rPr>
        <w:t>Laches</w:t>
      </w:r>
      <w:r w:rsidR="00EF0DE7">
        <w:rPr>
          <w:i/>
        </w:rPr>
        <w:t>,</w:t>
      </w:r>
      <w:r w:rsidR="001541FA">
        <w:t xml:space="preserve"> Socrates and Laches conclude that an agent showing bravery is dependent on the knowledge of the risk, and to risk sufficient danger for a good cause.</w:t>
      </w:r>
      <w:r w:rsidR="001541FA">
        <w:rPr>
          <w:rStyle w:val="FootnoteReference"/>
        </w:rPr>
        <w:footnoteReference w:id="16"/>
      </w:r>
      <w:r w:rsidR="004642FC">
        <w:t xml:space="preserve"> Socrates also notes that brave people do not comprehensively face all dangers head-on, they must </w:t>
      </w:r>
      <w:r w:rsidR="00EF0DE7">
        <w:t xml:space="preserve">first </w:t>
      </w:r>
      <w:r w:rsidR="004642FC">
        <w:t xml:space="preserve">understand </w:t>
      </w:r>
      <w:r w:rsidR="00EF0DE7">
        <w:t xml:space="preserve">and assess </w:t>
      </w:r>
      <w:r w:rsidR="004642FC">
        <w:t>whether the danger is worth facing.</w:t>
      </w:r>
      <w:r w:rsidR="004642FC">
        <w:rPr>
          <w:rStyle w:val="FootnoteReference"/>
        </w:rPr>
        <w:footnoteReference w:id="17"/>
      </w:r>
      <w:r w:rsidR="004642FC">
        <w:t xml:space="preserve"> </w:t>
      </w:r>
      <w:r w:rsidR="00EF0DE7">
        <w:t>Recorded by Plato, Socrates does maintain that to be courageous, one must not have any egoism.</w:t>
      </w:r>
      <w:r w:rsidR="00EF0DE7">
        <w:rPr>
          <w:rStyle w:val="FootnoteReference"/>
        </w:rPr>
        <w:footnoteReference w:id="18"/>
      </w:r>
      <w:r w:rsidR="00EF0DE7">
        <w:t xml:space="preserve"> </w:t>
      </w:r>
      <w:r w:rsidR="004642FC">
        <w:t xml:space="preserve">Applied to Alexander this would dictate that </w:t>
      </w:r>
      <w:r w:rsidR="00EF0DE7">
        <w:t xml:space="preserve">for </w:t>
      </w:r>
      <w:r w:rsidR="004642FC">
        <w:t xml:space="preserve">his character to be appropriately brave to qualify for heroism, </w:t>
      </w:r>
      <w:r w:rsidR="00EF0DE7">
        <w:t xml:space="preserve">he </w:t>
      </w:r>
      <w:r w:rsidR="004642FC">
        <w:t>would have to have an understanding of the situation and deliberat</w:t>
      </w:r>
      <w:r w:rsidR="00EF0DE7">
        <w:t>e</w:t>
      </w:r>
      <w:r w:rsidR="004642FC">
        <w:t xml:space="preserve"> its risks, facing</w:t>
      </w:r>
      <w:r w:rsidR="00EF0DE7">
        <w:t xml:space="preserve"> only</w:t>
      </w:r>
      <w:r w:rsidR="004642FC">
        <w:t xml:space="preserve"> worthwhile danger; Alexander must face danger that will result in a beneficial outcome.</w:t>
      </w:r>
      <w:r w:rsidR="004642FC">
        <w:rPr>
          <w:rStyle w:val="FootnoteReference"/>
        </w:rPr>
        <w:footnoteReference w:id="19"/>
      </w:r>
      <w:r w:rsidR="001137CE">
        <w:t xml:space="preserve"> </w:t>
      </w:r>
    </w:p>
    <w:p w14:paraId="2217EE3C" w14:textId="4E69E484" w:rsidR="004642FC" w:rsidRDefault="004642FC" w:rsidP="00D75DD3"/>
    <w:p w14:paraId="4F708647" w14:textId="77CAD872" w:rsidR="004642FC" w:rsidRPr="001137CE" w:rsidRDefault="001137CE" w:rsidP="00D75DD3">
      <w:r>
        <w:t xml:space="preserve">Aristotle’s predecessor, Plato, believed that for an agent to be virtuous and good, they would have to </w:t>
      </w:r>
      <w:r w:rsidR="00D6681E">
        <w:t>be a philosopher, and only being concerned with the action or the consequence would be only fake virtue.</w:t>
      </w:r>
      <w:r w:rsidR="00D6681E">
        <w:rPr>
          <w:rStyle w:val="FootnoteReference"/>
        </w:rPr>
        <w:footnoteReference w:id="20"/>
      </w:r>
      <w:r w:rsidR="00D6681E">
        <w:t xml:space="preserve"> So for Alexander to display all the virtues of a hero, he would have to be a philosopher.</w:t>
      </w:r>
      <w:r w:rsidR="00D6681E">
        <w:rPr>
          <w:rStyle w:val="FootnoteReference"/>
        </w:rPr>
        <w:footnoteReference w:id="21"/>
      </w:r>
      <w:r w:rsidR="00D6681E">
        <w:t xml:space="preserve"> </w:t>
      </w:r>
      <w:r w:rsidR="000F01F6">
        <w:t xml:space="preserve">This could mean Alexander was virtuous and heroic if Plutarch is to be believed, who imparted </w:t>
      </w:r>
      <w:r w:rsidR="000F01F6">
        <w:lastRenderedPageBreak/>
        <w:t>the image of a philosopher-king onto Alexander.</w:t>
      </w:r>
      <w:r w:rsidR="000F01F6">
        <w:rPr>
          <w:rStyle w:val="FootnoteReference"/>
        </w:rPr>
        <w:footnoteReference w:id="22"/>
      </w:r>
      <w:r w:rsidR="000F01F6">
        <w:t xml:space="preserve"> This view of Alexander as possessing a</w:t>
      </w:r>
      <w:r w:rsidR="00E4426F">
        <w:t xml:space="preserve"> </w:t>
      </w:r>
      <w:r w:rsidR="000F01F6">
        <w:t xml:space="preserve">philosophical </w:t>
      </w:r>
      <w:r w:rsidR="00E4426F">
        <w:t>mindset, is also supported by Aristotle’s two yearlong tutorage</w:t>
      </w:r>
      <w:r w:rsidR="00EF0DE7">
        <w:t>, which is likely to have been an education on many aspects of philosophy</w:t>
      </w:r>
      <w:r w:rsidR="00E4426F">
        <w:t>.</w:t>
      </w:r>
      <w:r w:rsidR="00E4426F">
        <w:rPr>
          <w:rStyle w:val="FootnoteReference"/>
        </w:rPr>
        <w:footnoteReference w:id="23"/>
      </w:r>
    </w:p>
    <w:p w14:paraId="42317DC6" w14:textId="7FB2F788" w:rsidR="008F6DF9" w:rsidRDefault="008F6DF9" w:rsidP="00D75DD3"/>
    <w:p w14:paraId="0FCF1E1C" w14:textId="765AF82A" w:rsidR="008F6DF9" w:rsidRDefault="008F6DF9" w:rsidP="00D75DD3">
      <w:r>
        <w:t>Aristotle’s views on virtues and ethics are prolific</w:t>
      </w:r>
      <w:r w:rsidR="006021A0">
        <w:t xml:space="preserve"> in the modern day</w:t>
      </w:r>
      <w:r>
        <w:t>.</w:t>
      </w:r>
      <w:r>
        <w:rPr>
          <w:rStyle w:val="FootnoteReference"/>
        </w:rPr>
        <w:footnoteReference w:id="24"/>
      </w:r>
      <w:r>
        <w:t xml:space="preserve"> </w:t>
      </w:r>
      <w:r w:rsidR="00EE1ACF">
        <w:t>For Aristotle, an agent’s action must show restraint and p</w:t>
      </w:r>
      <w:r w:rsidR="0040466E">
        <w:t>ersonal control of any negative desires.</w:t>
      </w:r>
      <w:r w:rsidR="0040466E">
        <w:rPr>
          <w:rStyle w:val="FootnoteReference"/>
        </w:rPr>
        <w:footnoteReference w:id="25"/>
      </w:r>
      <w:r w:rsidR="0040466E">
        <w:t xml:space="preserve"> Therefore, for an agent to act virtuously, they must not give in</w:t>
      </w:r>
      <w:r w:rsidR="00611BD0">
        <w:t xml:space="preserve"> </w:t>
      </w:r>
      <w:r w:rsidR="0040466E">
        <w:t xml:space="preserve">to improper desires and try to actively </w:t>
      </w:r>
      <w:r w:rsidR="00611BD0">
        <w:t>perform</w:t>
      </w:r>
      <w:r w:rsidR="0040466E">
        <w:t xml:space="preserve"> good actions.</w:t>
      </w:r>
      <w:r w:rsidR="0040466E">
        <w:rPr>
          <w:rStyle w:val="FootnoteReference"/>
        </w:rPr>
        <w:footnoteReference w:id="26"/>
      </w:r>
      <w:r w:rsidR="0040466E">
        <w:t xml:space="preserve"> Aristotle agreed with Socrates’ affirmations that akrasia</w:t>
      </w:r>
      <w:r w:rsidR="00EF0DE7">
        <w:t>—often defined as a lack of self-control—</w:t>
      </w:r>
      <w:r w:rsidR="0040466E">
        <w:t xml:space="preserve">is derived primarily through ignorance, and </w:t>
      </w:r>
      <w:r w:rsidR="00EF0DE7">
        <w:t xml:space="preserve">a </w:t>
      </w:r>
      <w:r w:rsidR="0040466E">
        <w:t xml:space="preserve">lack of proper education, meaning a heroic character naturally must be correctly educated in order to act appropriately, and must </w:t>
      </w:r>
      <w:r w:rsidR="00EF0DE7">
        <w:t xml:space="preserve">also </w:t>
      </w:r>
      <w:r w:rsidR="0040466E">
        <w:t>understand their situation.</w:t>
      </w:r>
      <w:r w:rsidR="0040466E">
        <w:rPr>
          <w:rStyle w:val="FootnoteReference"/>
        </w:rPr>
        <w:footnoteReference w:id="27"/>
      </w:r>
      <w:r w:rsidR="0040466E">
        <w:t xml:space="preserve"> This interpretation is </w:t>
      </w:r>
      <w:r w:rsidR="00162393">
        <w:t>supported by Aristotle’s emphasis on phronesis</w:t>
      </w:r>
      <w:r w:rsidR="00EF0DE7">
        <w:t xml:space="preserve">—recurrently translated to ‘practical wisdom’—and </w:t>
      </w:r>
      <w:r w:rsidR="00162393">
        <w:t>stat</w:t>
      </w:r>
      <w:r w:rsidR="00EF0DE7">
        <w:t>es</w:t>
      </w:r>
      <w:r w:rsidR="00162393">
        <w:t xml:space="preserve"> that correct education is vital to achieving eudaimonia.</w:t>
      </w:r>
      <w:r w:rsidR="00162393">
        <w:rPr>
          <w:rStyle w:val="FootnoteReference"/>
        </w:rPr>
        <w:footnoteReference w:id="28"/>
      </w:r>
      <w:r w:rsidR="0040466E">
        <w:t xml:space="preserve"> </w:t>
      </w:r>
    </w:p>
    <w:p w14:paraId="5E955905" w14:textId="22850330" w:rsidR="00162393" w:rsidRDefault="00162393" w:rsidP="00D75DD3"/>
    <w:p w14:paraId="63D81144" w14:textId="64E62074" w:rsidR="00162393" w:rsidRDefault="00162393" w:rsidP="00D75DD3">
      <w:r>
        <w:t xml:space="preserve">For Aristotle, heroism then is likely associated with </w:t>
      </w:r>
      <w:r w:rsidR="0038731C">
        <w:t xml:space="preserve">an excellence of character in terms of confidence, courage, </w:t>
      </w:r>
      <w:r w:rsidR="00307ECE">
        <w:t>valour</w:t>
      </w:r>
      <w:r w:rsidR="0038731C">
        <w:t>, and fearless bravery.</w:t>
      </w:r>
      <w:r w:rsidR="0038731C">
        <w:rPr>
          <w:rStyle w:val="FootnoteReference"/>
        </w:rPr>
        <w:footnoteReference w:id="29"/>
      </w:r>
      <w:r w:rsidR="00B06028">
        <w:t xml:space="preserve"> </w:t>
      </w:r>
      <w:r w:rsidR="00307ECE">
        <w:t>Aristotle’s doctrine of the mean defines virtues like bravery to be a balance between two vices; a lack of bravery is cowardice, and an excess becomes oblivious fearlessness.</w:t>
      </w:r>
      <w:r w:rsidR="00307ECE">
        <w:rPr>
          <w:rStyle w:val="FootnoteReference"/>
        </w:rPr>
        <w:footnoteReference w:id="30"/>
      </w:r>
      <w:r w:rsidR="005F7D4D">
        <w:t xml:space="preserve"> </w:t>
      </w:r>
      <w:r w:rsidR="000C7941">
        <w:t>While Aristotle’s virtue ethics doesn’t specifically state the golden rule concerning the moderation of terms, Aristotle’s texts do essentially describe such a mechanism for determining virtue.</w:t>
      </w:r>
      <w:r w:rsidR="000C7941">
        <w:rPr>
          <w:rStyle w:val="FootnoteReference"/>
        </w:rPr>
        <w:footnoteReference w:id="31"/>
      </w:r>
      <w:r w:rsidR="000C7941">
        <w:t xml:space="preserve"> </w:t>
      </w:r>
      <w:r w:rsidR="005F7D4D">
        <w:t>Mo</w:t>
      </w:r>
      <w:r w:rsidR="006370B1">
        <w:t>ra</w:t>
      </w:r>
      <w:r w:rsidR="005F7D4D">
        <w:t xml:space="preserve">l and virtuous actions are defined as being reason guided, but understanding courage can be difficult, </w:t>
      </w:r>
      <w:r w:rsidR="006370B1">
        <w:t>as</w:t>
      </w:r>
      <w:r w:rsidR="005F7D4D">
        <w:t xml:space="preserve"> Aristotle’s writings on this issue are obscure</w:t>
      </w:r>
      <w:r w:rsidR="006370B1">
        <w:t>,</w:t>
      </w:r>
      <w:r w:rsidR="005F7D4D">
        <w:t xml:space="preserve"> and open to different interpretations.</w:t>
      </w:r>
      <w:r w:rsidR="005F7D4D">
        <w:rPr>
          <w:rStyle w:val="FootnoteReference"/>
        </w:rPr>
        <w:footnoteReference w:id="32"/>
      </w:r>
      <w:r w:rsidR="00F7209C">
        <w:t xml:space="preserve"> Aristotle did however discuss that </w:t>
      </w:r>
      <w:r w:rsidR="000C7941">
        <w:t xml:space="preserve">facing the </w:t>
      </w:r>
      <w:r w:rsidR="00F7209C">
        <w:t>risk of death in battle can be considered the most noble act of cour</w:t>
      </w:r>
      <w:r w:rsidR="000C7941">
        <w:t>age</w:t>
      </w:r>
      <w:r w:rsidR="00F7209C">
        <w:t>.</w:t>
      </w:r>
      <w:r w:rsidR="00F7209C">
        <w:rPr>
          <w:rStyle w:val="FootnoteReference"/>
        </w:rPr>
        <w:footnoteReference w:id="33"/>
      </w:r>
      <w:r w:rsidR="00F7209C">
        <w:t xml:space="preserve"> </w:t>
      </w:r>
      <w:r w:rsidR="000C7941">
        <w:t>Also, w</w:t>
      </w:r>
      <w:r w:rsidR="00F7209C">
        <w:t>e can determine heroic courage</w:t>
      </w:r>
      <w:r w:rsidR="000C7941">
        <w:t>—</w:t>
      </w:r>
      <w:r w:rsidR="00F7209C">
        <w:t>in respect to a king such as Alexander The Great</w:t>
      </w:r>
      <w:r w:rsidR="000C7941">
        <w:t>—</w:t>
      </w:r>
      <w:r w:rsidR="00F7209C">
        <w:t>would be considered to be brave actions</w:t>
      </w:r>
      <w:r w:rsidR="006370B1">
        <w:t>,</w:t>
      </w:r>
      <w:r w:rsidR="00F7209C">
        <w:t xml:space="preserve"> done</w:t>
      </w:r>
      <w:r w:rsidR="000C7941">
        <w:t xml:space="preserve"> because the deed is noble, rather than </w:t>
      </w:r>
      <w:r w:rsidR="006370B1">
        <w:t>an agent simply being</w:t>
      </w:r>
      <w:r w:rsidR="000C7941">
        <w:t xml:space="preserve"> compelled into action.</w:t>
      </w:r>
      <w:r w:rsidR="000C7941">
        <w:rPr>
          <w:rStyle w:val="FootnoteReference"/>
        </w:rPr>
        <w:footnoteReference w:id="34"/>
      </w:r>
      <w:r w:rsidR="000C7941">
        <w:t xml:space="preserve"> It is important to determine whether an agent is acting out of reason to do good, or if a person is compelled by fear, anger, or some other urge to fight, which would not be proper courage.</w:t>
      </w:r>
      <w:r w:rsidR="000C7941">
        <w:rPr>
          <w:rStyle w:val="FootnoteReference"/>
        </w:rPr>
        <w:footnoteReference w:id="35"/>
      </w:r>
    </w:p>
    <w:p w14:paraId="38DA0B58" w14:textId="36E39E6A" w:rsidR="004F2B70" w:rsidRDefault="004F2B70" w:rsidP="00D75DD3"/>
    <w:p w14:paraId="554111C9" w14:textId="7CA895EB" w:rsidR="004F2B70" w:rsidRPr="00B364A1" w:rsidRDefault="004F2B70" w:rsidP="00D75DD3">
      <w:r>
        <w:t xml:space="preserve">Before these ideas of ethics and Aristotle’s philosophy can be applied to the sources, it is first important to address the historiography </w:t>
      </w:r>
      <w:r w:rsidR="006370B1">
        <w:t xml:space="preserve">and reliability </w:t>
      </w:r>
      <w:r>
        <w:t xml:space="preserve">of the </w:t>
      </w:r>
      <w:r>
        <w:lastRenderedPageBreak/>
        <w:t xml:space="preserve">sources used, to assess the key elements to each author’s work and character, and how that will affect their overall telling of </w:t>
      </w:r>
      <w:r w:rsidR="006370B1">
        <w:t>Alexander’s</w:t>
      </w:r>
      <w:r>
        <w:t xml:space="preserve"> narrative. </w:t>
      </w:r>
      <w:r w:rsidR="00B364A1">
        <w:t>Diodorus is writing closest to the time of Alexander, with both Arrian, and Plutarch writing at similar times centuries later.</w:t>
      </w:r>
      <w:r w:rsidR="00B364A1">
        <w:rPr>
          <w:rStyle w:val="FootnoteReference"/>
        </w:rPr>
        <w:footnoteReference w:id="36"/>
      </w:r>
      <w:r w:rsidR="0079737F">
        <w:t xml:space="preserve"> </w:t>
      </w:r>
      <w:r w:rsidR="005D6E8B">
        <w:t>Initially stating and making reference to Alexander being as heroic as any of the ancient heroes, Diodorus</w:t>
      </w:r>
      <w:r w:rsidR="00635E8E">
        <w:t xml:space="preserve"> is known for </w:t>
      </w:r>
      <w:r w:rsidR="006370B1">
        <w:t>merely</w:t>
      </w:r>
      <w:r w:rsidR="00635E8E">
        <w:t xml:space="preserve"> repeating the words of other historians</w:t>
      </w:r>
      <w:r w:rsidR="005D6E8B">
        <w:t>.</w:t>
      </w:r>
      <w:r w:rsidR="005D6E8B">
        <w:rPr>
          <w:rStyle w:val="FootnoteReference"/>
        </w:rPr>
        <w:footnoteReference w:id="37"/>
      </w:r>
      <w:r w:rsidR="005D6E8B">
        <w:t xml:space="preserve"> </w:t>
      </w:r>
      <w:r w:rsidR="00287CEF">
        <w:t xml:space="preserve">Nevertheless, Diodorus seems to have inserted or tweaked certain aspects of his narrative to create moralising passages, therefore </w:t>
      </w:r>
      <w:r w:rsidR="006370B1">
        <w:t xml:space="preserve">potentially </w:t>
      </w:r>
      <w:r w:rsidR="00287CEF">
        <w:t>corrupting the original events.</w:t>
      </w:r>
      <w:r w:rsidR="00287CEF">
        <w:rPr>
          <w:rStyle w:val="FootnoteReference"/>
        </w:rPr>
        <w:footnoteReference w:id="38"/>
      </w:r>
      <w:r w:rsidR="00287CEF">
        <w:t xml:space="preserve"> This causes his reliability to be in serious question, especially when concerning Alexander’s defining actions, where moral teaching opportunities </w:t>
      </w:r>
      <w:r w:rsidR="006370B1">
        <w:t>could, and may have been inserted</w:t>
      </w:r>
      <w:r w:rsidR="00287CEF">
        <w:t xml:space="preserve">, causing a change to the </w:t>
      </w:r>
      <w:r w:rsidR="006370B1">
        <w:t>account</w:t>
      </w:r>
      <w:r w:rsidR="00287CEF">
        <w:t>.</w:t>
      </w:r>
      <w:r w:rsidR="00287CEF">
        <w:rPr>
          <w:rStyle w:val="FootnoteReference"/>
        </w:rPr>
        <w:footnoteReference w:id="39"/>
      </w:r>
      <w:r w:rsidR="00287CEF">
        <w:t xml:space="preserve"> </w:t>
      </w:r>
      <w:r w:rsidR="00F25AE2">
        <w:t>Arrian However, was</w:t>
      </w:r>
      <w:r w:rsidR="00252FFB">
        <w:t xml:space="preserve"> heavily</w:t>
      </w:r>
      <w:r w:rsidR="00F25AE2">
        <w:t xml:space="preserve"> using Ptolemy as a source, who was an eyewitness o</w:t>
      </w:r>
      <w:r w:rsidR="00023B51">
        <w:t>f Alexander’s campaigns, although Ptolemy had a lot of cause to centre his work around hi</w:t>
      </w:r>
      <w:r w:rsidR="006370B1">
        <w:t>s own actions and virtue</w:t>
      </w:r>
      <w:r w:rsidR="00023B51">
        <w:t>, therefore skew</w:t>
      </w:r>
      <w:r w:rsidR="006370B1">
        <w:t>ing</w:t>
      </w:r>
      <w:r w:rsidR="00023B51">
        <w:t xml:space="preserve"> the resulting narrative.</w:t>
      </w:r>
      <w:r w:rsidR="00023B51">
        <w:rPr>
          <w:rStyle w:val="FootnoteReference"/>
        </w:rPr>
        <w:footnoteReference w:id="40"/>
      </w:r>
      <w:r w:rsidR="00023B51">
        <w:t xml:space="preserve"> </w:t>
      </w:r>
      <w:r w:rsidR="0028498B">
        <w:t>Arrian used his work to give a chronology of Alexander’s life, whom Arrian believed was the greatest man to ever live.</w:t>
      </w:r>
      <w:r w:rsidR="0028498B">
        <w:rPr>
          <w:rStyle w:val="FootnoteReference"/>
        </w:rPr>
        <w:footnoteReference w:id="41"/>
      </w:r>
      <w:r w:rsidR="0028498B">
        <w:t xml:space="preserve"> Yet, Arrian also wished to show his darker side, with slipping morals.</w:t>
      </w:r>
      <w:r w:rsidR="0028498B">
        <w:rPr>
          <w:rStyle w:val="FootnoteReference"/>
        </w:rPr>
        <w:footnoteReference w:id="42"/>
      </w:r>
      <w:r w:rsidR="0028498B">
        <w:t xml:space="preserve"> </w:t>
      </w:r>
      <w:r w:rsidR="00023B51">
        <w:t xml:space="preserve">Plutarch </w:t>
      </w:r>
      <w:r w:rsidR="0028498B">
        <w:t xml:space="preserve">also, </w:t>
      </w:r>
      <w:r w:rsidR="00023B51">
        <w:t>is focused on recording insight into his characters, and therefore may lack important details that could be used to determine more precise notions of Alexander’s heroism, but also may focus on such virtues more than a normal historian would, proving useful.</w:t>
      </w:r>
      <w:r w:rsidR="00023B51">
        <w:rPr>
          <w:rStyle w:val="FootnoteReference"/>
        </w:rPr>
        <w:footnoteReference w:id="43"/>
      </w:r>
      <w:r w:rsidR="006759F8">
        <w:t xml:space="preserve"> Although Plutarch used many sources, he omitted several details that did not pertain to Alexander’s virtues and character, and because of this, chose certain sources to be eminent despite their dubious nature, like</w:t>
      </w:r>
      <w:r w:rsidR="00BA23C4">
        <w:t xml:space="preserve"> the</w:t>
      </w:r>
      <w:r w:rsidR="006759F8">
        <w:t xml:space="preserve"> forged letters he believe to be from Alexander himself.</w:t>
      </w:r>
      <w:r w:rsidR="006759F8">
        <w:rPr>
          <w:rStyle w:val="FootnoteReference"/>
        </w:rPr>
        <w:footnoteReference w:id="44"/>
      </w:r>
    </w:p>
    <w:p w14:paraId="0C5B6FBE" w14:textId="78B35A0F" w:rsidR="006759F8" w:rsidRDefault="006759F8" w:rsidP="00CD4C0D"/>
    <w:p w14:paraId="297FEE06" w14:textId="4DB5FBE4" w:rsidR="00CD4C0D" w:rsidRDefault="00E1701D" w:rsidP="00CD4C0D">
      <w:r>
        <w:t>After looking at the ethics and ideas of heroism in ancient philosophy,</w:t>
      </w:r>
      <w:r w:rsidR="00E0365A">
        <w:t xml:space="preserve"> and the </w:t>
      </w:r>
      <w:r w:rsidR="00BA23C4">
        <w:t>reliabilit</w:t>
      </w:r>
      <w:r w:rsidR="00E0365A">
        <w:t>y of the three primary sources,</w:t>
      </w:r>
      <w:r>
        <w:t xml:space="preserve"> this can now be applied to the events of Alexander’s campaigns. </w:t>
      </w:r>
      <w:r w:rsidR="00035A3B">
        <w:t>The Battle of Arbela— which took place at Gaugamela according to Plutarch—was a crushing defeat to Persia in Alexander’s campaigns.</w:t>
      </w:r>
      <w:r w:rsidR="00035A3B">
        <w:rPr>
          <w:rStyle w:val="FootnoteReference"/>
        </w:rPr>
        <w:footnoteReference w:id="45"/>
      </w:r>
      <w:r w:rsidR="00035A3B">
        <w:t xml:space="preserve"> This battle resulted in the routing of the Persian army—that Diodorus claims was 1,000,000 troops strong—and the death of Darius.</w:t>
      </w:r>
      <w:r w:rsidR="009405FA">
        <w:rPr>
          <w:rStyle w:val="FootnoteReference"/>
        </w:rPr>
        <w:footnoteReference w:id="46"/>
      </w:r>
      <w:r w:rsidR="009405FA">
        <w:t xml:space="preserve"> This event therefore is important, as it increased Alexander’s reputation by being so decisive that the Persians </w:t>
      </w:r>
      <w:r w:rsidR="00683819">
        <w:t>he subdued were too afraid to rebel against him.</w:t>
      </w:r>
      <w:r w:rsidR="00683819">
        <w:rPr>
          <w:rStyle w:val="FootnoteReference"/>
        </w:rPr>
        <w:footnoteReference w:id="47"/>
      </w:r>
      <w:r w:rsidR="00683819">
        <w:t xml:space="preserve"> Therefore, this is a good event to look at to investigate Alexander’s heroism.</w:t>
      </w:r>
    </w:p>
    <w:p w14:paraId="1D2544BE" w14:textId="3C5C58DB" w:rsidR="00035A3B" w:rsidRDefault="00035A3B" w:rsidP="00CD4C0D"/>
    <w:p w14:paraId="3DC9A8F1" w14:textId="1C6F415D" w:rsidR="00683819" w:rsidRDefault="00683819" w:rsidP="00CD4C0D">
      <w:r>
        <w:t>Arrian’s account finds Alexander facing 1,000,000 infantry, with thousands of cavalry and support,</w:t>
      </w:r>
      <w:r w:rsidR="003C2388">
        <w:t xml:space="preserve"> on </w:t>
      </w:r>
      <w:r w:rsidR="00FC23F3">
        <w:t xml:space="preserve">a </w:t>
      </w:r>
      <w:r w:rsidR="003C2388">
        <w:t>terrain that Darius had prepared for his army</w:t>
      </w:r>
      <w:r>
        <w:t>.</w:t>
      </w:r>
      <w:r>
        <w:rPr>
          <w:rStyle w:val="FootnoteReference"/>
        </w:rPr>
        <w:footnoteReference w:id="48"/>
      </w:r>
      <w:r w:rsidR="003C2388">
        <w:t xml:space="preserve"> </w:t>
      </w:r>
      <w:r w:rsidR="00FC23F3">
        <w:lastRenderedPageBreak/>
        <w:t xml:space="preserve">Alexander, </w:t>
      </w:r>
      <w:r w:rsidR="003C2388">
        <w:t xml:space="preserve">Being heavily outnumbered, </w:t>
      </w:r>
      <w:r w:rsidR="00FC23F3">
        <w:t xml:space="preserve">led </w:t>
      </w:r>
      <w:r w:rsidR="00EA55DB">
        <w:t xml:space="preserve">his infantry and </w:t>
      </w:r>
      <w:r w:rsidR="003C2388">
        <w:t>cavalry</w:t>
      </w:r>
      <w:r w:rsidR="00EA55DB">
        <w:t xml:space="preserve"> in a devastating but cunning charge into a weak spot of the enemy line, terrifying and routing them.</w:t>
      </w:r>
      <w:r w:rsidR="00EA55DB">
        <w:rPr>
          <w:rStyle w:val="FootnoteReference"/>
        </w:rPr>
        <w:footnoteReference w:id="49"/>
      </w:r>
      <w:r w:rsidR="00EA55DB">
        <w:t xml:space="preserve"> Arrian tells us Alexander personally fought in this conflict, leading his men.</w:t>
      </w:r>
      <w:r w:rsidR="00EA55DB">
        <w:rPr>
          <w:rStyle w:val="FootnoteReference"/>
        </w:rPr>
        <w:footnoteReference w:id="50"/>
      </w:r>
      <w:r w:rsidR="00EA55DB">
        <w:t xml:space="preserve"> </w:t>
      </w:r>
      <w:r w:rsidR="00FC23F3">
        <w:t>The Macedonian king</w:t>
      </w:r>
      <w:r w:rsidR="00EA55DB">
        <w:t xml:space="preserve"> then gave up his own personal desires to capture Darius to save his other troops who were still fighting.</w:t>
      </w:r>
      <w:r w:rsidR="00EA55DB">
        <w:rPr>
          <w:rStyle w:val="FootnoteReference"/>
        </w:rPr>
        <w:footnoteReference w:id="51"/>
      </w:r>
    </w:p>
    <w:p w14:paraId="0B4925F7" w14:textId="61D01279" w:rsidR="00EA55DB" w:rsidRDefault="00EA55DB" w:rsidP="00CD4C0D"/>
    <w:p w14:paraId="6847FE68" w14:textId="1AED4093" w:rsidR="002F3AA4" w:rsidRDefault="0056169F" w:rsidP="002F3AA4">
      <w:r>
        <w:t>Arrian’s account displays multiple acts by Alexander that could be considered courageous.</w:t>
      </w:r>
      <w:r>
        <w:rPr>
          <w:rStyle w:val="FootnoteReference"/>
        </w:rPr>
        <w:footnoteReference w:id="52"/>
      </w:r>
      <w:r>
        <w:t xml:space="preserve"> </w:t>
      </w:r>
      <w:r w:rsidR="002F3AA4">
        <w:t>In the Iliad, Heroes display confidence in their own prowess, which we can see Alexander mirroring by leading the overwhelming charge into the Persians.</w:t>
      </w:r>
      <w:r w:rsidR="002F3AA4">
        <w:rPr>
          <w:rStyle w:val="FootnoteReference"/>
        </w:rPr>
        <w:footnoteReference w:id="53"/>
      </w:r>
      <w:r w:rsidR="00FE5146">
        <w:t xml:space="preserve"> This </w:t>
      </w:r>
      <w:r>
        <w:t>positively</w:t>
      </w:r>
      <w:r w:rsidR="00FE5146">
        <w:t xml:space="preserve"> fits into Aristotle’s ideas of heroism, being </w:t>
      </w:r>
      <w:r>
        <w:t>courageous, rather than cowardly.</w:t>
      </w:r>
      <w:r>
        <w:rPr>
          <w:rStyle w:val="FootnoteReference"/>
        </w:rPr>
        <w:footnoteReference w:id="54"/>
      </w:r>
      <w:r>
        <w:t xml:space="preserve"> This act is also clearly not depicted by Arrian as rash, as Alexander’s charge is formed and calculated, as he takes time to charge and strike at a vulnerable part of the Persian line.</w:t>
      </w:r>
      <w:r>
        <w:rPr>
          <w:rStyle w:val="FootnoteReference"/>
        </w:rPr>
        <w:footnoteReference w:id="55"/>
      </w:r>
      <w:r>
        <w:t xml:space="preserve"> Alexander also held a sense of fairness and honour, refusing to attack the Persian camp at night, like Parmenio had advised.</w:t>
      </w:r>
      <w:r>
        <w:rPr>
          <w:rStyle w:val="FootnoteReference"/>
        </w:rPr>
        <w:footnoteReference w:id="56"/>
      </w:r>
      <w:r w:rsidR="00E1701D">
        <w:t xml:space="preserve"> What’s more, when Parmenio requests help from Alexander, Alexander willingly gives up his pursuit that would earn him</w:t>
      </w:r>
      <w:r w:rsidR="00FC23F3">
        <w:t xml:space="preserve"> personal</w:t>
      </w:r>
      <w:r w:rsidR="00E1701D">
        <w:t xml:space="preserve"> glory, and</w:t>
      </w:r>
      <w:r w:rsidR="00FC23F3">
        <w:t xml:space="preserve"> instead</w:t>
      </w:r>
      <w:r w:rsidR="00E1701D">
        <w:t xml:space="preserve"> saves his soldiers, echoing the words of Atreus in the Iliad, and in accordance with Aristotle’s idea of a virtuous character.</w:t>
      </w:r>
      <w:r w:rsidR="00E1701D">
        <w:rPr>
          <w:rStyle w:val="FootnoteReference"/>
        </w:rPr>
        <w:footnoteReference w:id="57"/>
      </w:r>
      <w:r w:rsidR="004E4EA2">
        <w:t xml:space="preserve"> Aristotle</w:t>
      </w:r>
      <w:r w:rsidR="00FC23F3">
        <w:t>’s notion of the height of courage,</w:t>
      </w:r>
      <w:r w:rsidR="004E4EA2">
        <w:t xml:space="preserve"> risk</w:t>
      </w:r>
      <w:r w:rsidR="00FC23F3">
        <w:t xml:space="preserve">ing </w:t>
      </w:r>
      <w:r w:rsidR="004E4EA2">
        <w:t>death in battle</w:t>
      </w:r>
      <w:r w:rsidR="00FC23F3">
        <w:t xml:space="preserve">, is shown by </w:t>
      </w:r>
      <w:r w:rsidR="004E4EA2">
        <w:t>Alexander</w:t>
      </w:r>
      <w:r w:rsidR="00FC23F3">
        <w:t>, who is recorded as</w:t>
      </w:r>
      <w:r w:rsidR="004E4EA2">
        <w:t xml:space="preserve"> fighting in the front line.</w:t>
      </w:r>
      <w:r w:rsidR="004E4EA2">
        <w:rPr>
          <w:rStyle w:val="FootnoteReference"/>
        </w:rPr>
        <w:footnoteReference w:id="58"/>
      </w:r>
    </w:p>
    <w:p w14:paraId="20B33A7F" w14:textId="77777777" w:rsidR="006701B6" w:rsidRDefault="006701B6" w:rsidP="002F3AA4"/>
    <w:p w14:paraId="59997096" w14:textId="4A4B52F6" w:rsidR="00EA55DB" w:rsidRPr="00A2163E" w:rsidRDefault="00EA55DB" w:rsidP="00CD4C0D">
      <w:r>
        <w:t xml:space="preserve">Plutarch’s </w:t>
      </w:r>
      <w:r w:rsidR="002F3AA4">
        <w:t>account</w:t>
      </w:r>
      <w:r w:rsidR="006701B6">
        <w:t xml:space="preserve"> </w:t>
      </w:r>
      <w:r w:rsidR="004E44DE">
        <w:t xml:space="preserve">of Gaugamela has some interesting details. On the morning of the battle, Plutarch </w:t>
      </w:r>
      <w:r w:rsidR="0077260D">
        <w:t>states</w:t>
      </w:r>
      <w:r w:rsidR="004E44DE">
        <w:t xml:space="preserve"> that Alexander slept in</w:t>
      </w:r>
      <w:r w:rsidR="0077260D">
        <w:t xml:space="preserve"> with confidence</w:t>
      </w:r>
      <w:r w:rsidR="004E44DE">
        <w:t>, and had to be roused by Parmenio.</w:t>
      </w:r>
      <w:r w:rsidR="004E44DE">
        <w:rPr>
          <w:rStyle w:val="FootnoteReference"/>
        </w:rPr>
        <w:footnoteReference w:id="59"/>
      </w:r>
      <w:r w:rsidR="00375FD9">
        <w:t xml:space="preserve"> In less detail the battle is described, stating that some of the Persians fled from the charge</w:t>
      </w:r>
      <w:r w:rsidR="00A2163E">
        <w:t>—even some of Darius’ bodyguard—at the sight of Alexander.</w:t>
      </w:r>
      <w:r w:rsidR="00A2163E">
        <w:rPr>
          <w:rStyle w:val="FootnoteReference"/>
        </w:rPr>
        <w:footnoteReference w:id="60"/>
      </w:r>
      <w:r w:rsidR="00A2163E">
        <w:t xml:space="preserve"> Plutarch then criticises Parmenio for asking Alexander for help when fighting the non-routed Persians.</w:t>
      </w:r>
      <w:r w:rsidR="00A2163E">
        <w:rPr>
          <w:rStyle w:val="FootnoteReference"/>
        </w:rPr>
        <w:footnoteReference w:id="61"/>
      </w:r>
    </w:p>
    <w:p w14:paraId="4CF1E039" w14:textId="7633C358" w:rsidR="00683819" w:rsidRDefault="00683819" w:rsidP="00CD4C0D"/>
    <w:p w14:paraId="3ADA029A" w14:textId="1177BA79" w:rsidR="00683819" w:rsidRDefault="0036150D" w:rsidP="00CD4C0D">
      <w:r>
        <w:t>Like Arrian’s account, Plutarch’s Alexander is shown as heroic in rejecting a night attack.</w:t>
      </w:r>
      <w:r>
        <w:rPr>
          <w:rStyle w:val="FootnoteReference"/>
        </w:rPr>
        <w:footnoteReference w:id="62"/>
      </w:r>
      <w:r>
        <w:t xml:space="preserve"> However, Plutarch’s account emphasises Alexander’s sense of honour and fairness to a great</w:t>
      </w:r>
      <w:r w:rsidR="00821746">
        <w:t>er</w:t>
      </w:r>
      <w:r>
        <w:t xml:space="preserve"> extent, </w:t>
      </w:r>
      <w:r w:rsidR="00821746">
        <w:t>and</w:t>
      </w:r>
      <w:r>
        <w:t xml:space="preserve"> it also highlights Alexander’s motives for </w:t>
      </w:r>
      <w:r w:rsidR="00821746">
        <w:t xml:space="preserve">a </w:t>
      </w:r>
      <w:r>
        <w:t xml:space="preserve">greater glory from a greater victory, which is </w:t>
      </w:r>
      <w:r w:rsidR="007535E5">
        <w:t>perhaps more</w:t>
      </w:r>
      <w:r>
        <w:t xml:space="preserve"> virtuous to Aristotle.</w:t>
      </w:r>
      <w:r>
        <w:rPr>
          <w:rStyle w:val="FootnoteReference"/>
        </w:rPr>
        <w:footnoteReference w:id="63"/>
      </w:r>
      <w:r>
        <w:t xml:space="preserve"> </w:t>
      </w:r>
      <w:r w:rsidR="00A2163E">
        <w:t>Plutarch’s account again shows Alexander having</w:t>
      </w:r>
      <w:r>
        <w:t xml:space="preserve"> the</w:t>
      </w:r>
      <w:r w:rsidR="00A2163E">
        <w:t xml:space="preserve"> confidence that Aristotle described as virtuous</w:t>
      </w:r>
      <w:r>
        <w:t xml:space="preserve"> </w:t>
      </w:r>
      <w:r w:rsidR="00A2163E">
        <w:t xml:space="preserve">when Alexander sleeps </w:t>
      </w:r>
      <w:r>
        <w:t>through</w:t>
      </w:r>
      <w:r w:rsidR="00A2163E">
        <w:t xml:space="preserve"> the</w:t>
      </w:r>
      <w:r>
        <w:t xml:space="preserve"> early</w:t>
      </w:r>
      <w:r w:rsidR="00A2163E">
        <w:t xml:space="preserve"> morning.</w:t>
      </w:r>
      <w:r w:rsidR="00A2163E">
        <w:rPr>
          <w:rStyle w:val="FootnoteReference"/>
        </w:rPr>
        <w:footnoteReference w:id="64"/>
      </w:r>
      <w:r w:rsidR="00F64889">
        <w:t xml:space="preserve"> The entire description of the battle seems to make Alexander seem </w:t>
      </w:r>
      <w:r w:rsidR="00F64889">
        <w:lastRenderedPageBreak/>
        <w:t xml:space="preserve">like a courageous and heroic leader, held back only by the </w:t>
      </w:r>
      <w:r w:rsidR="00216130">
        <w:t>failings</w:t>
      </w:r>
      <w:r w:rsidR="00F64889">
        <w:t xml:space="preserve"> of Parmenio.</w:t>
      </w:r>
      <w:r w:rsidR="00F64889">
        <w:rPr>
          <w:rStyle w:val="FootnoteReference"/>
        </w:rPr>
        <w:footnoteReference w:id="65"/>
      </w:r>
      <w:r w:rsidR="00216130">
        <w:t xml:space="preserve"> Plutarch also uses an assertion that Alexander acted as though he was ‘Really sprung from Zeus’, like the famous Heracles, </w:t>
      </w:r>
      <w:r w:rsidR="0016471E">
        <w:t>who was</w:t>
      </w:r>
      <w:r w:rsidR="00216130">
        <w:t xml:space="preserve"> believed </w:t>
      </w:r>
      <w:r w:rsidR="0016471E">
        <w:t xml:space="preserve">to be an ancestor </w:t>
      </w:r>
      <w:r w:rsidR="00216130">
        <w:t>of Alexander’s dynasty, the Argeads.</w:t>
      </w:r>
      <w:r w:rsidR="00216130">
        <w:rPr>
          <w:rStyle w:val="FootnoteReference"/>
        </w:rPr>
        <w:footnoteReference w:id="66"/>
      </w:r>
      <w:r w:rsidR="00776932">
        <w:t xml:space="preserve"> This tie to Heracles, and his displays of symbolism undoubtedly would have made his image to his men more heroic, which </w:t>
      </w:r>
      <w:r w:rsidR="0077260D">
        <w:t>could have been used</w:t>
      </w:r>
      <w:r w:rsidR="00776932">
        <w:t xml:space="preserve"> to improve their morale.</w:t>
      </w:r>
      <w:r w:rsidR="00776932">
        <w:rPr>
          <w:rStyle w:val="FootnoteReference"/>
        </w:rPr>
        <w:footnoteReference w:id="67"/>
      </w:r>
      <w:r w:rsidR="00776932">
        <w:t xml:space="preserve"> </w:t>
      </w:r>
    </w:p>
    <w:p w14:paraId="757DD4B1" w14:textId="77557884" w:rsidR="00776932" w:rsidRDefault="00776932" w:rsidP="00CD4C0D"/>
    <w:p w14:paraId="24FD67A6" w14:textId="3490522D" w:rsidR="00776932" w:rsidRDefault="00637345" w:rsidP="00CD4C0D">
      <w:r>
        <w:t>Diodorus’ account differs significantly from Plutarch’s, as it remarks that Alexander was awake throughout the night with apprehension, and was potentially only so soundly asleep in the morning due to this lack of rest.</w:t>
      </w:r>
      <w:r>
        <w:rPr>
          <w:rStyle w:val="FootnoteReference"/>
        </w:rPr>
        <w:footnoteReference w:id="68"/>
      </w:r>
      <w:r>
        <w:t xml:space="preserve"> Alexander </w:t>
      </w:r>
      <w:r w:rsidR="00B661EE">
        <w:t>is described as giving very intricate instructions and tactics to his troops, and took affirmative action to decide the battle.</w:t>
      </w:r>
      <w:r w:rsidR="00B661EE">
        <w:rPr>
          <w:rStyle w:val="FootnoteReference"/>
        </w:rPr>
        <w:footnoteReference w:id="69"/>
      </w:r>
      <w:r w:rsidR="00B661EE">
        <w:t xml:space="preserve"> Diodorus describes that the Persians had many initial successes and the Macedonians struggled to beat them.</w:t>
      </w:r>
      <w:r w:rsidR="00B661EE">
        <w:rPr>
          <w:rStyle w:val="FootnoteReference"/>
        </w:rPr>
        <w:footnoteReference w:id="70"/>
      </w:r>
      <w:r w:rsidR="00B661EE">
        <w:t xml:space="preserve"> As Alexander charged him, a misunderstanding amongst the Persians caused many of them to retreat, causing a chain rout and eventually causing Darius himself to flee.</w:t>
      </w:r>
      <w:r w:rsidR="00B661EE">
        <w:rPr>
          <w:rStyle w:val="FootnoteReference"/>
        </w:rPr>
        <w:footnoteReference w:id="71"/>
      </w:r>
      <w:r w:rsidR="00B661EE">
        <w:t xml:space="preserve"> Unlike the accounts of Arrian and Plutarch, Diodorus attests that although Parmenio called for help, Alexander was too far away, and Parmenio valiantly saved his forces without assistance.</w:t>
      </w:r>
      <w:r w:rsidR="00B661EE">
        <w:rPr>
          <w:rStyle w:val="FootnoteReference"/>
        </w:rPr>
        <w:footnoteReference w:id="72"/>
      </w:r>
    </w:p>
    <w:p w14:paraId="1FAD5FCB" w14:textId="5940A13F" w:rsidR="009A7FBC" w:rsidRDefault="009A7FBC" w:rsidP="00CD4C0D"/>
    <w:p w14:paraId="1F76D810" w14:textId="4FEE0CC3" w:rsidR="009A7FBC" w:rsidRDefault="009A7FBC" w:rsidP="00CD4C0D">
      <w:r>
        <w:t>Diodorus’ version of events portrays Alexander as worried, confident, capable but also overextending.</w:t>
      </w:r>
      <w:r>
        <w:rPr>
          <w:rStyle w:val="FootnoteReference"/>
        </w:rPr>
        <w:footnoteReference w:id="73"/>
      </w:r>
      <w:r>
        <w:t xml:space="preserve"> Alexander here is seen to be calculating before the battle, anticipating the Persian cavalry problems and considering </w:t>
      </w:r>
      <w:r w:rsidR="00646014">
        <w:t>not</w:t>
      </w:r>
      <w:r>
        <w:t xml:space="preserve"> just the battle at hand</w:t>
      </w:r>
      <w:r w:rsidR="00646014">
        <w:t>, but the campaign as a whole, which shows a character possessing prudence and deliberative excellence, as Aristotle describes it</w:t>
      </w:r>
      <w:r>
        <w:t>.</w:t>
      </w:r>
      <w:r>
        <w:rPr>
          <w:rStyle w:val="FootnoteReference"/>
        </w:rPr>
        <w:footnoteReference w:id="74"/>
      </w:r>
      <w:r>
        <w:t xml:space="preserve"> However</w:t>
      </w:r>
      <w:r w:rsidR="00646014">
        <w:t>,</w:t>
      </w:r>
      <w:r>
        <w:t xml:space="preserve"> Alexander’s tactical and leadership capabilities are shown as somewhat flawed when the Persian cavalry loots his camp, and when he </w:t>
      </w:r>
      <w:r w:rsidR="0077260D">
        <w:t>travels</w:t>
      </w:r>
      <w:r>
        <w:t xml:space="preserve"> too far from the </w:t>
      </w:r>
      <w:r w:rsidR="0077260D">
        <w:t xml:space="preserve">main </w:t>
      </w:r>
      <w:r>
        <w:t>battle to aid his other flank.</w:t>
      </w:r>
      <w:r>
        <w:rPr>
          <w:rStyle w:val="FootnoteReference"/>
        </w:rPr>
        <w:footnoteReference w:id="75"/>
      </w:r>
      <w:r w:rsidR="00E74AB2">
        <w:t xml:space="preserve"> It is however difficult when in such a large battle to anticipate and prevent all problems that may occur, so perhaps these failings would not be too harshly frowned upon in Aristotle’s ethics.</w:t>
      </w:r>
      <w:r w:rsidR="00E74AB2">
        <w:rPr>
          <w:rStyle w:val="FootnoteReference"/>
        </w:rPr>
        <w:footnoteReference w:id="76"/>
      </w:r>
    </w:p>
    <w:p w14:paraId="0C1E1DB3" w14:textId="77777777" w:rsidR="00035A3B" w:rsidRDefault="00035A3B" w:rsidP="00D75DD3"/>
    <w:p w14:paraId="51B37555" w14:textId="06DCA509" w:rsidR="001E58D4" w:rsidRDefault="00E74AB2" w:rsidP="00E3669B">
      <w:r>
        <w:t>Comparing these three very different accounts shows that they both vary in length, and in detail, some favouring certain aspects to others.</w:t>
      </w:r>
      <w:r>
        <w:rPr>
          <w:rStyle w:val="FootnoteReference"/>
        </w:rPr>
        <w:footnoteReference w:id="77"/>
      </w:r>
      <w:r>
        <w:t xml:space="preserve"> </w:t>
      </w:r>
      <w:r w:rsidR="00035A3B">
        <w:t>Arrian’s account of the layout of the battle is regarded by Stein as the most reliable, which is supported by Arrian’s more detailed account than Plutarch’s.</w:t>
      </w:r>
      <w:r w:rsidR="00035A3B">
        <w:rPr>
          <w:rStyle w:val="FootnoteReference"/>
        </w:rPr>
        <w:footnoteReference w:id="78"/>
      </w:r>
      <w:r>
        <w:t xml:space="preserve"> Diodorus’ version of the battle, g</w:t>
      </w:r>
      <w:r w:rsidR="00DA7250">
        <w:t>ives</w:t>
      </w:r>
      <w:r>
        <w:t xml:space="preserve"> detailed accounts of the different clashes between the opposing sides </w:t>
      </w:r>
      <w:r w:rsidR="00DA7250">
        <w:t xml:space="preserve">and </w:t>
      </w:r>
      <w:r>
        <w:t xml:space="preserve">seems to be the most plausible, as it </w:t>
      </w:r>
      <w:r w:rsidR="00907BBD">
        <w:t xml:space="preserve">tells more of the Persian </w:t>
      </w:r>
      <w:r w:rsidR="00907BBD">
        <w:lastRenderedPageBreak/>
        <w:t>successes—which would make the most sense considering their numbers—and does not simply credit an entire battle’s success to a single character.</w:t>
      </w:r>
      <w:r w:rsidR="00907BBD">
        <w:rPr>
          <w:rStyle w:val="FootnoteReference"/>
        </w:rPr>
        <w:footnoteReference w:id="79"/>
      </w:r>
      <w:r w:rsidR="00E3669B">
        <w:t xml:space="preserve"> On the theme of heroism, we can see that all three accounts state that Alexander took a decisive charge towards Darius, which shows courage, leadership, and bravery on the Macedonian kings part, however Plutarch’s version sets Alexander’s charge in a more heroic, almost divine light.</w:t>
      </w:r>
      <w:r w:rsidR="00E3669B">
        <w:rPr>
          <w:rStyle w:val="FootnoteReference"/>
        </w:rPr>
        <w:footnoteReference w:id="80"/>
      </w:r>
      <w:r w:rsidR="00E3669B">
        <w:t xml:space="preserve"> </w:t>
      </w:r>
    </w:p>
    <w:p w14:paraId="2D8CC4B1" w14:textId="77777777" w:rsidR="001E58D4" w:rsidRDefault="001E58D4" w:rsidP="00E3669B"/>
    <w:p w14:paraId="3C852843" w14:textId="6E53EC1E" w:rsidR="00E3669B" w:rsidRDefault="00E3669B" w:rsidP="00E3669B">
      <w:r w:rsidRPr="00D75DD3">
        <w:t>Of course, the implication of heroism and divinity is inevitable, having conquered so much, deification is hard to avoid.</w:t>
      </w:r>
      <w:r w:rsidRPr="00D75DD3">
        <w:rPr>
          <w:rStyle w:val="FootnoteReference"/>
        </w:rPr>
        <w:footnoteReference w:id="81"/>
      </w:r>
      <w:r>
        <w:t xml:space="preserve"> </w:t>
      </w:r>
      <w:r w:rsidR="005D428D">
        <w:t>Plutarch, in some cases of his work on Alexander, weaved in Homeric similarities to make Alexander seem heroic in some of his deeds, such as Gaugamela where Plutarch describes the arming of Alexander in similar ways that Homer did with heroes in the Iliad.</w:t>
      </w:r>
      <w:r w:rsidR="005D428D">
        <w:rPr>
          <w:rStyle w:val="FootnoteReference"/>
        </w:rPr>
        <w:footnoteReference w:id="82"/>
      </w:r>
      <w:r w:rsidR="005D428D">
        <w:t xml:space="preserve"> This explains Plutarch’s epic and glorious description of Alexander’s charge, which may mean that this charge was less heroic than he describes it, </w:t>
      </w:r>
      <w:r w:rsidR="0077260D">
        <w:t xml:space="preserve">as </w:t>
      </w:r>
      <w:r w:rsidR="005D428D">
        <w:t>if indeed Plutarch was trying to make Alexander seem more heroic than he was</w:t>
      </w:r>
      <w:r w:rsidR="0077260D">
        <w:t xml:space="preserve"> then his account should be taken with scepticism</w:t>
      </w:r>
      <w:r w:rsidR="005D428D">
        <w:t>.</w:t>
      </w:r>
      <w:r w:rsidR="005D428D">
        <w:rPr>
          <w:rStyle w:val="FootnoteReference"/>
        </w:rPr>
        <w:footnoteReference w:id="83"/>
      </w:r>
    </w:p>
    <w:p w14:paraId="277C8C0C" w14:textId="70157263" w:rsidR="00A64054" w:rsidRDefault="00A64054" w:rsidP="00E3669B"/>
    <w:p w14:paraId="01D22B7E" w14:textId="5E963930" w:rsidR="00A64054" w:rsidRDefault="00A64054" w:rsidP="00E3669B">
      <w:r>
        <w:t xml:space="preserve">A very different event, the </w:t>
      </w:r>
      <w:r w:rsidR="00100872">
        <w:t>S</w:t>
      </w:r>
      <w:r>
        <w:t>ack of Persepolis</w:t>
      </w:r>
      <w:r w:rsidR="00D0255B">
        <w:t>—A great city in Persis—p</w:t>
      </w:r>
      <w:r>
        <w:t>uts Alexander in a very different situation.</w:t>
      </w:r>
      <w:r>
        <w:rPr>
          <w:rStyle w:val="FootnoteReference"/>
        </w:rPr>
        <w:footnoteReference w:id="84"/>
      </w:r>
      <w:r w:rsidR="007006B7">
        <w:t xml:space="preserve"> At Persepolis, the Macedonian forces, under the control of Alexander, </w:t>
      </w:r>
      <w:bookmarkStart w:id="0" w:name="_GoBack"/>
      <w:r w:rsidR="007006B7">
        <w:t>sack</w:t>
      </w:r>
      <w:bookmarkEnd w:id="0"/>
      <w:r w:rsidR="007006B7">
        <w:t>ed and burned the city of Persepolis, a city famous for its riches and treasure.</w:t>
      </w:r>
      <w:r w:rsidR="007006B7">
        <w:rPr>
          <w:rStyle w:val="FootnoteReference"/>
        </w:rPr>
        <w:footnoteReference w:id="85"/>
      </w:r>
      <w:r w:rsidR="000157D4">
        <w:t xml:space="preserve"> This is an important event, as Alexander is often considered as generous to others, including his enemies, and therefore the destruction of Persepolis is an unusual act in his narratives.</w:t>
      </w:r>
      <w:r w:rsidR="000157D4">
        <w:rPr>
          <w:rStyle w:val="FootnoteReference"/>
        </w:rPr>
        <w:footnoteReference w:id="86"/>
      </w:r>
    </w:p>
    <w:p w14:paraId="35BC2BAB" w14:textId="21AB187D" w:rsidR="004D2250" w:rsidRDefault="004D2250" w:rsidP="00E3669B"/>
    <w:p w14:paraId="3BD7374C" w14:textId="38ED264D" w:rsidR="004D2250" w:rsidRDefault="004D2250" w:rsidP="00E3669B">
      <w:r>
        <w:t>Arrian’s version of the destruction of Persepolis</w:t>
      </w:r>
      <w:r w:rsidR="00D0255B">
        <w:t>, details how Alexander rushed to capture the treasury of the Persians, and then ‘burnt down the Persian palace’, even with disapproval from Parmenio, arguing to Alexander that this was his own property.</w:t>
      </w:r>
      <w:r w:rsidR="00D0255B">
        <w:rPr>
          <w:rStyle w:val="FootnoteReference"/>
        </w:rPr>
        <w:footnoteReference w:id="87"/>
      </w:r>
      <w:r w:rsidR="00D0255B">
        <w:t xml:space="preserve"> Arrian imparts his own views of disapproval, citing Alexander’s reasoning of vengeance for the Greeks as pointless because of how long ago it was.</w:t>
      </w:r>
      <w:r w:rsidR="00D0255B">
        <w:rPr>
          <w:rStyle w:val="FootnoteReference"/>
        </w:rPr>
        <w:footnoteReference w:id="88"/>
      </w:r>
    </w:p>
    <w:p w14:paraId="35DCD3A1" w14:textId="1957DDA7" w:rsidR="00D0255B" w:rsidRDefault="00D0255B" w:rsidP="00E3669B"/>
    <w:p w14:paraId="5ADF2143" w14:textId="6F5BD293" w:rsidR="00D0255B" w:rsidRDefault="00D0255B" w:rsidP="00E3669B">
      <w:r>
        <w:t>In this chapter, Arrian is highly critical of Alexander, directly stating he acted without ‘prudence’.</w:t>
      </w:r>
      <w:r>
        <w:rPr>
          <w:rStyle w:val="FootnoteReference"/>
        </w:rPr>
        <w:footnoteReference w:id="89"/>
      </w:r>
      <w:r>
        <w:t xml:space="preserve"> This disapproval of his perception of the event may have caused Arrian to emphasise his displeasure and reflect a more negative version of events into his narrative, making this passage more unreliable.</w:t>
      </w:r>
      <w:r>
        <w:rPr>
          <w:rStyle w:val="FootnoteReference"/>
        </w:rPr>
        <w:footnoteReference w:id="90"/>
      </w:r>
      <w:r>
        <w:t xml:space="preserve"> Arrian does state that Alexander gave his motives, and </w:t>
      </w:r>
      <w:r w:rsidR="00614068">
        <w:t>he</w:t>
      </w:r>
      <w:r>
        <w:t xml:space="preserve"> is portrayed to have made a </w:t>
      </w:r>
      <w:r>
        <w:lastRenderedPageBreak/>
        <w:t xml:space="preserve">deliberate and reasoned decision, </w:t>
      </w:r>
      <w:r w:rsidR="00614068">
        <w:t xml:space="preserve">but </w:t>
      </w:r>
      <w:r>
        <w:t>for Aristotle is</w:t>
      </w:r>
      <w:r w:rsidR="00614068">
        <w:t xml:space="preserve"> still</w:t>
      </w:r>
      <w:r>
        <w:t xml:space="preserve"> not real courage, as revenge is derived from emotions, and not from reasoning.</w:t>
      </w:r>
      <w:r>
        <w:rPr>
          <w:rStyle w:val="FootnoteReference"/>
        </w:rPr>
        <w:footnoteReference w:id="91"/>
      </w:r>
    </w:p>
    <w:p w14:paraId="5CC3A9ED" w14:textId="595AC389" w:rsidR="00D0255B" w:rsidRDefault="00D0255B" w:rsidP="00E3669B"/>
    <w:p w14:paraId="0A0C41D4" w14:textId="040686FF" w:rsidR="00D0255B" w:rsidRDefault="00D0255B" w:rsidP="00E3669B">
      <w:r>
        <w:t>Plutarch’s recording illustrates that while drunk, a mistress of Ptolemy—who was an Athenian—spoke to Alexander and told him it would be a great act to allow a woman in Alexander’s company to enact ‘a greater punishment in behalf of Hellas’ than the Greeks had ever done.</w:t>
      </w:r>
      <w:r>
        <w:rPr>
          <w:rStyle w:val="FootnoteReference"/>
        </w:rPr>
        <w:footnoteReference w:id="92"/>
      </w:r>
      <w:r>
        <w:t xml:space="preserve"> Encouraged by his companions, Alexander led them to burn the palace.</w:t>
      </w:r>
      <w:r>
        <w:rPr>
          <w:rStyle w:val="FootnoteReference"/>
        </w:rPr>
        <w:footnoteReference w:id="93"/>
      </w:r>
    </w:p>
    <w:p w14:paraId="4E1AE576" w14:textId="78E1AFE3" w:rsidR="00DA7250" w:rsidRDefault="00DA7250" w:rsidP="00E3669B"/>
    <w:p w14:paraId="0525975F" w14:textId="6345E7CB" w:rsidR="00DA7250" w:rsidRDefault="00D0255B" w:rsidP="00E3669B">
      <w:r>
        <w:t xml:space="preserve">In this instance, Plutarch is seen to be evoking his disapproval of Alexander, by making his actions here seem to be that of a drunk, who gave in to the desires of a </w:t>
      </w:r>
      <w:proofErr w:type="spellStart"/>
      <w:r>
        <w:t>hetaira</w:t>
      </w:r>
      <w:proofErr w:type="spellEnd"/>
      <w:r>
        <w:t>.</w:t>
      </w:r>
      <w:r>
        <w:rPr>
          <w:rStyle w:val="FootnoteReference"/>
        </w:rPr>
        <w:footnoteReference w:id="94"/>
      </w:r>
      <w:r>
        <w:t xml:space="preserve"> Mossman describes how Plutarch tried to contrast elements of tragedy in his works, and in </w:t>
      </w:r>
      <w:r w:rsidRPr="00D0255B">
        <w:rPr>
          <w:i/>
        </w:rPr>
        <w:t>Alexander</w:t>
      </w:r>
      <w:r>
        <w:t>, by focusing on both the heroic, and the darker sides to Alexander’s morality.</w:t>
      </w:r>
      <w:r>
        <w:rPr>
          <w:rStyle w:val="FootnoteReference"/>
        </w:rPr>
        <w:footnoteReference w:id="95"/>
      </w:r>
      <w:r>
        <w:t xml:space="preserve"> This implies that perhaps Plutarch would have seen the burning of the palace in Persepolis as a good p</w:t>
      </w:r>
      <w:r w:rsidR="00614068">
        <w:t>la</w:t>
      </w:r>
      <w:r>
        <w:t>ce to impart his own moral narrative into the story of Alexander’s campaigns, and therefore the event’s as told by Plutarch may be overly negative, attempting to frame him as a drunkard.</w:t>
      </w:r>
      <w:r>
        <w:rPr>
          <w:rStyle w:val="FootnoteReference"/>
        </w:rPr>
        <w:footnoteReference w:id="96"/>
      </w:r>
      <w:r>
        <w:t xml:space="preserve"> Aristotle says that any courage that comes from being inebriated is not true courage, and that when the alcohol loses its effect, the agent will run away.</w:t>
      </w:r>
      <w:r>
        <w:rPr>
          <w:rStyle w:val="FootnoteReference"/>
        </w:rPr>
        <w:footnoteReference w:id="97"/>
      </w:r>
      <w:r>
        <w:t xml:space="preserve"> This description is most in accordance with Plutarch’s account, as he records that Alexander quickly repented and tried to put out the fire, just like Aristotle’s drunk who loses their sanguine nature.</w:t>
      </w:r>
      <w:r>
        <w:rPr>
          <w:rStyle w:val="FootnoteReference"/>
        </w:rPr>
        <w:footnoteReference w:id="98"/>
      </w:r>
      <w:r>
        <w:t xml:space="preserve"> Evidently this version casts Alexander in a very negative light, implying he is unrestrain</w:t>
      </w:r>
      <w:r w:rsidR="00B31336">
        <w:t>ed</w:t>
      </w:r>
      <w:r>
        <w:t>, displaying Aristotle’s idea of Akrasia.</w:t>
      </w:r>
      <w:r>
        <w:rPr>
          <w:rStyle w:val="FootnoteReference"/>
        </w:rPr>
        <w:footnoteReference w:id="99"/>
      </w:r>
    </w:p>
    <w:p w14:paraId="5A675BEE" w14:textId="4A3EAAD4" w:rsidR="00D0255B" w:rsidRDefault="00D0255B" w:rsidP="00E3669B"/>
    <w:p w14:paraId="612C5A09" w14:textId="64F44BB7" w:rsidR="00D0255B" w:rsidRDefault="00D0255B" w:rsidP="00E3669B">
      <w:r>
        <w:t xml:space="preserve">Diodorus provides a very contrasting account to Arrian and Plutarch, stating that Alexander gave his soldiers </w:t>
      </w:r>
      <w:r w:rsidR="00614068">
        <w:t xml:space="preserve">prior </w:t>
      </w:r>
      <w:r>
        <w:t>permission to sack and plunder the Persian capital.</w:t>
      </w:r>
      <w:r>
        <w:rPr>
          <w:rStyle w:val="FootnoteReference"/>
        </w:rPr>
        <w:footnoteReference w:id="100"/>
      </w:r>
      <w:r>
        <w:t xml:space="preserve"> Diodorus first remarks that Alexander disliked the city, and the sack of the city was a long, and bountiful plunder featuring the Macedonians as lustful pillagers, killing each other over greater loot.</w:t>
      </w:r>
      <w:r>
        <w:rPr>
          <w:rStyle w:val="FootnoteReference"/>
        </w:rPr>
        <w:footnoteReference w:id="101"/>
      </w:r>
      <w:r>
        <w:t xml:space="preserve">  After the looting, the Athenian woman encourages Alexander to burn the palaces and in drunken revelry, Alexander yields to her desires, very similarly to Plutarch’s version.</w:t>
      </w:r>
      <w:r>
        <w:rPr>
          <w:rStyle w:val="FootnoteReference"/>
        </w:rPr>
        <w:footnoteReference w:id="102"/>
      </w:r>
      <w:r>
        <w:t xml:space="preserve"> Importantly, Diodorus claims this was possibly the richest city in the world at the time, and gives a description of some of the buildings, displaying an element of mourning for this city’s destruction.</w:t>
      </w:r>
      <w:r>
        <w:rPr>
          <w:rStyle w:val="FootnoteReference"/>
        </w:rPr>
        <w:footnoteReference w:id="103"/>
      </w:r>
    </w:p>
    <w:p w14:paraId="3C04FA18" w14:textId="25FB2BC2" w:rsidR="00D0255B" w:rsidRDefault="00D0255B" w:rsidP="00E3669B"/>
    <w:p w14:paraId="2FCA7E6E" w14:textId="0E025CA3" w:rsidR="00D0255B" w:rsidRDefault="00D0255B" w:rsidP="00E3669B">
      <w:r>
        <w:lastRenderedPageBreak/>
        <w:t>The way Diodorus describes the Macedonians as they destroy and loot makes them out to be almost animalistic, fighting each other over prizes.</w:t>
      </w:r>
      <w:r>
        <w:rPr>
          <w:rStyle w:val="FootnoteReference"/>
        </w:rPr>
        <w:footnoteReference w:id="104"/>
      </w:r>
      <w:r>
        <w:t xml:space="preserve"> This harkens a similarity to Aristotle’s teachings on unrestraint and bestiality.</w:t>
      </w:r>
      <w:r>
        <w:rPr>
          <w:rStyle w:val="FootnoteReference"/>
        </w:rPr>
        <w:footnoteReference w:id="105"/>
      </w:r>
      <w:r>
        <w:t xml:space="preserve"> Aristotle would condemn these soldiers as they are clearly unrestrained in their actions.</w:t>
      </w:r>
      <w:r>
        <w:rPr>
          <w:rStyle w:val="FootnoteReference"/>
        </w:rPr>
        <w:footnoteReference w:id="106"/>
      </w:r>
      <w:r>
        <w:t xml:space="preserve"> Applying the blame to Alexander—as he was in command of this army—Aristotle would define him as an unvirtuous commander, who, when given responsibility has not attempted to instil the proper virtues </w:t>
      </w:r>
      <w:r w:rsidR="00614068">
        <w:t>i</w:t>
      </w:r>
      <w:r>
        <w:t>n his soldiers, and does not chastise them for acting so flagrantly unrestrained.</w:t>
      </w:r>
      <w:r>
        <w:rPr>
          <w:rStyle w:val="FootnoteReference"/>
        </w:rPr>
        <w:footnoteReference w:id="107"/>
      </w:r>
      <w:r>
        <w:t xml:space="preserve"> The burning of the palaces, like Plutarch’s account, </w:t>
      </w:r>
      <w:r w:rsidR="00614068">
        <w:t>talks about</w:t>
      </w:r>
      <w:r>
        <w:t xml:space="preserve"> Alexander</w:t>
      </w:r>
      <w:r w:rsidR="00614068">
        <w:t>’s character</w:t>
      </w:r>
      <w:r>
        <w:t xml:space="preserve"> in a </w:t>
      </w:r>
      <w:r w:rsidR="00614068">
        <w:t>highly</w:t>
      </w:r>
      <w:r>
        <w:t xml:space="preserve"> negative </w:t>
      </w:r>
      <w:r w:rsidR="00614068">
        <w:t>way</w:t>
      </w:r>
      <w:r>
        <w:t>,</w:t>
      </w:r>
      <w:r w:rsidR="00614068">
        <w:t xml:space="preserve"> </w:t>
      </w:r>
      <w:r>
        <w:t>show</w:t>
      </w:r>
      <w:r w:rsidR="00614068">
        <w:t>ing</w:t>
      </w:r>
      <w:r>
        <w:t xml:space="preserve"> him </w:t>
      </w:r>
      <w:r w:rsidR="00614068">
        <w:t xml:space="preserve">as </w:t>
      </w:r>
      <w:r>
        <w:t>unrestrained and out of control.</w:t>
      </w:r>
      <w:r>
        <w:rPr>
          <w:rStyle w:val="FootnoteReference"/>
        </w:rPr>
        <w:footnoteReference w:id="108"/>
      </w:r>
    </w:p>
    <w:p w14:paraId="1FDCC0BC" w14:textId="72DAA0F8" w:rsidR="00E87AB3" w:rsidRDefault="00E87AB3" w:rsidP="00E3669B"/>
    <w:p w14:paraId="50C964AE" w14:textId="3635FC5A" w:rsidR="008D0A31" w:rsidRDefault="008D0A31" w:rsidP="00E3669B">
      <w:r>
        <w:t>In this event, all three accounts show Alexander’s darker side, with all three showing distaste for at least some elements of the destruction.</w:t>
      </w:r>
      <w:r>
        <w:rPr>
          <w:rStyle w:val="FootnoteReference"/>
        </w:rPr>
        <w:footnoteReference w:id="109"/>
      </w:r>
      <w:r>
        <w:t xml:space="preserve"> </w:t>
      </w:r>
      <w:r w:rsidR="00E87AB3">
        <w:t>Plutarch stalwartly proclaims praise for Alexander’s virtues, and yet also dictates their downfall towards the end of Alexander’s conquests.</w:t>
      </w:r>
      <w:r w:rsidR="00E87AB3">
        <w:rPr>
          <w:rStyle w:val="FootnoteReference"/>
        </w:rPr>
        <w:footnoteReference w:id="110"/>
      </w:r>
      <w:r w:rsidR="00E87AB3">
        <w:t xml:space="preserve"> </w:t>
      </w:r>
      <w:r w:rsidR="00B31336">
        <w:t xml:space="preserve">In Diodorus’ account, the mutilated Greeks the Macedonians meet before the city of Persepolis may have </w:t>
      </w:r>
      <w:r w:rsidR="00614068">
        <w:t>fuelled</w:t>
      </w:r>
      <w:r w:rsidR="00B31336">
        <w:t xml:space="preserve"> this violent sacking, which may somewhat explain the event, but still shows that emotions were controlling the Macedonian king.</w:t>
      </w:r>
      <w:r w:rsidR="00B31336">
        <w:rPr>
          <w:rStyle w:val="FootnoteReference"/>
        </w:rPr>
        <w:footnoteReference w:id="111"/>
      </w:r>
      <w:r w:rsidR="00B31336">
        <w:t xml:space="preserve"> </w:t>
      </w:r>
      <w:r>
        <w:t>The ancient sources are taking this event as an opportunity to highlight a</w:t>
      </w:r>
      <w:r w:rsidR="00614068">
        <w:t>n</w:t>
      </w:r>
      <w:r>
        <w:t xml:space="preserve"> </w:t>
      </w:r>
      <w:r w:rsidR="00614068">
        <w:t>undesirable</w:t>
      </w:r>
      <w:r>
        <w:t xml:space="preserve"> side to Alexander, symbolising his descent from moral hero, and for Plutarch, emphasising a warning against the heavy consumption of alcohol.</w:t>
      </w:r>
      <w:r>
        <w:rPr>
          <w:rStyle w:val="FootnoteReference"/>
        </w:rPr>
        <w:footnoteReference w:id="112"/>
      </w:r>
      <w:r>
        <w:t xml:space="preserve"> This however means that the authors are allowing their own motives to become involved, which could corrupt factual recording.</w:t>
      </w:r>
    </w:p>
    <w:p w14:paraId="7C0EC1EB" w14:textId="77777777" w:rsidR="008D0A31" w:rsidRDefault="008D0A31" w:rsidP="00E3669B"/>
    <w:p w14:paraId="485E3E88" w14:textId="5C2F4450" w:rsidR="00E87AB3" w:rsidRDefault="00B31336" w:rsidP="00E3669B">
      <w:r>
        <w:t>Ptolemy was one of Arrian’s principle sources, so it is curious that Arrian</w:t>
      </w:r>
      <w:r w:rsidR="00EE6F27">
        <w:t>—unlike Diodorus and Plutarch—</w:t>
      </w:r>
      <w:r>
        <w:t xml:space="preserve">makes no mention of Ptolemy’s mistress having any </w:t>
      </w:r>
      <w:r w:rsidR="00EE6F27">
        <w:t>involvement, which may signify that she was simply a later addition to dramatize the tale.</w:t>
      </w:r>
      <w:r w:rsidR="00EE6F27">
        <w:rPr>
          <w:rStyle w:val="FootnoteReference"/>
        </w:rPr>
        <w:footnoteReference w:id="113"/>
      </w:r>
      <w:r w:rsidR="00EE6F27">
        <w:t xml:space="preserve"> </w:t>
      </w:r>
      <w:r w:rsidR="00614068">
        <w:t>Although</w:t>
      </w:r>
      <w:r w:rsidR="00EE6F27">
        <w:t>, it is likely that in this case Arrian is omitting acts he is uncomfortable with, as O’Brien suggests, which explains and is supported by the overall brief nature of the coverage of Persepolis’ burning, and Arrian’s open criticism of the event.</w:t>
      </w:r>
      <w:r w:rsidR="00EE6F27">
        <w:rPr>
          <w:rStyle w:val="FootnoteReference"/>
        </w:rPr>
        <w:footnoteReference w:id="114"/>
      </w:r>
      <w:r w:rsidR="008D0A31">
        <w:t xml:space="preserve"> </w:t>
      </w:r>
    </w:p>
    <w:p w14:paraId="65F4150A" w14:textId="77777777" w:rsidR="008D0A31" w:rsidRDefault="008D0A31" w:rsidP="00E3669B"/>
    <w:p w14:paraId="6A5FC33E" w14:textId="5F2FF95E" w:rsidR="005C2C0C" w:rsidRDefault="005C2C0C" w:rsidP="00E3669B">
      <w:proofErr w:type="gramStart"/>
      <w:r>
        <w:t>On the subject of the</w:t>
      </w:r>
      <w:proofErr w:type="gramEnd"/>
      <w:r>
        <w:t xml:space="preserve"> burning of the palace, Diodorus and Plutarch both </w:t>
      </w:r>
      <w:r w:rsidR="003320D1">
        <w:t>state</w:t>
      </w:r>
      <w:r>
        <w:t xml:space="preserve"> that this was not pre-meditated.</w:t>
      </w:r>
      <w:r>
        <w:rPr>
          <w:rStyle w:val="FootnoteReference"/>
        </w:rPr>
        <w:footnoteReference w:id="115"/>
      </w:r>
      <w:r>
        <w:t xml:space="preserve"> O’Brien’s reasoning to support this seems deceptive, arguing that the soldiers wouldn’t have initially tried to put out the fire if it was pre-meditated, which is reasonable and would discredit Arrian.</w:t>
      </w:r>
      <w:r>
        <w:rPr>
          <w:rStyle w:val="FootnoteReference"/>
        </w:rPr>
        <w:footnoteReference w:id="116"/>
      </w:r>
      <w:r>
        <w:t xml:space="preserve"> </w:t>
      </w:r>
      <w:r>
        <w:lastRenderedPageBreak/>
        <w:t>Yet, Arrian makes no mention of</w:t>
      </w:r>
      <w:r w:rsidR="003320D1">
        <w:t xml:space="preserve"> the soldiers doing</w:t>
      </w:r>
      <w:r>
        <w:t xml:space="preserve"> this, and therefore</w:t>
      </w:r>
      <w:r w:rsidR="003320D1">
        <w:t xml:space="preserve"> </w:t>
      </w:r>
      <w:r>
        <w:t>Arrian’s account seems no less likely</w:t>
      </w:r>
      <w:r w:rsidR="003320D1">
        <w:t xml:space="preserve"> than the others</w:t>
      </w:r>
      <w:r>
        <w:t>.</w:t>
      </w:r>
      <w:r>
        <w:rPr>
          <w:rStyle w:val="FootnoteReference"/>
        </w:rPr>
        <w:footnoteReference w:id="117"/>
      </w:r>
    </w:p>
    <w:p w14:paraId="1C72914F" w14:textId="723D52AC" w:rsidR="00183CEF" w:rsidRDefault="00183CEF" w:rsidP="00E3669B"/>
    <w:p w14:paraId="35997B8F" w14:textId="78194633" w:rsidR="00183CEF" w:rsidRDefault="00183CEF" w:rsidP="00E3669B">
      <w:r>
        <w:t xml:space="preserve">In conclusion, Alexander the </w:t>
      </w:r>
      <w:r w:rsidR="003320D1">
        <w:t>G</w:t>
      </w:r>
      <w:r>
        <w:t>reat</w:t>
      </w:r>
      <w:r w:rsidR="003320D1">
        <w:t>’</w:t>
      </w:r>
      <w:r>
        <w:t xml:space="preserve">s character at the </w:t>
      </w:r>
      <w:r w:rsidR="003320D1">
        <w:t>B</w:t>
      </w:r>
      <w:r>
        <w:t xml:space="preserve">attle of Gaugamela seems wholly different to his character at Persepolis, and within those two characters, three </w:t>
      </w:r>
      <w:r w:rsidR="003320D1">
        <w:t xml:space="preserve">slightly </w:t>
      </w:r>
      <w:r>
        <w:t>different versions of each are given.</w:t>
      </w:r>
      <w:r>
        <w:rPr>
          <w:rStyle w:val="FootnoteReference"/>
        </w:rPr>
        <w:footnoteReference w:id="118"/>
      </w:r>
      <w:r w:rsidR="00B2205F">
        <w:t xml:space="preserve"> Arrian’s interests in Alexander’s life can be sufficiently assessed by one of the final chapters of his work, where he defines the character of Alexander as ‘very heroic in courage’, explaining his rather detailed account of Gaugamela and short account for Persepolis.</w:t>
      </w:r>
      <w:r w:rsidR="00B2205F">
        <w:rPr>
          <w:rStyle w:val="FootnoteReference"/>
        </w:rPr>
        <w:footnoteReference w:id="119"/>
      </w:r>
      <w:r w:rsidR="004F2B70">
        <w:t xml:space="preserve"> Plutarch is interested in presenting this dichotomy of character that we find in these two events, and therefore his accounts </w:t>
      </w:r>
      <w:r w:rsidR="00B2205F">
        <w:t xml:space="preserve">romantically </w:t>
      </w:r>
      <w:r w:rsidR="004F2B70">
        <w:t>emphasise the good and the bad respectively, making detailed descriptions of both in order to achieve this.</w:t>
      </w:r>
      <w:r w:rsidR="004F2B70">
        <w:rPr>
          <w:rStyle w:val="FootnoteReference"/>
        </w:rPr>
        <w:footnoteReference w:id="120"/>
      </w:r>
      <w:r w:rsidR="00B2205F">
        <w:t xml:space="preserve"> Diodorus’ work makes mention of his belief that Alexander possessed greatness of morals, yet Diodorus does not shy away from discussing the negative aspects of Alexander’s character, though perhaps attempts to justify it with the use of emotive excuses, like that of the mutilated Greeks.</w:t>
      </w:r>
      <w:r w:rsidR="00B2205F">
        <w:rPr>
          <w:rStyle w:val="FootnoteReference"/>
        </w:rPr>
        <w:footnoteReference w:id="121"/>
      </w:r>
      <w:r w:rsidR="00B2205F">
        <w:t xml:space="preserve"> These three authors the</w:t>
      </w:r>
      <w:r w:rsidR="00D92BC5">
        <w:t>refore</w:t>
      </w:r>
      <w:r w:rsidR="00B2205F">
        <w:t xml:space="preserve"> cannot tell fully the </w:t>
      </w:r>
      <w:r w:rsidR="003320D1">
        <w:t>complete</w:t>
      </w:r>
      <w:r w:rsidR="00B2205F">
        <w:t xml:space="preserve"> nature of Alexander’s character</w:t>
      </w:r>
      <w:r w:rsidR="00D92BC5">
        <w:t>, as all of them possess elements of reliability, and discreditation.</w:t>
      </w:r>
      <w:r w:rsidR="003320D1">
        <w:t xml:space="preserve"> Overall,</w:t>
      </w:r>
      <w:r w:rsidR="00D92BC5">
        <w:t xml:space="preserve"> </w:t>
      </w:r>
      <w:r w:rsidR="00525411">
        <w:t>Plutarch’s deliberation of Alexander’s heroism is the most fitting, as Plutarch finds it hard to conclude anything other than although human, Alexander was heroic, temperate, and intelligent in affairs of war.</w:t>
      </w:r>
      <w:r w:rsidR="00525411">
        <w:rPr>
          <w:rStyle w:val="FootnoteReference"/>
        </w:rPr>
        <w:footnoteReference w:id="122"/>
      </w:r>
      <w:r w:rsidR="00525411">
        <w:t xml:space="preserve"> </w:t>
      </w:r>
      <w:r w:rsidR="003320D1">
        <w:t>It can be determined from these sources</w:t>
      </w:r>
      <w:r w:rsidR="00D92BC5">
        <w:t xml:space="preserve"> that Alexander the Great was heroic, showing great courage and confidence in battle.</w:t>
      </w:r>
      <w:r w:rsidR="00D92BC5">
        <w:rPr>
          <w:rStyle w:val="FootnoteReference"/>
        </w:rPr>
        <w:footnoteReference w:id="123"/>
      </w:r>
      <w:r w:rsidR="00D92BC5">
        <w:t xml:space="preserve"> It is also clear, that Alexander had a darker element, that is often shunned by certain authors, yet must be considered when reviewing his full identity.</w:t>
      </w:r>
      <w:r w:rsidR="00D92BC5">
        <w:rPr>
          <w:rStyle w:val="FootnoteReference"/>
        </w:rPr>
        <w:footnoteReference w:id="124"/>
      </w:r>
      <w:r w:rsidR="00D92BC5">
        <w:t xml:space="preserve"> </w:t>
      </w:r>
    </w:p>
    <w:p w14:paraId="0B2BD4FD" w14:textId="77777777" w:rsidR="008D0A31" w:rsidRDefault="008D0A31" w:rsidP="00E3669B"/>
    <w:p w14:paraId="35EEC981" w14:textId="24B52B9D" w:rsidR="00B465EB" w:rsidRDefault="00B465EB" w:rsidP="00E3669B"/>
    <w:p w14:paraId="5556E007" w14:textId="77777777" w:rsidR="00B465EB" w:rsidRPr="00D0255B" w:rsidRDefault="00B465EB" w:rsidP="00E3669B"/>
    <w:p w14:paraId="73C65499" w14:textId="20CA2664" w:rsidR="00035A3B" w:rsidRDefault="00035A3B" w:rsidP="00035A3B"/>
    <w:p w14:paraId="062F81A1" w14:textId="77777777" w:rsidR="00D0255B" w:rsidRDefault="00D0255B" w:rsidP="00035A3B"/>
    <w:p w14:paraId="3243F2CC" w14:textId="77777777" w:rsidR="00035A3B" w:rsidRDefault="00035A3B" w:rsidP="00D75DD3"/>
    <w:p w14:paraId="06FB96F4" w14:textId="77777777" w:rsidR="00CD4C0D" w:rsidRDefault="00CD4C0D" w:rsidP="00D75DD3"/>
    <w:p w14:paraId="533B3F2A" w14:textId="77777777" w:rsidR="00C17EFC" w:rsidRDefault="00C17EFC" w:rsidP="00D75DD3"/>
    <w:p w14:paraId="12BFEF1B" w14:textId="6844A158" w:rsidR="00C17EFC" w:rsidRDefault="00C17EFC" w:rsidP="00D75DD3"/>
    <w:p w14:paraId="06E317C9" w14:textId="5114348A" w:rsidR="00C17EFC" w:rsidRDefault="00C17EFC" w:rsidP="00D75DD3"/>
    <w:p w14:paraId="0F3066A8" w14:textId="4EDEEA4F" w:rsidR="00C17EFC" w:rsidRDefault="00C17EFC" w:rsidP="00D75DD3"/>
    <w:p w14:paraId="58CFCA24" w14:textId="368AA111" w:rsidR="00C17EFC" w:rsidRDefault="00C17EFC" w:rsidP="00D75DD3"/>
    <w:p w14:paraId="60F0432D" w14:textId="5B117256" w:rsidR="00D100D2" w:rsidRDefault="00D100D2" w:rsidP="00D75DD3"/>
    <w:p w14:paraId="475C395D" w14:textId="381182BF" w:rsidR="00D100D2" w:rsidRDefault="00D100D2" w:rsidP="00D75DD3"/>
    <w:p w14:paraId="12D1AAB0" w14:textId="77777777" w:rsidR="00D100D2" w:rsidRDefault="00D100D2" w:rsidP="00D75DD3"/>
    <w:p w14:paraId="37622AD6" w14:textId="77777777" w:rsidR="008C5626" w:rsidRDefault="008C5626" w:rsidP="00D75DD3"/>
    <w:p w14:paraId="260C96EC" w14:textId="2CFE6B2B" w:rsidR="00D75DD3" w:rsidRDefault="00D75DD3" w:rsidP="00D75DD3">
      <w:pPr>
        <w:rPr>
          <w:u w:val="single"/>
        </w:rPr>
      </w:pPr>
      <w:r w:rsidRPr="00520082">
        <w:rPr>
          <w:u w:val="single"/>
        </w:rPr>
        <w:lastRenderedPageBreak/>
        <w:t>Bibliography</w:t>
      </w:r>
    </w:p>
    <w:p w14:paraId="0A028BE3" w14:textId="77777777" w:rsidR="001E2F41" w:rsidRDefault="001E2F41" w:rsidP="00D75DD3">
      <w:pPr>
        <w:rPr>
          <w:u w:val="single"/>
        </w:rPr>
      </w:pPr>
    </w:p>
    <w:p w14:paraId="496F4A92" w14:textId="77777777" w:rsidR="001E2F41" w:rsidRPr="00520082" w:rsidRDefault="001E2F41" w:rsidP="00D75DD3">
      <w:pPr>
        <w:rPr>
          <w:u w:val="single"/>
        </w:rPr>
      </w:pPr>
    </w:p>
    <w:p w14:paraId="5FA4AA2A" w14:textId="77777777" w:rsidR="00D0255B" w:rsidRDefault="00D0255B" w:rsidP="00D75DD3"/>
    <w:p w14:paraId="518421DD" w14:textId="4D8C99E1" w:rsidR="00F7209C" w:rsidRDefault="00F7209C" w:rsidP="00D75DD3">
      <w:pPr>
        <w:rPr>
          <w:u w:val="single"/>
        </w:rPr>
      </w:pPr>
      <w:r w:rsidRPr="00F7209C">
        <w:rPr>
          <w:u w:val="single"/>
        </w:rPr>
        <w:t>Ancient sources</w:t>
      </w:r>
    </w:p>
    <w:p w14:paraId="25F83A96" w14:textId="77777777" w:rsidR="001E2F41" w:rsidRDefault="001E2F41" w:rsidP="00D75DD3">
      <w:pPr>
        <w:rPr>
          <w:u w:val="single"/>
        </w:rPr>
      </w:pPr>
    </w:p>
    <w:p w14:paraId="69D122C3" w14:textId="77777777" w:rsidR="00D100D2" w:rsidRDefault="00D100D2" w:rsidP="00D75DD3">
      <w:pPr>
        <w:rPr>
          <w:u w:val="single"/>
        </w:rPr>
      </w:pPr>
    </w:p>
    <w:p w14:paraId="7D20F8A8" w14:textId="558098A0" w:rsidR="00F7209C" w:rsidRDefault="00F7209C" w:rsidP="00D75DD3">
      <w:r w:rsidRPr="00F7209C">
        <w:t>Aristotle,</w:t>
      </w:r>
      <w:r>
        <w:t xml:space="preserve"> </w:t>
      </w:r>
      <w:r>
        <w:rPr>
          <w:i/>
        </w:rPr>
        <w:t xml:space="preserve">Nichomachean Ethics. </w:t>
      </w:r>
      <w:r>
        <w:t xml:space="preserve">W.D Ross (trans.). 1999. Kitchener: </w:t>
      </w:r>
      <w:proofErr w:type="spellStart"/>
      <w:r>
        <w:t>Batoche</w:t>
      </w:r>
      <w:proofErr w:type="spellEnd"/>
      <w:r>
        <w:t xml:space="preserve"> Books.</w:t>
      </w:r>
    </w:p>
    <w:p w14:paraId="416C194D" w14:textId="6B137D61" w:rsidR="00C17EFC" w:rsidRDefault="00C17EFC" w:rsidP="00D75DD3"/>
    <w:p w14:paraId="339B3B8D" w14:textId="5BFE3F78" w:rsidR="00C17EFC" w:rsidRDefault="00C17EFC" w:rsidP="00D75DD3">
      <w:r>
        <w:t xml:space="preserve">Arrian, </w:t>
      </w:r>
      <w:r>
        <w:rPr>
          <w:i/>
        </w:rPr>
        <w:t xml:space="preserve">Anabasis </w:t>
      </w:r>
      <w:proofErr w:type="spellStart"/>
      <w:r>
        <w:rPr>
          <w:i/>
        </w:rPr>
        <w:t>Alexandri</w:t>
      </w:r>
      <w:proofErr w:type="spellEnd"/>
      <w:r>
        <w:rPr>
          <w:i/>
        </w:rPr>
        <w:t xml:space="preserve">. </w:t>
      </w:r>
      <w:r w:rsidR="00C709DD">
        <w:t xml:space="preserve">E.J. </w:t>
      </w:r>
      <w:proofErr w:type="spellStart"/>
      <w:r w:rsidR="00C709DD">
        <w:t>Chinnock</w:t>
      </w:r>
      <w:proofErr w:type="spellEnd"/>
      <w:r>
        <w:t xml:space="preserve"> (trans.). 1</w:t>
      </w:r>
      <w:r w:rsidR="00C709DD">
        <w:t>884</w:t>
      </w:r>
      <w:r>
        <w:t xml:space="preserve">. London: </w:t>
      </w:r>
      <w:r w:rsidR="00C709DD">
        <w:t xml:space="preserve">Butcher </w:t>
      </w:r>
      <w:r w:rsidR="008B3FD5">
        <w:t>&amp;</w:t>
      </w:r>
      <w:r w:rsidR="00C709DD">
        <w:t xml:space="preserve"> Tanner</w:t>
      </w:r>
      <w:r>
        <w:t xml:space="preserve"> Ltd.</w:t>
      </w:r>
    </w:p>
    <w:p w14:paraId="22202745" w14:textId="77777777" w:rsidR="00C17EFC" w:rsidRDefault="00C17EFC" w:rsidP="00D75DD3"/>
    <w:p w14:paraId="72C91CE7" w14:textId="468F3624" w:rsidR="001031A9" w:rsidRDefault="001031A9" w:rsidP="00D75DD3">
      <w:r>
        <w:t xml:space="preserve">Diodorus, </w:t>
      </w:r>
      <w:r>
        <w:rPr>
          <w:i/>
        </w:rPr>
        <w:t xml:space="preserve">Bibliotheca. </w:t>
      </w:r>
      <w:r>
        <w:t xml:space="preserve">C.H. </w:t>
      </w:r>
      <w:proofErr w:type="spellStart"/>
      <w:r>
        <w:t>Oldfather</w:t>
      </w:r>
      <w:proofErr w:type="spellEnd"/>
      <w:r>
        <w:t xml:space="preserve"> (trans.). 1989. London: William Heinemann Ltd.</w:t>
      </w:r>
    </w:p>
    <w:p w14:paraId="7F1CE621" w14:textId="77777777" w:rsidR="00C17EFC" w:rsidRPr="001031A9" w:rsidRDefault="00C17EFC" w:rsidP="00D75DD3"/>
    <w:p w14:paraId="2AFCCF40" w14:textId="12B58524" w:rsidR="004D215B" w:rsidRDefault="004D215B" w:rsidP="00D75DD3">
      <w:r>
        <w:t xml:space="preserve">Homer, </w:t>
      </w:r>
      <w:r>
        <w:rPr>
          <w:i/>
        </w:rPr>
        <w:t xml:space="preserve">Iliad. </w:t>
      </w:r>
      <w:r w:rsidR="00D715BA">
        <w:t>R. Lattimore (trans.). 1951. Chicago: University of Chicago Press.</w:t>
      </w:r>
    </w:p>
    <w:p w14:paraId="58C16103" w14:textId="77777777" w:rsidR="00C17EFC" w:rsidRDefault="00C17EFC" w:rsidP="00D75DD3"/>
    <w:p w14:paraId="1414A9CB" w14:textId="76BFBD23" w:rsidR="00F62E8B" w:rsidRDefault="00F62E8B" w:rsidP="00D75DD3">
      <w:r>
        <w:t xml:space="preserve">Homer, </w:t>
      </w:r>
      <w:r>
        <w:rPr>
          <w:i/>
        </w:rPr>
        <w:t>Iliad.</w:t>
      </w:r>
      <w:r>
        <w:t xml:space="preserve"> A.T. Murray (trans.). 1924. London: William Heinemann Ltd.</w:t>
      </w:r>
    </w:p>
    <w:p w14:paraId="34C7CD78" w14:textId="702241D8" w:rsidR="00683819" w:rsidRDefault="00683819" w:rsidP="00D75DD3"/>
    <w:p w14:paraId="6D44DFB8" w14:textId="34F7BBF9" w:rsidR="00683819" w:rsidRDefault="00683819" w:rsidP="00D75DD3">
      <w:proofErr w:type="spellStart"/>
      <w:r>
        <w:t>Justinius</w:t>
      </w:r>
      <w:proofErr w:type="spellEnd"/>
      <w:r>
        <w:t xml:space="preserve">, </w:t>
      </w:r>
      <w:r>
        <w:rPr>
          <w:i/>
        </w:rPr>
        <w:t>Epitome</w:t>
      </w:r>
      <w:r>
        <w:t>. 1853. J.S. Watson (trans.). London: William Clowes and Sons.</w:t>
      </w:r>
    </w:p>
    <w:p w14:paraId="110C7481" w14:textId="25DE3EC6" w:rsidR="004E44DE" w:rsidRDefault="004E44DE" w:rsidP="00D75DD3"/>
    <w:p w14:paraId="5A1AF776" w14:textId="68C6ADA1" w:rsidR="004E44DE" w:rsidRDefault="004E44DE" w:rsidP="00D75DD3">
      <w:r>
        <w:t xml:space="preserve">Plutarch, </w:t>
      </w:r>
      <w:r>
        <w:rPr>
          <w:i/>
        </w:rPr>
        <w:t>Alexander.</w:t>
      </w:r>
      <w:r>
        <w:t xml:space="preserve"> Bernadotte Perrin (trans.). 1919. London: William Heinema</w:t>
      </w:r>
      <w:r w:rsidR="000157D4">
        <w:t>n</w:t>
      </w:r>
      <w:r>
        <w:t>n Ltd.</w:t>
      </w:r>
    </w:p>
    <w:p w14:paraId="28FFE084" w14:textId="7B54F86C" w:rsidR="00525411" w:rsidRDefault="00525411" w:rsidP="00D75DD3"/>
    <w:p w14:paraId="05CB4A96" w14:textId="7DB6BED6" w:rsidR="00525411" w:rsidRPr="00EE3D24" w:rsidRDefault="00525411" w:rsidP="00D75DD3">
      <w:r>
        <w:t xml:space="preserve">Plutarch, </w:t>
      </w:r>
      <w:proofErr w:type="spellStart"/>
      <w:r w:rsidR="00EE3D24" w:rsidRPr="00EE3D24">
        <w:rPr>
          <w:i/>
        </w:rPr>
        <w:t>Moralia</w:t>
      </w:r>
      <w:proofErr w:type="spellEnd"/>
      <w:r w:rsidR="00EE3D24">
        <w:rPr>
          <w:i/>
        </w:rPr>
        <w:t xml:space="preserve">: De </w:t>
      </w:r>
      <w:proofErr w:type="spellStart"/>
      <w:r w:rsidR="00EE3D24">
        <w:rPr>
          <w:i/>
        </w:rPr>
        <w:t>fortuna</w:t>
      </w:r>
      <w:proofErr w:type="spellEnd"/>
      <w:r w:rsidR="00EE3D24">
        <w:rPr>
          <w:i/>
        </w:rPr>
        <w:t xml:space="preserve"> </w:t>
      </w:r>
      <w:proofErr w:type="spellStart"/>
      <w:r w:rsidR="00EE3D24">
        <w:rPr>
          <w:i/>
        </w:rPr>
        <w:t>Alexandri</w:t>
      </w:r>
      <w:proofErr w:type="spellEnd"/>
      <w:r w:rsidR="00EE3D24">
        <w:rPr>
          <w:i/>
        </w:rPr>
        <w:t>.</w:t>
      </w:r>
      <w:r w:rsidR="00EE3D24">
        <w:t xml:space="preserve"> F.C. </w:t>
      </w:r>
      <w:proofErr w:type="spellStart"/>
      <w:r w:rsidR="00EE3D24">
        <w:t>Babbit</w:t>
      </w:r>
      <w:proofErr w:type="spellEnd"/>
      <w:r w:rsidR="00EE3D24">
        <w:t xml:space="preserve"> (trans.). 1936. London: William Heinemann Ltd.</w:t>
      </w:r>
    </w:p>
    <w:p w14:paraId="77F28A90" w14:textId="2EBAABE0" w:rsidR="007006B7" w:rsidRDefault="007006B7" w:rsidP="00D75DD3"/>
    <w:p w14:paraId="3C351BD5" w14:textId="5DB1F90C" w:rsidR="00C17EFC" w:rsidRDefault="007006B7" w:rsidP="00D75DD3">
      <w:r>
        <w:t xml:space="preserve">Strabo, </w:t>
      </w:r>
      <w:r w:rsidRPr="007006B7">
        <w:rPr>
          <w:i/>
        </w:rPr>
        <w:t>Geography.</w:t>
      </w:r>
      <w:r>
        <w:rPr>
          <w:i/>
        </w:rPr>
        <w:t xml:space="preserve"> </w:t>
      </w:r>
      <w:r w:rsidR="000157D4">
        <w:t>D.W. Roller (trans.). 2014. Cambridge: Cambridge University Press.</w:t>
      </w:r>
    </w:p>
    <w:p w14:paraId="0FAC240B" w14:textId="77777777" w:rsidR="001E2F41" w:rsidRPr="00F62E8B" w:rsidRDefault="001E2F41" w:rsidP="00D75DD3"/>
    <w:p w14:paraId="7840F8A2" w14:textId="6DFF9385" w:rsidR="00F7209C" w:rsidRDefault="00F7209C" w:rsidP="00D75DD3"/>
    <w:p w14:paraId="00CB4DE1" w14:textId="77777777" w:rsidR="001E2F41" w:rsidRDefault="001E2F41" w:rsidP="00D75DD3"/>
    <w:p w14:paraId="7B4D8BAC" w14:textId="53068779" w:rsidR="00F7209C" w:rsidRDefault="00F7209C" w:rsidP="00D75DD3">
      <w:pPr>
        <w:rPr>
          <w:u w:val="single"/>
        </w:rPr>
      </w:pPr>
      <w:r w:rsidRPr="00F7209C">
        <w:rPr>
          <w:u w:val="single"/>
        </w:rPr>
        <w:t>Modern scholarship</w:t>
      </w:r>
    </w:p>
    <w:p w14:paraId="3C881987" w14:textId="59EF75F0" w:rsidR="001031A9" w:rsidRDefault="001031A9" w:rsidP="00D75DD3">
      <w:pPr>
        <w:rPr>
          <w:u w:val="single"/>
        </w:rPr>
      </w:pPr>
    </w:p>
    <w:p w14:paraId="528C5E04" w14:textId="77777777" w:rsidR="001E2F41" w:rsidRDefault="001E2F41" w:rsidP="00D75DD3">
      <w:pPr>
        <w:rPr>
          <w:u w:val="single"/>
        </w:rPr>
      </w:pPr>
    </w:p>
    <w:p w14:paraId="0A6341E3" w14:textId="7673AC62" w:rsidR="005D1574" w:rsidRDefault="005D1574" w:rsidP="00D75DD3">
      <w:proofErr w:type="spellStart"/>
      <w:r>
        <w:t>Apressyan</w:t>
      </w:r>
      <w:proofErr w:type="spellEnd"/>
      <w:r>
        <w:t xml:space="preserve">, R.G. 2016. ‘Whether the Golden Rule </w:t>
      </w:r>
      <w:r w:rsidR="00FC426C">
        <w:t>i</w:t>
      </w:r>
      <w:r>
        <w:t xml:space="preserve">s in Aristotle’s Ethics’, </w:t>
      </w:r>
      <w:r w:rsidRPr="00DE639E">
        <w:rPr>
          <w:i/>
        </w:rPr>
        <w:t>Russian Studies in Philosophy,</w:t>
      </w:r>
      <w:r>
        <w:t xml:space="preserve"> 54. 6, 456-471</w:t>
      </w:r>
      <w:r w:rsidR="00FC426C">
        <w:t>.</w:t>
      </w:r>
    </w:p>
    <w:p w14:paraId="54185268" w14:textId="77777777" w:rsidR="001031A9" w:rsidRPr="005D1574" w:rsidRDefault="001031A9" w:rsidP="00D75DD3"/>
    <w:p w14:paraId="375F865C" w14:textId="4C483173" w:rsidR="00D75DD3" w:rsidRDefault="00D75DD3" w:rsidP="00D75DD3">
      <w:r>
        <w:t xml:space="preserve">Borza, EN. 1997. ‘An introduction to Alexander Studies’, in U. </w:t>
      </w:r>
      <w:proofErr w:type="spellStart"/>
      <w:r>
        <w:t>Wilcken</w:t>
      </w:r>
      <w:proofErr w:type="spellEnd"/>
      <w:r>
        <w:t xml:space="preserve"> (ed.), </w:t>
      </w:r>
      <w:r w:rsidRPr="00520082">
        <w:rPr>
          <w:i/>
        </w:rPr>
        <w:t xml:space="preserve">Alexander </w:t>
      </w:r>
      <w:proofErr w:type="gramStart"/>
      <w:r w:rsidRPr="00520082">
        <w:rPr>
          <w:i/>
        </w:rPr>
        <w:t>The</w:t>
      </w:r>
      <w:proofErr w:type="gramEnd"/>
      <w:r w:rsidRPr="00520082">
        <w:rPr>
          <w:i/>
        </w:rPr>
        <w:t xml:space="preserve"> Great</w:t>
      </w:r>
      <w:r>
        <w:t>. London: W. W. Norton &amp; Company, Inc.</w:t>
      </w:r>
    </w:p>
    <w:p w14:paraId="089DE7B7" w14:textId="28884A67" w:rsidR="001031A9" w:rsidRDefault="001031A9" w:rsidP="00D75DD3"/>
    <w:p w14:paraId="0F9B075F" w14:textId="5FC5D4DD" w:rsidR="001137CE" w:rsidRPr="001137CE" w:rsidRDefault="001137CE" w:rsidP="00D75DD3">
      <w:proofErr w:type="spellStart"/>
      <w:r>
        <w:t>Curzer</w:t>
      </w:r>
      <w:proofErr w:type="spellEnd"/>
      <w:r>
        <w:t xml:space="preserve">, H.J. 2017. ‘Akrasia and Courage in the Protagoras’, </w:t>
      </w:r>
      <w:r>
        <w:rPr>
          <w:i/>
        </w:rPr>
        <w:t>Review of Metaphysics</w:t>
      </w:r>
      <w:r w:rsidR="00FC426C">
        <w:rPr>
          <w:i/>
        </w:rPr>
        <w:t>,</w:t>
      </w:r>
      <w:r>
        <w:rPr>
          <w:i/>
        </w:rPr>
        <w:t xml:space="preserve"> </w:t>
      </w:r>
      <w:r>
        <w:t>71. 2, 265-292</w:t>
      </w:r>
      <w:r w:rsidR="00FC426C">
        <w:t>.</w:t>
      </w:r>
    </w:p>
    <w:p w14:paraId="60171C11" w14:textId="77777777" w:rsidR="001137CE" w:rsidRDefault="001137CE" w:rsidP="00D75DD3"/>
    <w:p w14:paraId="1EB0417F" w14:textId="3E2EF277" w:rsidR="001031A9" w:rsidRDefault="001031A9" w:rsidP="00D75DD3">
      <w:r>
        <w:t xml:space="preserve">Edmunds, L. 1971. ‘The Religiosity of Alexander’, </w:t>
      </w:r>
      <w:r>
        <w:rPr>
          <w:i/>
        </w:rPr>
        <w:t>Greek, Roman and Byzantine Studies</w:t>
      </w:r>
      <w:r w:rsidR="00FC426C">
        <w:rPr>
          <w:i/>
        </w:rPr>
        <w:t>,</w:t>
      </w:r>
      <w:r>
        <w:rPr>
          <w:i/>
        </w:rPr>
        <w:t xml:space="preserve"> </w:t>
      </w:r>
      <w:r>
        <w:t>12. 3, 363-391</w:t>
      </w:r>
      <w:r w:rsidR="00FC426C">
        <w:t>.</w:t>
      </w:r>
    </w:p>
    <w:p w14:paraId="2082EEDB" w14:textId="5A121050" w:rsidR="00635E8E" w:rsidRDefault="00635E8E" w:rsidP="00D75DD3"/>
    <w:p w14:paraId="0208B538" w14:textId="0A8CBF7B" w:rsidR="00635E8E" w:rsidRPr="00635E8E" w:rsidRDefault="00635E8E" w:rsidP="00D75DD3">
      <w:proofErr w:type="spellStart"/>
      <w:r>
        <w:lastRenderedPageBreak/>
        <w:t>Hau</w:t>
      </w:r>
      <w:proofErr w:type="spellEnd"/>
      <w:r>
        <w:t xml:space="preserve">, L.I. 2016. </w:t>
      </w:r>
      <w:r>
        <w:rPr>
          <w:i/>
        </w:rPr>
        <w:t>Moral History from Herodotus to Diodorus Siculus.</w:t>
      </w:r>
      <w:r>
        <w:t xml:space="preserve"> Edinburgh: Edinburgh University Press.</w:t>
      </w:r>
    </w:p>
    <w:p w14:paraId="55114BE4" w14:textId="3F909C9D" w:rsidR="001031A9" w:rsidRDefault="001031A9" w:rsidP="00D75DD3"/>
    <w:p w14:paraId="29D51977" w14:textId="4A40BF9C" w:rsidR="004642FC" w:rsidRPr="004642FC" w:rsidRDefault="004642FC" w:rsidP="00D75DD3">
      <w:r>
        <w:t xml:space="preserve">Irwin, T. 1995. </w:t>
      </w:r>
      <w:r>
        <w:rPr>
          <w:i/>
        </w:rPr>
        <w:t xml:space="preserve">Plato’s Ethics. </w:t>
      </w:r>
      <w:r>
        <w:t>Oxford: Oxford University Press.</w:t>
      </w:r>
    </w:p>
    <w:p w14:paraId="7C7C1723" w14:textId="77777777" w:rsidR="004642FC" w:rsidRDefault="004642FC" w:rsidP="00D75DD3"/>
    <w:p w14:paraId="25C86FD2" w14:textId="3B9F60C9" w:rsidR="00BD7B3B" w:rsidRDefault="00BD7B3B" w:rsidP="00D75DD3">
      <w:r>
        <w:t xml:space="preserve">Kinsella, E.L., Ritchie, T.D., and Igou, E.R. 2015. ‘Zeroing in on Heroes: A Prototype Analysis of Hero Features’, </w:t>
      </w:r>
      <w:r w:rsidRPr="00BD7B3B">
        <w:rPr>
          <w:i/>
        </w:rPr>
        <w:t>Journal of Personality and Social Psychology</w:t>
      </w:r>
      <w:r w:rsidR="00FC426C">
        <w:rPr>
          <w:i/>
        </w:rPr>
        <w:t>,</w:t>
      </w:r>
      <w:r>
        <w:rPr>
          <w:i/>
        </w:rPr>
        <w:t xml:space="preserve"> </w:t>
      </w:r>
      <w:r>
        <w:t>108. 1, 114-128</w:t>
      </w:r>
      <w:r w:rsidR="00FC426C">
        <w:t>.</w:t>
      </w:r>
    </w:p>
    <w:p w14:paraId="7C974854" w14:textId="22C3BBAE" w:rsidR="001031A9" w:rsidRDefault="001031A9" w:rsidP="00D75DD3"/>
    <w:p w14:paraId="4A03C80B" w14:textId="3B25FE73" w:rsidR="001062B8" w:rsidRDefault="001062B8" w:rsidP="00D75DD3">
      <w:r>
        <w:t xml:space="preserve">Lawrence, S. 2005. ‘Ancient Ethics, the Heroic Codes, and the Morality of Sophocles’ “Ajax”.’, </w:t>
      </w:r>
      <w:r w:rsidRPr="001062B8">
        <w:rPr>
          <w:i/>
        </w:rPr>
        <w:t>Greece and Rome</w:t>
      </w:r>
      <w:r w:rsidR="00FC426C">
        <w:rPr>
          <w:i/>
        </w:rPr>
        <w:t>,</w:t>
      </w:r>
      <w:r>
        <w:rPr>
          <w:i/>
        </w:rPr>
        <w:t xml:space="preserve"> </w:t>
      </w:r>
      <w:r>
        <w:t>52. 1, 18-34</w:t>
      </w:r>
      <w:r w:rsidR="00FC426C">
        <w:t>.</w:t>
      </w:r>
    </w:p>
    <w:p w14:paraId="7B9F71C5" w14:textId="2EDC90BF" w:rsidR="00EC5974" w:rsidRDefault="00EC5974" w:rsidP="00D75DD3"/>
    <w:p w14:paraId="5EA9C4BA" w14:textId="20F03B77" w:rsidR="00EC5974" w:rsidRDefault="00EC5974" w:rsidP="00D75DD3">
      <w:r>
        <w:t xml:space="preserve">Mossman, J.M. 1988. ‘Tragedy and Epic in Plutarch’s Alexander’, </w:t>
      </w:r>
      <w:r>
        <w:rPr>
          <w:i/>
        </w:rPr>
        <w:t>The Journal of Hellenic Studies</w:t>
      </w:r>
      <w:r w:rsidR="00FC426C">
        <w:rPr>
          <w:i/>
        </w:rPr>
        <w:t>,</w:t>
      </w:r>
      <w:r>
        <w:rPr>
          <w:i/>
        </w:rPr>
        <w:t xml:space="preserve"> </w:t>
      </w:r>
      <w:r>
        <w:t>108. 83-93</w:t>
      </w:r>
      <w:r w:rsidR="00FC426C">
        <w:t>.</w:t>
      </w:r>
    </w:p>
    <w:p w14:paraId="13AFEED1" w14:textId="5F697AF3" w:rsidR="000F01F6" w:rsidRDefault="000F01F6" w:rsidP="00D75DD3"/>
    <w:p w14:paraId="6C9EB0DD" w14:textId="297ED7D8" w:rsidR="000F01F6" w:rsidRPr="000F01F6" w:rsidRDefault="000F01F6" w:rsidP="00D75DD3">
      <w:proofErr w:type="spellStart"/>
      <w:r>
        <w:t>Nawotka</w:t>
      </w:r>
      <w:proofErr w:type="spellEnd"/>
      <w:r>
        <w:t xml:space="preserve">, K. 2010. </w:t>
      </w:r>
      <w:r>
        <w:rPr>
          <w:i/>
        </w:rPr>
        <w:t>Alexander the Great.</w:t>
      </w:r>
      <w:r>
        <w:t xml:space="preserve"> Newcastle upon Tyne: Cambridge Scholars Publishing. </w:t>
      </w:r>
    </w:p>
    <w:p w14:paraId="25C43A41" w14:textId="545FA82A" w:rsidR="004D2250" w:rsidRDefault="004D2250" w:rsidP="00D75DD3"/>
    <w:p w14:paraId="74C324ED" w14:textId="7D979573" w:rsidR="004D2250" w:rsidRPr="004D2250" w:rsidRDefault="004D2250" w:rsidP="00D75DD3">
      <w:r>
        <w:t xml:space="preserve">O’Brien, J.M. 1993. </w:t>
      </w:r>
      <w:r>
        <w:rPr>
          <w:i/>
        </w:rPr>
        <w:t xml:space="preserve">Alexander the Great: The Invisible Enemy. </w:t>
      </w:r>
      <w:r>
        <w:t>London: Routledge.</w:t>
      </w:r>
    </w:p>
    <w:p w14:paraId="4A0A547F" w14:textId="77777777" w:rsidR="004D2250" w:rsidRPr="00BD7B3B" w:rsidRDefault="004D2250" w:rsidP="00D75DD3"/>
    <w:p w14:paraId="7DB047BB" w14:textId="7A120900" w:rsidR="0038731C" w:rsidRDefault="0038731C" w:rsidP="00D75DD3">
      <w:r>
        <w:t xml:space="preserve">Pears, D. 1980. ‘Courage as a Mean’, in A.O. </w:t>
      </w:r>
      <w:proofErr w:type="spellStart"/>
      <w:r>
        <w:t>Rorty</w:t>
      </w:r>
      <w:proofErr w:type="spellEnd"/>
      <w:r>
        <w:t xml:space="preserve"> (ed.), </w:t>
      </w:r>
      <w:r>
        <w:rPr>
          <w:i/>
        </w:rPr>
        <w:t>Essays on Aristotle’s Ethics</w:t>
      </w:r>
      <w:r w:rsidR="00FC426C">
        <w:rPr>
          <w:i/>
        </w:rPr>
        <w:t>.</w:t>
      </w:r>
      <w:r>
        <w:rPr>
          <w:i/>
        </w:rPr>
        <w:t xml:space="preserve"> </w:t>
      </w:r>
      <w:r>
        <w:t>London: University of California Press Ltd. 171-188</w:t>
      </w:r>
      <w:r w:rsidR="00FC426C">
        <w:t>.</w:t>
      </w:r>
    </w:p>
    <w:p w14:paraId="499D18AC" w14:textId="2AC86DE8" w:rsidR="00023B51" w:rsidRDefault="00023B51" w:rsidP="00D75DD3"/>
    <w:p w14:paraId="6A7B4D8D" w14:textId="75FCB0A8" w:rsidR="00023B51" w:rsidRDefault="00023B51" w:rsidP="00023B51">
      <w:r>
        <w:t xml:space="preserve">Pitcher, L.V. 2007. ‘Characterisation in Ancient Historiography’, in J. </w:t>
      </w:r>
      <w:proofErr w:type="spellStart"/>
      <w:r>
        <w:t>Marincola</w:t>
      </w:r>
      <w:proofErr w:type="spellEnd"/>
      <w:r>
        <w:t xml:space="preserve"> (ed.), </w:t>
      </w:r>
      <w:r>
        <w:rPr>
          <w:i/>
        </w:rPr>
        <w:t>A companion to Greek and Roman Historiography: Volume 1</w:t>
      </w:r>
      <w:r w:rsidR="00FC426C">
        <w:rPr>
          <w:i/>
        </w:rPr>
        <w:t>.</w:t>
      </w:r>
      <w:r>
        <w:rPr>
          <w:i/>
        </w:rPr>
        <w:t xml:space="preserve"> </w:t>
      </w:r>
      <w:r>
        <w:t>Oxford: Blackwell Publishing Ltd. 102-117</w:t>
      </w:r>
      <w:r w:rsidR="00FC426C">
        <w:t>.</w:t>
      </w:r>
    </w:p>
    <w:p w14:paraId="4A5A649E" w14:textId="08D2D433" w:rsidR="006759F8" w:rsidRDefault="006759F8" w:rsidP="00023B51"/>
    <w:p w14:paraId="1B2350FE" w14:textId="5B2D5AAE" w:rsidR="006759F8" w:rsidRPr="006759F8" w:rsidRDefault="006759F8" w:rsidP="00023B51">
      <w:r>
        <w:t xml:space="preserve">Powell, J.E. 1939. ‘The Sources of Plutarch’s Alexander’, </w:t>
      </w:r>
      <w:r>
        <w:rPr>
          <w:i/>
        </w:rPr>
        <w:t>The Journal of Hellenic Studies</w:t>
      </w:r>
      <w:r w:rsidR="00FC426C">
        <w:rPr>
          <w:i/>
        </w:rPr>
        <w:t>,</w:t>
      </w:r>
      <w:r>
        <w:rPr>
          <w:i/>
        </w:rPr>
        <w:t xml:space="preserve"> </w:t>
      </w:r>
      <w:r>
        <w:t>59. 2, 229-240</w:t>
      </w:r>
      <w:r w:rsidR="00FC426C">
        <w:t>.</w:t>
      </w:r>
    </w:p>
    <w:p w14:paraId="7ACCC8D5" w14:textId="77777777" w:rsidR="001031A9" w:rsidRDefault="001031A9" w:rsidP="00D75DD3"/>
    <w:p w14:paraId="66B258AD" w14:textId="1D4183EC" w:rsidR="00D75DD3" w:rsidRDefault="00D75DD3" w:rsidP="00D75DD3">
      <w:r>
        <w:t xml:space="preserve">Rogers, G.M. 2004. </w:t>
      </w:r>
      <w:r>
        <w:rPr>
          <w:i/>
        </w:rPr>
        <w:t xml:space="preserve">Alexander: The Ambiguity of Greatness. </w:t>
      </w:r>
      <w:r>
        <w:t>New York: Random House.</w:t>
      </w:r>
    </w:p>
    <w:p w14:paraId="756EC7FA" w14:textId="77777777" w:rsidR="001031A9" w:rsidRDefault="001031A9" w:rsidP="00D75DD3"/>
    <w:p w14:paraId="4F6E2AA9" w14:textId="011A3FD5" w:rsidR="008F6DF9" w:rsidRDefault="008F6DF9" w:rsidP="00D75DD3">
      <w:r>
        <w:t xml:space="preserve">Sherman, N. 1999. </w:t>
      </w:r>
      <w:proofErr w:type="spellStart"/>
      <w:r>
        <w:rPr>
          <w:i/>
        </w:rPr>
        <w:t>Aristotles</w:t>
      </w:r>
      <w:proofErr w:type="spellEnd"/>
      <w:r>
        <w:rPr>
          <w:i/>
        </w:rPr>
        <w:t xml:space="preserve"> Ethics: Critical Essays. </w:t>
      </w:r>
      <w:r>
        <w:t>Lanham: Rowman &amp; Littlefield Publishers Inc.</w:t>
      </w:r>
    </w:p>
    <w:p w14:paraId="670F7DF5" w14:textId="4CAED6A6" w:rsidR="00CD4C0D" w:rsidRDefault="00CD4C0D" w:rsidP="00D75DD3"/>
    <w:p w14:paraId="6A6D8C5F" w14:textId="20A7A9E4" w:rsidR="0097205E" w:rsidRPr="00635E8E" w:rsidRDefault="0097205E" w:rsidP="00D75DD3">
      <w:r>
        <w:t>Steele, R.B. 1920. ‘</w:t>
      </w:r>
      <w:r w:rsidR="00635E8E">
        <w:t xml:space="preserve">Arrian’s Anabasis and Book XVII of Diodorus’, </w:t>
      </w:r>
      <w:r w:rsidR="00635E8E">
        <w:rPr>
          <w:i/>
        </w:rPr>
        <w:t>Classical Philology</w:t>
      </w:r>
      <w:r w:rsidR="00FC426C">
        <w:rPr>
          <w:i/>
        </w:rPr>
        <w:t>,</w:t>
      </w:r>
      <w:r w:rsidR="00635E8E">
        <w:rPr>
          <w:i/>
        </w:rPr>
        <w:t xml:space="preserve"> </w:t>
      </w:r>
      <w:r w:rsidR="00635E8E">
        <w:t>15. 3, 282-295</w:t>
      </w:r>
      <w:r w:rsidR="00FC426C">
        <w:t>.</w:t>
      </w:r>
    </w:p>
    <w:p w14:paraId="354C56E8" w14:textId="77777777" w:rsidR="0097205E" w:rsidRDefault="0097205E" w:rsidP="00D75DD3"/>
    <w:p w14:paraId="76F7B9F8" w14:textId="69FCC1E7" w:rsidR="00CD4C0D" w:rsidRDefault="00CD4C0D" w:rsidP="00D75DD3">
      <w:r>
        <w:t xml:space="preserve">Stein, M.A. 1942. ‘Notes on Alexander’s crossing of the Tigris and the battle of Arbela’, </w:t>
      </w:r>
      <w:r>
        <w:rPr>
          <w:i/>
        </w:rPr>
        <w:t xml:space="preserve">Geographical Journal, </w:t>
      </w:r>
      <w:r>
        <w:t>100. 155-165</w:t>
      </w:r>
      <w:r w:rsidR="00FC426C">
        <w:t>.</w:t>
      </w:r>
    </w:p>
    <w:p w14:paraId="168F007D" w14:textId="07126E5D" w:rsidR="00D0255B" w:rsidRDefault="00D0255B" w:rsidP="00D75DD3"/>
    <w:p w14:paraId="6920AD0A" w14:textId="0D89FF25" w:rsidR="00D0255B" w:rsidRPr="00D0255B" w:rsidRDefault="00D0255B" w:rsidP="00D75DD3">
      <w:proofErr w:type="spellStart"/>
      <w:r>
        <w:t>Stoyles</w:t>
      </w:r>
      <w:proofErr w:type="spellEnd"/>
      <w:r>
        <w:t xml:space="preserve">, B. 2007. ‘Aristotle and Augustine on freedom: two theories of freedom, voluntary action and akrasia’, </w:t>
      </w:r>
      <w:r>
        <w:rPr>
          <w:i/>
        </w:rPr>
        <w:t>Ethical Theory &amp; Moral Practice,</w:t>
      </w:r>
      <w:r>
        <w:t xml:space="preserve"> 10. 2, 195-208</w:t>
      </w:r>
      <w:r w:rsidR="00FC426C">
        <w:t>.</w:t>
      </w:r>
    </w:p>
    <w:p w14:paraId="6ECFDF10" w14:textId="77777777" w:rsidR="001031A9" w:rsidRDefault="001031A9" w:rsidP="00D75DD3"/>
    <w:p w14:paraId="65DF5BB8" w14:textId="020DE452" w:rsidR="0038731C" w:rsidRDefault="0038731C" w:rsidP="00D75DD3">
      <w:proofErr w:type="spellStart"/>
      <w:r>
        <w:t>Urmson</w:t>
      </w:r>
      <w:proofErr w:type="spellEnd"/>
      <w:r>
        <w:t xml:space="preserve">, J.O. 1980. ‘Aristotle’s Doctrine of the Mean’, in A.O. </w:t>
      </w:r>
      <w:proofErr w:type="spellStart"/>
      <w:r>
        <w:t>Rorty</w:t>
      </w:r>
      <w:proofErr w:type="spellEnd"/>
      <w:r>
        <w:t xml:space="preserve"> (ed.), </w:t>
      </w:r>
      <w:r>
        <w:rPr>
          <w:i/>
        </w:rPr>
        <w:t>Essays on Aristotle’s Ethics</w:t>
      </w:r>
      <w:r w:rsidR="00FC426C">
        <w:rPr>
          <w:i/>
        </w:rPr>
        <w:t>.</w:t>
      </w:r>
      <w:r>
        <w:rPr>
          <w:i/>
        </w:rPr>
        <w:t xml:space="preserve"> </w:t>
      </w:r>
      <w:r>
        <w:t>London: University of California Press Ltd. 157-170</w:t>
      </w:r>
      <w:r w:rsidR="00FC426C">
        <w:t>.</w:t>
      </w:r>
    </w:p>
    <w:p w14:paraId="0E0AE52C" w14:textId="77777777" w:rsidR="001031A9" w:rsidRPr="0038731C" w:rsidRDefault="001031A9" w:rsidP="00D75DD3"/>
    <w:p w14:paraId="7C79FB79" w14:textId="55D03E4D" w:rsidR="0040466E" w:rsidRDefault="0040466E" w:rsidP="00D75DD3">
      <w:r>
        <w:lastRenderedPageBreak/>
        <w:t xml:space="preserve">Ward, A. 2015. ‘Theory and Akrasia in Aristotle’s Ethics’, </w:t>
      </w:r>
      <w:r>
        <w:rPr>
          <w:i/>
        </w:rPr>
        <w:t>Perspectives on Political Scienc</w:t>
      </w:r>
      <w:r w:rsidR="005D1574">
        <w:rPr>
          <w:i/>
        </w:rPr>
        <w:t>e,</w:t>
      </w:r>
      <w:r>
        <w:t xml:space="preserve"> 44</w:t>
      </w:r>
      <w:r w:rsidR="005D1574">
        <w:t>.</w:t>
      </w:r>
      <w:r>
        <w:t xml:space="preserve"> 1</w:t>
      </w:r>
      <w:r w:rsidR="005D1574">
        <w:t>,</w:t>
      </w:r>
      <w:r>
        <w:t xml:space="preserve"> 18-25</w:t>
      </w:r>
      <w:r w:rsidR="00FC426C">
        <w:t>.</w:t>
      </w:r>
      <w:r>
        <w:t xml:space="preserve"> </w:t>
      </w:r>
    </w:p>
    <w:p w14:paraId="433F4F66" w14:textId="6ED5E2B4" w:rsidR="0059249E" w:rsidRDefault="0059249E" w:rsidP="00D75DD3"/>
    <w:p w14:paraId="1E670DC0" w14:textId="30F2EC96" w:rsidR="0059249E" w:rsidRPr="0059249E" w:rsidRDefault="0059249E" w:rsidP="00D75DD3">
      <w:proofErr w:type="spellStart"/>
      <w:r>
        <w:t>Zanker</w:t>
      </w:r>
      <w:proofErr w:type="spellEnd"/>
      <w:r>
        <w:t xml:space="preserve">, G. 1992. ‘Sophocles’ Ajax and the heroic values of the Iliad’, </w:t>
      </w:r>
      <w:r>
        <w:rPr>
          <w:i/>
        </w:rPr>
        <w:t xml:space="preserve">Classical Quarterly, </w:t>
      </w:r>
      <w:r>
        <w:t>42. 1, 20-26</w:t>
      </w:r>
      <w:r w:rsidR="00FC426C">
        <w:t>.</w:t>
      </w:r>
    </w:p>
    <w:p w14:paraId="668F0E9A" w14:textId="018A75B2" w:rsidR="0038731C" w:rsidRDefault="0038731C" w:rsidP="00D75DD3"/>
    <w:p w14:paraId="37D1E231" w14:textId="726AFD72" w:rsidR="007F4602" w:rsidRPr="007F4602" w:rsidRDefault="007F4602" w:rsidP="00D75DD3">
      <w:proofErr w:type="spellStart"/>
      <w:r>
        <w:t>Zambrini</w:t>
      </w:r>
      <w:proofErr w:type="spellEnd"/>
      <w:r>
        <w:t xml:space="preserve">, A. 2007. ‘The Historians of Alexander the Great’, in J. </w:t>
      </w:r>
      <w:proofErr w:type="spellStart"/>
      <w:r>
        <w:t>Marincola</w:t>
      </w:r>
      <w:proofErr w:type="spellEnd"/>
      <w:r>
        <w:t xml:space="preserve"> (ed.), </w:t>
      </w:r>
      <w:r>
        <w:rPr>
          <w:i/>
        </w:rPr>
        <w:t xml:space="preserve">A companion to Greek and Roman Historiography: Volume 1. </w:t>
      </w:r>
      <w:r>
        <w:t>Oxford: Blackwell Publishing Ltd.</w:t>
      </w:r>
      <w:r w:rsidR="00023B51">
        <w:t xml:space="preserve"> 210-220</w:t>
      </w:r>
      <w:r w:rsidR="00FC426C">
        <w:t>.</w:t>
      </w:r>
    </w:p>
    <w:p w14:paraId="37BB432B" w14:textId="77777777" w:rsidR="00D75DD3" w:rsidRDefault="00D75DD3" w:rsidP="00D75DD3"/>
    <w:p w14:paraId="0682C8B6" w14:textId="625A94DA" w:rsidR="00D75DD3" w:rsidRDefault="00D75DD3" w:rsidP="00CE4ADC">
      <w:pPr>
        <w:ind w:firstLine="720"/>
      </w:pPr>
    </w:p>
    <w:p w14:paraId="480D6BE0" w14:textId="45F053CE" w:rsidR="00D75DD3" w:rsidRDefault="00D75DD3" w:rsidP="00CE4ADC">
      <w:pPr>
        <w:ind w:firstLine="720"/>
      </w:pPr>
    </w:p>
    <w:p w14:paraId="2FE3B313" w14:textId="4D59BF23" w:rsidR="00D75DD3" w:rsidRDefault="00D75DD3" w:rsidP="00D75DD3"/>
    <w:p w14:paraId="07067663" w14:textId="1DF8712F" w:rsidR="00D75DD3" w:rsidRDefault="00D75DD3" w:rsidP="00CE4ADC">
      <w:pPr>
        <w:ind w:firstLine="720"/>
      </w:pPr>
    </w:p>
    <w:p w14:paraId="5F1ADAE9" w14:textId="77777777" w:rsidR="00D75DD3" w:rsidRDefault="00D75DD3" w:rsidP="00CE4ADC">
      <w:pPr>
        <w:ind w:firstLine="720"/>
      </w:pPr>
    </w:p>
    <w:sectPr w:rsidR="00D75DD3" w:rsidSect="0078316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B60E0" w14:textId="77777777" w:rsidR="00816BD0" w:rsidRDefault="00816BD0" w:rsidP="00D75DD3">
      <w:r>
        <w:separator/>
      </w:r>
    </w:p>
  </w:endnote>
  <w:endnote w:type="continuationSeparator" w:id="0">
    <w:p w14:paraId="18F4CD1A" w14:textId="77777777" w:rsidR="00816BD0" w:rsidRDefault="00816BD0" w:rsidP="00D7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57E5A" w14:textId="77777777" w:rsidR="00816BD0" w:rsidRDefault="00816BD0" w:rsidP="00D75DD3">
      <w:r>
        <w:separator/>
      </w:r>
    </w:p>
  </w:footnote>
  <w:footnote w:type="continuationSeparator" w:id="0">
    <w:p w14:paraId="647B7C21" w14:textId="77777777" w:rsidR="00816BD0" w:rsidRDefault="00816BD0" w:rsidP="00D75DD3">
      <w:r>
        <w:continuationSeparator/>
      </w:r>
    </w:p>
  </w:footnote>
  <w:footnote w:id="1">
    <w:p w14:paraId="29846B56" w14:textId="18FABBAE" w:rsidR="00D75DD3" w:rsidRDefault="00D75DD3" w:rsidP="00D75DD3">
      <w:pPr>
        <w:pStyle w:val="FootnoteText"/>
      </w:pPr>
      <w:r>
        <w:rPr>
          <w:rStyle w:val="FootnoteReference"/>
        </w:rPr>
        <w:footnoteRef/>
      </w:r>
      <w:r>
        <w:t xml:space="preserve"> </w:t>
      </w:r>
      <w:proofErr w:type="spellStart"/>
      <w:r>
        <w:t>Wilcken</w:t>
      </w:r>
      <w:proofErr w:type="spellEnd"/>
      <w:r>
        <w:t xml:space="preserve"> 1997: ix-x</w:t>
      </w:r>
    </w:p>
  </w:footnote>
  <w:footnote w:id="2">
    <w:p w14:paraId="707C4C42" w14:textId="77777777" w:rsidR="00D75DD3" w:rsidRDefault="00D75DD3" w:rsidP="00D75DD3">
      <w:pPr>
        <w:pStyle w:val="FootnoteText"/>
      </w:pPr>
      <w:r>
        <w:rPr>
          <w:rStyle w:val="FootnoteReference"/>
        </w:rPr>
        <w:footnoteRef/>
      </w:r>
      <w:r>
        <w:t xml:space="preserve"> </w:t>
      </w:r>
      <w:proofErr w:type="spellStart"/>
      <w:r>
        <w:t>Wilcken</w:t>
      </w:r>
      <w:proofErr w:type="spellEnd"/>
      <w:r>
        <w:t xml:space="preserve"> 1997: ix-xi</w:t>
      </w:r>
    </w:p>
  </w:footnote>
  <w:footnote w:id="3">
    <w:p w14:paraId="07D933F6" w14:textId="77777777" w:rsidR="00D75DD3" w:rsidRDefault="00D75DD3" w:rsidP="00D75DD3">
      <w:pPr>
        <w:pStyle w:val="FootnoteText"/>
      </w:pPr>
      <w:r>
        <w:rPr>
          <w:rStyle w:val="FootnoteReference"/>
        </w:rPr>
        <w:footnoteRef/>
      </w:r>
      <w:r>
        <w:t xml:space="preserve"> Rogers 2004: 74</w:t>
      </w:r>
    </w:p>
  </w:footnote>
  <w:footnote w:id="4">
    <w:p w14:paraId="4000B52F" w14:textId="77777777" w:rsidR="00D75DD3" w:rsidRDefault="00D75DD3" w:rsidP="00D75DD3">
      <w:pPr>
        <w:pStyle w:val="FootnoteText"/>
      </w:pPr>
      <w:r>
        <w:rPr>
          <w:rStyle w:val="FootnoteReference"/>
        </w:rPr>
        <w:footnoteRef/>
      </w:r>
      <w:r>
        <w:t xml:space="preserve"> Rogers 2004: 42</w:t>
      </w:r>
    </w:p>
  </w:footnote>
  <w:footnote w:id="5">
    <w:p w14:paraId="68D2E08C" w14:textId="3536A6D2" w:rsidR="004D215B" w:rsidRDefault="004D215B">
      <w:pPr>
        <w:pStyle w:val="FootnoteText"/>
      </w:pPr>
      <w:r>
        <w:rPr>
          <w:rStyle w:val="FootnoteReference"/>
        </w:rPr>
        <w:footnoteRef/>
      </w:r>
      <w:r>
        <w:t xml:space="preserve"> </w:t>
      </w:r>
      <w:proofErr w:type="spellStart"/>
      <w:r w:rsidR="007141B0">
        <w:t>Wilcken</w:t>
      </w:r>
      <w:proofErr w:type="spellEnd"/>
      <w:r w:rsidR="007141B0">
        <w:t xml:space="preserve"> 1997: 57</w:t>
      </w:r>
    </w:p>
  </w:footnote>
  <w:footnote w:id="6">
    <w:p w14:paraId="3AA9C95B" w14:textId="2393F21C" w:rsidR="004D215B" w:rsidRPr="004D215B" w:rsidRDefault="004D215B">
      <w:pPr>
        <w:pStyle w:val="FootnoteText"/>
      </w:pPr>
      <w:r>
        <w:rPr>
          <w:rStyle w:val="FootnoteReference"/>
        </w:rPr>
        <w:footnoteRef/>
      </w:r>
      <w:r>
        <w:t xml:space="preserve"> </w:t>
      </w:r>
      <w:proofErr w:type="spellStart"/>
      <w:r>
        <w:t>Hom</w:t>
      </w:r>
      <w:proofErr w:type="spellEnd"/>
      <w:r>
        <w:t xml:space="preserve">. </w:t>
      </w:r>
      <w:r w:rsidRPr="004D215B">
        <w:rPr>
          <w:i/>
        </w:rPr>
        <w:t>Il.</w:t>
      </w:r>
      <w:r>
        <w:rPr>
          <w:i/>
        </w:rPr>
        <w:t xml:space="preserve"> </w:t>
      </w:r>
      <w:r>
        <w:t>5.529</w:t>
      </w:r>
    </w:p>
  </w:footnote>
  <w:footnote w:id="7">
    <w:p w14:paraId="186D6764" w14:textId="23E74A8D" w:rsidR="009452B7" w:rsidRDefault="009452B7">
      <w:pPr>
        <w:pStyle w:val="FootnoteText"/>
      </w:pPr>
      <w:r>
        <w:rPr>
          <w:rStyle w:val="FootnoteReference"/>
        </w:rPr>
        <w:footnoteRef/>
      </w:r>
      <w:r>
        <w:t xml:space="preserve"> Kinsella, Ritchie, and Igou 2015: </w:t>
      </w:r>
      <w:r w:rsidR="00BD7B3B">
        <w:t>114</w:t>
      </w:r>
    </w:p>
  </w:footnote>
  <w:footnote w:id="8">
    <w:p w14:paraId="6BC0DDFB" w14:textId="3C8C8702" w:rsidR="001031A9" w:rsidRDefault="001031A9">
      <w:pPr>
        <w:pStyle w:val="FootnoteText"/>
      </w:pPr>
      <w:r>
        <w:rPr>
          <w:rStyle w:val="FootnoteReference"/>
        </w:rPr>
        <w:footnoteRef/>
      </w:r>
      <w:r>
        <w:t xml:space="preserve"> Edmunds 1971: 363</w:t>
      </w:r>
    </w:p>
  </w:footnote>
  <w:footnote w:id="9">
    <w:p w14:paraId="65439CB5" w14:textId="211EAADB" w:rsidR="001031A9" w:rsidRDefault="001031A9">
      <w:pPr>
        <w:pStyle w:val="FootnoteText"/>
      </w:pPr>
      <w:r>
        <w:rPr>
          <w:rStyle w:val="FootnoteReference"/>
        </w:rPr>
        <w:footnoteRef/>
      </w:r>
      <w:r>
        <w:t xml:space="preserve"> </w:t>
      </w:r>
      <w:proofErr w:type="spellStart"/>
      <w:r>
        <w:t>Diod</w:t>
      </w:r>
      <w:proofErr w:type="spellEnd"/>
      <w:r>
        <w:t>.</w:t>
      </w:r>
      <w:r w:rsidR="002056F3">
        <w:t xml:space="preserve"> Sic.</w:t>
      </w:r>
      <w:r>
        <w:t xml:space="preserve"> 17.17</w:t>
      </w:r>
    </w:p>
  </w:footnote>
  <w:footnote w:id="10">
    <w:p w14:paraId="3416427E" w14:textId="523F14AD" w:rsidR="001031A9" w:rsidRDefault="001031A9">
      <w:pPr>
        <w:pStyle w:val="FootnoteText"/>
      </w:pPr>
      <w:r>
        <w:rPr>
          <w:rStyle w:val="FootnoteReference"/>
        </w:rPr>
        <w:footnoteRef/>
      </w:r>
      <w:r>
        <w:t xml:space="preserve"> </w:t>
      </w:r>
      <w:proofErr w:type="spellStart"/>
      <w:r>
        <w:t>Diod</w:t>
      </w:r>
      <w:proofErr w:type="spellEnd"/>
      <w:r>
        <w:t>.</w:t>
      </w:r>
      <w:r w:rsidR="002056F3">
        <w:t xml:space="preserve"> Sic.</w:t>
      </w:r>
      <w:r>
        <w:t xml:space="preserve"> 17.17</w:t>
      </w:r>
      <w:r w:rsidR="00EC5974">
        <w:t>; Mossman 1988: 83</w:t>
      </w:r>
      <w:r w:rsidR="004D2250">
        <w:t>; O’Brien 1993: 21</w:t>
      </w:r>
    </w:p>
  </w:footnote>
  <w:footnote w:id="11">
    <w:p w14:paraId="021CE50F" w14:textId="068AAD3A" w:rsidR="00A212AD" w:rsidRDefault="00A212AD">
      <w:pPr>
        <w:pStyle w:val="FootnoteText"/>
      </w:pPr>
      <w:r>
        <w:rPr>
          <w:rStyle w:val="FootnoteReference"/>
        </w:rPr>
        <w:footnoteRef/>
      </w:r>
      <w:r>
        <w:t xml:space="preserve"> </w:t>
      </w:r>
      <w:proofErr w:type="spellStart"/>
      <w:r>
        <w:t>Hom</w:t>
      </w:r>
      <w:proofErr w:type="spellEnd"/>
      <w:r>
        <w:t xml:space="preserve">. </w:t>
      </w:r>
      <w:r w:rsidRPr="00A212AD">
        <w:rPr>
          <w:i/>
        </w:rPr>
        <w:t>Il.</w:t>
      </w:r>
      <w:r>
        <w:t xml:space="preserve"> 21.200</w:t>
      </w:r>
    </w:p>
  </w:footnote>
  <w:footnote w:id="12">
    <w:p w14:paraId="45E48126" w14:textId="39B8CC0D" w:rsidR="00A212AD" w:rsidRPr="00A212AD" w:rsidRDefault="00A212AD">
      <w:pPr>
        <w:pStyle w:val="FootnoteText"/>
      </w:pPr>
      <w:r>
        <w:rPr>
          <w:rStyle w:val="FootnoteReference"/>
        </w:rPr>
        <w:footnoteRef/>
      </w:r>
      <w:r>
        <w:t xml:space="preserve"> </w:t>
      </w:r>
      <w:proofErr w:type="spellStart"/>
      <w:r>
        <w:t>Hom</w:t>
      </w:r>
      <w:proofErr w:type="spellEnd"/>
      <w:r>
        <w:t xml:space="preserve">. </w:t>
      </w:r>
      <w:r w:rsidRPr="00A212AD">
        <w:rPr>
          <w:i/>
        </w:rPr>
        <w:t>Il.</w:t>
      </w:r>
      <w:r w:rsidR="00F62E8B">
        <w:rPr>
          <w:i/>
        </w:rPr>
        <w:t xml:space="preserve"> </w:t>
      </w:r>
      <w:r w:rsidR="00F62E8B">
        <w:t>21.200</w:t>
      </w:r>
      <w:r>
        <w:t xml:space="preserve">; </w:t>
      </w:r>
      <w:proofErr w:type="spellStart"/>
      <w:r>
        <w:t>Aristot</w:t>
      </w:r>
      <w:proofErr w:type="spellEnd"/>
      <w:r>
        <w:t xml:space="preserve">. </w:t>
      </w:r>
      <w:r w:rsidRPr="00A212AD">
        <w:rPr>
          <w:i/>
        </w:rPr>
        <w:t>Nic. Eth.</w:t>
      </w:r>
      <w:r>
        <w:t xml:space="preserve"> 2.2</w:t>
      </w:r>
    </w:p>
  </w:footnote>
  <w:footnote w:id="13">
    <w:p w14:paraId="56A6A7C9" w14:textId="358B1D81" w:rsidR="00EC5974" w:rsidRDefault="00EC5974">
      <w:pPr>
        <w:pStyle w:val="FootnoteText"/>
      </w:pPr>
      <w:r>
        <w:rPr>
          <w:rStyle w:val="FootnoteReference"/>
        </w:rPr>
        <w:footnoteRef/>
      </w:r>
      <w:r>
        <w:t xml:space="preserve"> Mossman 1988: 83</w:t>
      </w:r>
    </w:p>
  </w:footnote>
  <w:footnote w:id="14">
    <w:p w14:paraId="1DA5CEAB" w14:textId="7C6B8DE1" w:rsidR="00FE5146" w:rsidRDefault="00FE5146">
      <w:pPr>
        <w:pStyle w:val="FootnoteText"/>
      </w:pPr>
      <w:r>
        <w:rPr>
          <w:rStyle w:val="FootnoteReference"/>
        </w:rPr>
        <w:footnoteRef/>
      </w:r>
      <w:r>
        <w:t xml:space="preserve"> Lawrence 2005: 33; </w:t>
      </w:r>
      <w:proofErr w:type="spellStart"/>
      <w:r>
        <w:t>Zanker</w:t>
      </w:r>
      <w:proofErr w:type="spellEnd"/>
      <w:r>
        <w:t xml:space="preserve"> 1992: 20-21</w:t>
      </w:r>
    </w:p>
  </w:footnote>
  <w:footnote w:id="15">
    <w:p w14:paraId="6F0CADB4" w14:textId="672BBA26" w:rsidR="001062B8" w:rsidRDefault="001062B8">
      <w:pPr>
        <w:pStyle w:val="FootnoteText"/>
      </w:pPr>
      <w:r>
        <w:rPr>
          <w:rStyle w:val="FootnoteReference"/>
        </w:rPr>
        <w:footnoteRef/>
      </w:r>
      <w:r>
        <w:t xml:space="preserve"> Lawrence 2005: 18</w:t>
      </w:r>
    </w:p>
  </w:footnote>
  <w:footnote w:id="16">
    <w:p w14:paraId="4AC2C2DC" w14:textId="0D29BB6F" w:rsidR="001541FA" w:rsidRDefault="001541FA">
      <w:pPr>
        <w:pStyle w:val="FootnoteText"/>
      </w:pPr>
      <w:r>
        <w:rPr>
          <w:rStyle w:val="FootnoteReference"/>
        </w:rPr>
        <w:footnoteRef/>
      </w:r>
      <w:r>
        <w:t xml:space="preserve"> Irwin 1995: 40</w:t>
      </w:r>
    </w:p>
  </w:footnote>
  <w:footnote w:id="17">
    <w:p w14:paraId="1789E577" w14:textId="3B95B78D" w:rsidR="004642FC" w:rsidRDefault="004642FC">
      <w:pPr>
        <w:pStyle w:val="FootnoteText"/>
      </w:pPr>
      <w:r>
        <w:rPr>
          <w:rStyle w:val="FootnoteReference"/>
        </w:rPr>
        <w:footnoteRef/>
      </w:r>
      <w:r>
        <w:t xml:space="preserve"> Irwin 1995: 43</w:t>
      </w:r>
    </w:p>
  </w:footnote>
  <w:footnote w:id="18">
    <w:p w14:paraId="096174D3" w14:textId="77777777" w:rsidR="00EF0DE7" w:rsidRDefault="00EF0DE7" w:rsidP="00EF0DE7">
      <w:pPr>
        <w:pStyle w:val="FootnoteText"/>
      </w:pPr>
      <w:r>
        <w:rPr>
          <w:rStyle w:val="FootnoteReference"/>
        </w:rPr>
        <w:footnoteRef/>
      </w:r>
      <w:r>
        <w:t xml:space="preserve"> </w:t>
      </w:r>
      <w:proofErr w:type="spellStart"/>
      <w:r>
        <w:t>Curzer</w:t>
      </w:r>
      <w:proofErr w:type="spellEnd"/>
      <w:r>
        <w:t xml:space="preserve"> 2017: 267-268</w:t>
      </w:r>
    </w:p>
  </w:footnote>
  <w:footnote w:id="19">
    <w:p w14:paraId="2C4674C8" w14:textId="3B557D52" w:rsidR="004642FC" w:rsidRDefault="004642FC">
      <w:pPr>
        <w:pStyle w:val="FootnoteText"/>
      </w:pPr>
      <w:r>
        <w:rPr>
          <w:rStyle w:val="FootnoteReference"/>
        </w:rPr>
        <w:footnoteRef/>
      </w:r>
      <w:r>
        <w:t xml:space="preserve"> Irwin 1995: 43</w:t>
      </w:r>
    </w:p>
  </w:footnote>
  <w:footnote w:id="20">
    <w:p w14:paraId="53DF044C" w14:textId="752E28D5" w:rsidR="00D6681E" w:rsidRDefault="00D6681E">
      <w:pPr>
        <w:pStyle w:val="FootnoteText"/>
      </w:pPr>
      <w:r>
        <w:rPr>
          <w:rStyle w:val="FootnoteReference"/>
        </w:rPr>
        <w:footnoteRef/>
      </w:r>
      <w:r>
        <w:t xml:space="preserve"> Irwin 1995: 194-195                </w:t>
      </w:r>
    </w:p>
  </w:footnote>
  <w:footnote w:id="21">
    <w:p w14:paraId="775ADB9C" w14:textId="7EDC83D1" w:rsidR="00D6681E" w:rsidRDefault="00D6681E">
      <w:pPr>
        <w:pStyle w:val="FootnoteText"/>
      </w:pPr>
      <w:r>
        <w:rPr>
          <w:rStyle w:val="FootnoteReference"/>
        </w:rPr>
        <w:footnoteRef/>
      </w:r>
      <w:r>
        <w:t xml:space="preserve"> Irwin 1995: 194-195</w:t>
      </w:r>
    </w:p>
  </w:footnote>
  <w:footnote w:id="22">
    <w:p w14:paraId="04E6D553" w14:textId="2F4BE041" w:rsidR="000F01F6" w:rsidRDefault="000F01F6">
      <w:pPr>
        <w:pStyle w:val="FootnoteText"/>
      </w:pPr>
      <w:r>
        <w:rPr>
          <w:rStyle w:val="FootnoteReference"/>
        </w:rPr>
        <w:footnoteRef/>
      </w:r>
      <w:r>
        <w:t xml:space="preserve"> </w:t>
      </w:r>
      <w:proofErr w:type="spellStart"/>
      <w:r>
        <w:t>Nawotka</w:t>
      </w:r>
      <w:proofErr w:type="spellEnd"/>
      <w:r>
        <w:t xml:space="preserve"> 2010: 38</w:t>
      </w:r>
    </w:p>
  </w:footnote>
  <w:footnote w:id="23">
    <w:p w14:paraId="17B74AE7" w14:textId="019C6A48" w:rsidR="00E4426F" w:rsidRDefault="00E4426F">
      <w:pPr>
        <w:pStyle w:val="FootnoteText"/>
      </w:pPr>
      <w:r>
        <w:rPr>
          <w:rStyle w:val="FootnoteReference"/>
        </w:rPr>
        <w:footnoteRef/>
      </w:r>
      <w:r>
        <w:t xml:space="preserve"> </w:t>
      </w:r>
      <w:proofErr w:type="spellStart"/>
      <w:r>
        <w:t>Nawotka</w:t>
      </w:r>
      <w:proofErr w:type="spellEnd"/>
      <w:r>
        <w:t xml:space="preserve"> 2010: 39</w:t>
      </w:r>
    </w:p>
  </w:footnote>
  <w:footnote w:id="24">
    <w:p w14:paraId="688D83CE" w14:textId="38CFDEA8" w:rsidR="008F6DF9" w:rsidRDefault="008F6DF9">
      <w:pPr>
        <w:pStyle w:val="FootnoteText"/>
      </w:pPr>
      <w:r>
        <w:rPr>
          <w:rStyle w:val="FootnoteReference"/>
        </w:rPr>
        <w:footnoteRef/>
      </w:r>
      <w:r>
        <w:t xml:space="preserve"> Sherman 1999: vii</w:t>
      </w:r>
    </w:p>
  </w:footnote>
  <w:footnote w:id="25">
    <w:p w14:paraId="54B5D843" w14:textId="67681ED1" w:rsidR="0040466E" w:rsidRDefault="0040466E">
      <w:pPr>
        <w:pStyle w:val="FootnoteText"/>
      </w:pPr>
      <w:r>
        <w:rPr>
          <w:rStyle w:val="FootnoteReference"/>
        </w:rPr>
        <w:footnoteRef/>
      </w:r>
      <w:r>
        <w:t xml:space="preserve"> Ward 2015: 18</w:t>
      </w:r>
    </w:p>
  </w:footnote>
  <w:footnote w:id="26">
    <w:p w14:paraId="1C82876B" w14:textId="320324A7" w:rsidR="0040466E" w:rsidRDefault="0040466E">
      <w:pPr>
        <w:pStyle w:val="FootnoteText"/>
      </w:pPr>
      <w:r>
        <w:rPr>
          <w:rStyle w:val="FootnoteReference"/>
        </w:rPr>
        <w:footnoteRef/>
      </w:r>
      <w:r>
        <w:t xml:space="preserve"> Ward 2015: 18</w:t>
      </w:r>
    </w:p>
  </w:footnote>
  <w:footnote w:id="27">
    <w:p w14:paraId="107B08EB" w14:textId="5D253903" w:rsidR="0040466E" w:rsidRDefault="0040466E">
      <w:pPr>
        <w:pStyle w:val="FootnoteText"/>
      </w:pPr>
      <w:r>
        <w:rPr>
          <w:rStyle w:val="FootnoteReference"/>
        </w:rPr>
        <w:footnoteRef/>
      </w:r>
      <w:r>
        <w:t xml:space="preserve"> Ward 2015: 18</w:t>
      </w:r>
    </w:p>
  </w:footnote>
  <w:footnote w:id="28">
    <w:p w14:paraId="2446F7EB" w14:textId="3CE8A8A0" w:rsidR="00162393" w:rsidRPr="00162393" w:rsidRDefault="00162393">
      <w:pPr>
        <w:pStyle w:val="FootnoteText"/>
      </w:pPr>
      <w:r>
        <w:rPr>
          <w:rStyle w:val="FootnoteReference"/>
        </w:rPr>
        <w:footnoteRef/>
      </w:r>
      <w:r>
        <w:t xml:space="preserve"> </w:t>
      </w:r>
      <w:proofErr w:type="spellStart"/>
      <w:r>
        <w:t>Aristot</w:t>
      </w:r>
      <w:proofErr w:type="spellEnd"/>
      <w:r>
        <w:t xml:space="preserve">. </w:t>
      </w:r>
      <w:r w:rsidRPr="00162393">
        <w:rPr>
          <w:i/>
        </w:rPr>
        <w:t>Nic. Eth.</w:t>
      </w:r>
      <w:r>
        <w:rPr>
          <w:i/>
        </w:rPr>
        <w:t xml:space="preserve"> </w:t>
      </w:r>
      <w:r>
        <w:t>6.5</w:t>
      </w:r>
    </w:p>
  </w:footnote>
  <w:footnote w:id="29">
    <w:p w14:paraId="11763D42" w14:textId="43215089" w:rsidR="0038731C" w:rsidRDefault="0038731C">
      <w:pPr>
        <w:pStyle w:val="FootnoteText"/>
      </w:pPr>
      <w:r>
        <w:rPr>
          <w:rStyle w:val="FootnoteReference"/>
        </w:rPr>
        <w:footnoteRef/>
      </w:r>
      <w:r>
        <w:t xml:space="preserve"> </w:t>
      </w:r>
      <w:proofErr w:type="spellStart"/>
      <w:r>
        <w:t>Urmson</w:t>
      </w:r>
      <w:proofErr w:type="spellEnd"/>
      <w:r>
        <w:t xml:space="preserve"> 1980: 170; Pears 1980: 171</w:t>
      </w:r>
    </w:p>
  </w:footnote>
  <w:footnote w:id="30">
    <w:p w14:paraId="3FA4244E" w14:textId="20206A85" w:rsidR="00307ECE" w:rsidRDefault="00307ECE">
      <w:pPr>
        <w:pStyle w:val="FootnoteText"/>
      </w:pPr>
      <w:r>
        <w:rPr>
          <w:rStyle w:val="FootnoteReference"/>
        </w:rPr>
        <w:footnoteRef/>
      </w:r>
      <w:r>
        <w:t xml:space="preserve"> </w:t>
      </w:r>
      <w:proofErr w:type="spellStart"/>
      <w:r>
        <w:t>Urmson</w:t>
      </w:r>
      <w:proofErr w:type="spellEnd"/>
      <w:r>
        <w:t xml:space="preserve"> 1980: 170</w:t>
      </w:r>
    </w:p>
  </w:footnote>
  <w:footnote w:id="31">
    <w:p w14:paraId="3AE15909" w14:textId="23B34E05" w:rsidR="000C7941" w:rsidRDefault="000C7941">
      <w:pPr>
        <w:pStyle w:val="FootnoteText"/>
      </w:pPr>
      <w:r>
        <w:rPr>
          <w:rStyle w:val="FootnoteReference"/>
        </w:rPr>
        <w:footnoteRef/>
      </w:r>
      <w:r>
        <w:t xml:space="preserve"> </w:t>
      </w:r>
      <w:proofErr w:type="spellStart"/>
      <w:r>
        <w:t>Apressyan</w:t>
      </w:r>
      <w:proofErr w:type="spellEnd"/>
      <w:r>
        <w:t xml:space="preserve"> </w:t>
      </w:r>
      <w:r w:rsidR="005D1574">
        <w:t xml:space="preserve">2016: </w:t>
      </w:r>
      <w:r>
        <w:t>461</w:t>
      </w:r>
      <w:r w:rsidR="005D1574">
        <w:t>,</w:t>
      </w:r>
      <w:r>
        <w:t>467</w:t>
      </w:r>
      <w:r w:rsidR="005D1574">
        <w:t>-468</w:t>
      </w:r>
    </w:p>
  </w:footnote>
  <w:footnote w:id="32">
    <w:p w14:paraId="13067804" w14:textId="37E95E68" w:rsidR="005F7D4D" w:rsidRDefault="005F7D4D">
      <w:pPr>
        <w:pStyle w:val="FootnoteText"/>
      </w:pPr>
      <w:r>
        <w:rPr>
          <w:rStyle w:val="FootnoteReference"/>
        </w:rPr>
        <w:footnoteRef/>
      </w:r>
      <w:r>
        <w:t xml:space="preserve"> Pears 1980: 174-177</w:t>
      </w:r>
    </w:p>
  </w:footnote>
  <w:footnote w:id="33">
    <w:p w14:paraId="35ADA0E4" w14:textId="6B1190D1" w:rsidR="00F7209C" w:rsidRPr="00F7209C" w:rsidRDefault="00F7209C">
      <w:pPr>
        <w:pStyle w:val="FootnoteText"/>
      </w:pPr>
      <w:r>
        <w:rPr>
          <w:rStyle w:val="FootnoteReference"/>
        </w:rPr>
        <w:footnoteRef/>
      </w:r>
      <w:r>
        <w:t xml:space="preserve"> </w:t>
      </w:r>
      <w:proofErr w:type="spellStart"/>
      <w:r>
        <w:t>Aristot</w:t>
      </w:r>
      <w:proofErr w:type="spellEnd"/>
      <w:r>
        <w:t xml:space="preserve">. </w:t>
      </w:r>
      <w:r w:rsidRPr="00162393">
        <w:rPr>
          <w:i/>
        </w:rPr>
        <w:t>Nic. Eth</w:t>
      </w:r>
      <w:r>
        <w:rPr>
          <w:i/>
        </w:rPr>
        <w:t xml:space="preserve">. </w:t>
      </w:r>
      <w:r>
        <w:t>3.8</w:t>
      </w:r>
    </w:p>
  </w:footnote>
  <w:footnote w:id="34">
    <w:p w14:paraId="5F4A1B8A" w14:textId="6A43E34B" w:rsidR="000C7941" w:rsidRPr="000C7941" w:rsidRDefault="000C7941">
      <w:pPr>
        <w:pStyle w:val="FootnoteText"/>
      </w:pPr>
      <w:r>
        <w:rPr>
          <w:rStyle w:val="FootnoteReference"/>
        </w:rPr>
        <w:footnoteRef/>
      </w:r>
      <w:r>
        <w:t xml:space="preserve"> </w:t>
      </w:r>
      <w:proofErr w:type="spellStart"/>
      <w:r>
        <w:t>Aristot</w:t>
      </w:r>
      <w:proofErr w:type="spellEnd"/>
      <w:r>
        <w:t xml:space="preserve">. </w:t>
      </w:r>
      <w:r w:rsidRPr="00162393">
        <w:rPr>
          <w:i/>
        </w:rPr>
        <w:t>Nic. Eth</w:t>
      </w:r>
      <w:r>
        <w:rPr>
          <w:i/>
        </w:rPr>
        <w:t xml:space="preserve">. </w:t>
      </w:r>
      <w:r>
        <w:t>3.8.5</w:t>
      </w:r>
    </w:p>
  </w:footnote>
  <w:footnote w:id="35">
    <w:p w14:paraId="76F29C01" w14:textId="1F5C357E" w:rsidR="000C7941" w:rsidRPr="000C7941" w:rsidRDefault="000C7941">
      <w:pPr>
        <w:pStyle w:val="FootnoteText"/>
      </w:pPr>
      <w:r>
        <w:rPr>
          <w:rStyle w:val="FootnoteReference"/>
        </w:rPr>
        <w:footnoteRef/>
      </w:r>
      <w:r>
        <w:t xml:space="preserve"> </w:t>
      </w:r>
      <w:proofErr w:type="spellStart"/>
      <w:r>
        <w:t>Aristot</w:t>
      </w:r>
      <w:proofErr w:type="spellEnd"/>
      <w:r>
        <w:t xml:space="preserve">. </w:t>
      </w:r>
      <w:r w:rsidRPr="00162393">
        <w:rPr>
          <w:i/>
        </w:rPr>
        <w:t>Nic. Eth</w:t>
      </w:r>
      <w:r>
        <w:rPr>
          <w:i/>
        </w:rPr>
        <w:t xml:space="preserve">. </w:t>
      </w:r>
      <w:r>
        <w:t>3.8.10-11</w:t>
      </w:r>
    </w:p>
  </w:footnote>
  <w:footnote w:id="36">
    <w:p w14:paraId="3564AB7A" w14:textId="18E1BEC0" w:rsidR="00B364A1" w:rsidRDefault="00B364A1">
      <w:pPr>
        <w:pStyle w:val="FootnoteText"/>
      </w:pPr>
      <w:r>
        <w:rPr>
          <w:rStyle w:val="FootnoteReference"/>
        </w:rPr>
        <w:footnoteRef/>
      </w:r>
      <w:r>
        <w:t xml:space="preserve"> </w:t>
      </w:r>
      <w:proofErr w:type="spellStart"/>
      <w:r>
        <w:t>Zambrini</w:t>
      </w:r>
      <w:proofErr w:type="spellEnd"/>
      <w:r>
        <w:t xml:space="preserve"> 2007: 211</w:t>
      </w:r>
    </w:p>
  </w:footnote>
  <w:footnote w:id="37">
    <w:p w14:paraId="60CEDC47" w14:textId="1276CF76" w:rsidR="005D6E8B" w:rsidRDefault="005D6E8B">
      <w:pPr>
        <w:pStyle w:val="FootnoteText"/>
      </w:pPr>
      <w:r>
        <w:rPr>
          <w:rStyle w:val="FootnoteReference"/>
        </w:rPr>
        <w:footnoteRef/>
      </w:r>
      <w:r>
        <w:t xml:space="preserve"> </w:t>
      </w:r>
      <w:r w:rsidR="0097205E">
        <w:t xml:space="preserve">Steele 1920; </w:t>
      </w:r>
      <w:r>
        <w:t>282</w:t>
      </w:r>
      <w:r w:rsidR="00635E8E">
        <w:t xml:space="preserve">; </w:t>
      </w:r>
      <w:proofErr w:type="spellStart"/>
      <w:r w:rsidR="00635E8E">
        <w:t>Hau</w:t>
      </w:r>
      <w:proofErr w:type="spellEnd"/>
      <w:r w:rsidR="00635E8E">
        <w:t xml:space="preserve"> 2016: 73</w:t>
      </w:r>
    </w:p>
  </w:footnote>
  <w:footnote w:id="38">
    <w:p w14:paraId="1C427621" w14:textId="187B4EBF" w:rsidR="00287CEF" w:rsidRDefault="00287CEF">
      <w:pPr>
        <w:pStyle w:val="FootnoteText"/>
      </w:pPr>
      <w:r>
        <w:rPr>
          <w:rStyle w:val="FootnoteReference"/>
        </w:rPr>
        <w:footnoteRef/>
      </w:r>
      <w:r>
        <w:t xml:space="preserve"> </w:t>
      </w:r>
      <w:proofErr w:type="spellStart"/>
      <w:r>
        <w:t>Hau</w:t>
      </w:r>
      <w:proofErr w:type="spellEnd"/>
      <w:r>
        <w:t xml:space="preserve"> 2016: 74</w:t>
      </w:r>
    </w:p>
  </w:footnote>
  <w:footnote w:id="39">
    <w:p w14:paraId="43ED52D2" w14:textId="3A43FA7F" w:rsidR="00287CEF" w:rsidRDefault="00287CEF">
      <w:pPr>
        <w:pStyle w:val="FootnoteText"/>
      </w:pPr>
      <w:r>
        <w:rPr>
          <w:rStyle w:val="FootnoteReference"/>
        </w:rPr>
        <w:footnoteRef/>
      </w:r>
      <w:r>
        <w:t xml:space="preserve"> </w:t>
      </w:r>
      <w:proofErr w:type="spellStart"/>
      <w:r>
        <w:t>Hau</w:t>
      </w:r>
      <w:proofErr w:type="spellEnd"/>
      <w:r>
        <w:t xml:space="preserve"> 2016: 74; </w:t>
      </w:r>
      <w:proofErr w:type="spellStart"/>
      <w:r>
        <w:t>Diod</w:t>
      </w:r>
      <w:proofErr w:type="spellEnd"/>
      <w:r>
        <w:t>.</w:t>
      </w:r>
      <w:r w:rsidR="002056F3">
        <w:t xml:space="preserve"> Sic.</w:t>
      </w:r>
      <w:r>
        <w:t xml:space="preserve"> 17.60, </w:t>
      </w:r>
      <w:r w:rsidR="00BA23C4">
        <w:t>17.</w:t>
      </w:r>
      <w:r>
        <w:t>70-72</w:t>
      </w:r>
    </w:p>
  </w:footnote>
  <w:footnote w:id="40">
    <w:p w14:paraId="6BD4FCEE" w14:textId="3FA8F73D" w:rsidR="00023B51" w:rsidRDefault="00023B51">
      <w:pPr>
        <w:pStyle w:val="FootnoteText"/>
      </w:pPr>
      <w:r>
        <w:rPr>
          <w:rStyle w:val="FootnoteReference"/>
        </w:rPr>
        <w:footnoteRef/>
      </w:r>
      <w:r>
        <w:t xml:space="preserve"> </w:t>
      </w:r>
      <w:proofErr w:type="spellStart"/>
      <w:r>
        <w:t>Zambrini</w:t>
      </w:r>
      <w:proofErr w:type="spellEnd"/>
      <w:r>
        <w:t xml:space="preserve"> 2007: 217</w:t>
      </w:r>
    </w:p>
  </w:footnote>
  <w:footnote w:id="41">
    <w:p w14:paraId="76CFDA7A" w14:textId="423A6183" w:rsidR="0028498B" w:rsidRDefault="0028498B">
      <w:pPr>
        <w:pStyle w:val="FootnoteText"/>
      </w:pPr>
      <w:r>
        <w:rPr>
          <w:rStyle w:val="FootnoteReference"/>
        </w:rPr>
        <w:footnoteRef/>
      </w:r>
      <w:r>
        <w:t xml:space="preserve"> Bosworth 2007: 447</w:t>
      </w:r>
    </w:p>
  </w:footnote>
  <w:footnote w:id="42">
    <w:p w14:paraId="59D2778E" w14:textId="76DA6AE8" w:rsidR="0028498B" w:rsidRDefault="0028498B">
      <w:pPr>
        <w:pStyle w:val="FootnoteText"/>
      </w:pPr>
      <w:r>
        <w:rPr>
          <w:rStyle w:val="FootnoteReference"/>
        </w:rPr>
        <w:footnoteRef/>
      </w:r>
      <w:r>
        <w:t xml:space="preserve"> Bosworth 2007: 447-448</w:t>
      </w:r>
    </w:p>
  </w:footnote>
  <w:footnote w:id="43">
    <w:p w14:paraId="2C0263AA" w14:textId="7F962C5E" w:rsidR="00023B51" w:rsidRDefault="00023B51">
      <w:pPr>
        <w:pStyle w:val="FootnoteText"/>
      </w:pPr>
      <w:r>
        <w:rPr>
          <w:rStyle w:val="FootnoteReference"/>
        </w:rPr>
        <w:footnoteRef/>
      </w:r>
      <w:r>
        <w:t xml:space="preserve"> </w:t>
      </w:r>
      <w:proofErr w:type="spellStart"/>
      <w:r>
        <w:t>Plut</w:t>
      </w:r>
      <w:proofErr w:type="spellEnd"/>
      <w:r>
        <w:t xml:space="preserve">. </w:t>
      </w:r>
      <w:r w:rsidRPr="00023B51">
        <w:rPr>
          <w:i/>
        </w:rPr>
        <w:t>Alex.</w:t>
      </w:r>
      <w:r>
        <w:t xml:space="preserve"> 1; Pitcher 2007: 102</w:t>
      </w:r>
    </w:p>
  </w:footnote>
  <w:footnote w:id="44">
    <w:p w14:paraId="487E6EED" w14:textId="612AD5FA" w:rsidR="006759F8" w:rsidRDefault="006759F8">
      <w:pPr>
        <w:pStyle w:val="FootnoteText"/>
      </w:pPr>
      <w:r>
        <w:rPr>
          <w:rStyle w:val="FootnoteReference"/>
        </w:rPr>
        <w:footnoteRef/>
      </w:r>
      <w:r>
        <w:t xml:space="preserve"> Powell 1939: 229-231</w:t>
      </w:r>
    </w:p>
  </w:footnote>
  <w:footnote w:id="45">
    <w:p w14:paraId="3B4C2F8C" w14:textId="5A9DA844" w:rsidR="00035A3B" w:rsidRDefault="00035A3B">
      <w:pPr>
        <w:pStyle w:val="FootnoteText"/>
      </w:pPr>
      <w:r>
        <w:rPr>
          <w:rStyle w:val="FootnoteReference"/>
        </w:rPr>
        <w:footnoteRef/>
      </w:r>
      <w:r>
        <w:t xml:space="preserve"> </w:t>
      </w:r>
      <w:proofErr w:type="spellStart"/>
      <w:r>
        <w:t>Plut</w:t>
      </w:r>
      <w:proofErr w:type="spellEnd"/>
      <w:r>
        <w:t xml:space="preserve">. </w:t>
      </w:r>
      <w:r w:rsidRPr="00035A3B">
        <w:rPr>
          <w:i/>
        </w:rPr>
        <w:t>Alex</w:t>
      </w:r>
      <w:r>
        <w:t xml:space="preserve">. 31.3; </w:t>
      </w:r>
      <w:proofErr w:type="spellStart"/>
      <w:r>
        <w:t>Wilcken</w:t>
      </w:r>
      <w:proofErr w:type="spellEnd"/>
      <w:r>
        <w:t xml:space="preserve"> 1997: 134</w:t>
      </w:r>
    </w:p>
  </w:footnote>
  <w:footnote w:id="46">
    <w:p w14:paraId="4345BFA5" w14:textId="71207220" w:rsidR="009405FA" w:rsidRDefault="009405FA">
      <w:pPr>
        <w:pStyle w:val="FootnoteText"/>
      </w:pPr>
      <w:r>
        <w:rPr>
          <w:rStyle w:val="FootnoteReference"/>
        </w:rPr>
        <w:footnoteRef/>
      </w:r>
      <w:r>
        <w:t xml:space="preserve"> Diod. 17.53,</w:t>
      </w:r>
      <w:r w:rsidR="00776932">
        <w:t xml:space="preserve"> </w:t>
      </w:r>
      <w:r w:rsidR="00BA23C4">
        <w:t>17.</w:t>
      </w:r>
      <w:r>
        <w:t>73</w:t>
      </w:r>
    </w:p>
  </w:footnote>
  <w:footnote w:id="47">
    <w:p w14:paraId="6D39094E" w14:textId="6A205DEA" w:rsidR="00683819" w:rsidRPr="00683819" w:rsidRDefault="00683819">
      <w:pPr>
        <w:pStyle w:val="FootnoteText"/>
      </w:pPr>
      <w:r>
        <w:rPr>
          <w:rStyle w:val="FootnoteReference"/>
        </w:rPr>
        <w:footnoteRef/>
      </w:r>
      <w:r>
        <w:t xml:space="preserve"> Just. </w:t>
      </w:r>
      <w:proofErr w:type="spellStart"/>
      <w:r w:rsidRPr="00683819">
        <w:rPr>
          <w:i/>
        </w:rPr>
        <w:t>Epit</w:t>
      </w:r>
      <w:proofErr w:type="spellEnd"/>
      <w:r w:rsidRPr="00683819">
        <w:rPr>
          <w:i/>
        </w:rPr>
        <w:t xml:space="preserve">. </w:t>
      </w:r>
      <w:r>
        <w:t>6.14</w:t>
      </w:r>
    </w:p>
  </w:footnote>
  <w:footnote w:id="48">
    <w:p w14:paraId="7A2F9581" w14:textId="56540046" w:rsidR="00683819" w:rsidRDefault="00683819">
      <w:pPr>
        <w:pStyle w:val="FootnoteText"/>
      </w:pPr>
      <w:r>
        <w:rPr>
          <w:rStyle w:val="FootnoteReference"/>
        </w:rPr>
        <w:footnoteRef/>
      </w:r>
      <w:r>
        <w:t xml:space="preserve"> Arr. </w:t>
      </w:r>
      <w:proofErr w:type="spellStart"/>
      <w:r w:rsidRPr="00683819">
        <w:rPr>
          <w:i/>
        </w:rPr>
        <w:t>Anab</w:t>
      </w:r>
      <w:proofErr w:type="spellEnd"/>
      <w:r>
        <w:t>. 3.8</w:t>
      </w:r>
    </w:p>
  </w:footnote>
  <w:footnote w:id="49">
    <w:p w14:paraId="7A6C4181" w14:textId="02439E06" w:rsidR="00EA55DB" w:rsidRDefault="00EA55DB">
      <w:pPr>
        <w:pStyle w:val="FootnoteText"/>
      </w:pPr>
      <w:r>
        <w:rPr>
          <w:rStyle w:val="FootnoteReference"/>
        </w:rPr>
        <w:footnoteRef/>
      </w:r>
      <w:r>
        <w:t xml:space="preserve"> Arr. </w:t>
      </w:r>
      <w:proofErr w:type="spellStart"/>
      <w:r w:rsidRPr="00EA55DB">
        <w:rPr>
          <w:i/>
        </w:rPr>
        <w:t>Anab</w:t>
      </w:r>
      <w:proofErr w:type="spellEnd"/>
      <w:r>
        <w:t>. 3.12-14</w:t>
      </w:r>
    </w:p>
  </w:footnote>
  <w:footnote w:id="50">
    <w:p w14:paraId="6677C36B" w14:textId="75181863" w:rsidR="00EA55DB" w:rsidRDefault="00EA55DB">
      <w:pPr>
        <w:pStyle w:val="FootnoteText"/>
      </w:pPr>
      <w:r>
        <w:rPr>
          <w:rStyle w:val="FootnoteReference"/>
        </w:rPr>
        <w:footnoteRef/>
      </w:r>
      <w:r>
        <w:t xml:space="preserve"> Arr. </w:t>
      </w:r>
      <w:proofErr w:type="spellStart"/>
      <w:r w:rsidRPr="00EA55DB">
        <w:rPr>
          <w:i/>
        </w:rPr>
        <w:t>Anab</w:t>
      </w:r>
      <w:proofErr w:type="spellEnd"/>
      <w:r>
        <w:t>. 3.14</w:t>
      </w:r>
    </w:p>
  </w:footnote>
  <w:footnote w:id="51">
    <w:p w14:paraId="6C874D72" w14:textId="5AE26C79" w:rsidR="00EA55DB" w:rsidRDefault="00EA55DB">
      <w:pPr>
        <w:pStyle w:val="FootnoteText"/>
      </w:pPr>
      <w:r>
        <w:rPr>
          <w:rStyle w:val="FootnoteReference"/>
        </w:rPr>
        <w:footnoteRef/>
      </w:r>
      <w:r>
        <w:t xml:space="preserve"> Arr. </w:t>
      </w:r>
      <w:proofErr w:type="spellStart"/>
      <w:r w:rsidRPr="00EA55DB">
        <w:rPr>
          <w:i/>
        </w:rPr>
        <w:t>Anab</w:t>
      </w:r>
      <w:proofErr w:type="spellEnd"/>
      <w:r>
        <w:t xml:space="preserve">. 3.15; </w:t>
      </w:r>
      <w:proofErr w:type="spellStart"/>
      <w:r>
        <w:t>Wilcken</w:t>
      </w:r>
      <w:proofErr w:type="spellEnd"/>
      <w:r>
        <w:t xml:space="preserve"> 1997: 136-138</w:t>
      </w:r>
    </w:p>
  </w:footnote>
  <w:footnote w:id="52">
    <w:p w14:paraId="09144F0D" w14:textId="1546C669" w:rsidR="0056169F" w:rsidRDefault="0056169F">
      <w:pPr>
        <w:pStyle w:val="FootnoteText"/>
      </w:pPr>
      <w:r>
        <w:rPr>
          <w:rStyle w:val="FootnoteReference"/>
        </w:rPr>
        <w:footnoteRef/>
      </w:r>
      <w:r>
        <w:t xml:space="preserve"> Ar</w:t>
      </w:r>
      <w:r w:rsidR="00183CEF">
        <w:t>r</w:t>
      </w:r>
      <w:r>
        <w:t xml:space="preserve">. </w:t>
      </w:r>
      <w:proofErr w:type="spellStart"/>
      <w:r w:rsidRPr="00FE5146">
        <w:rPr>
          <w:i/>
        </w:rPr>
        <w:t>Anab</w:t>
      </w:r>
      <w:proofErr w:type="spellEnd"/>
      <w:r>
        <w:t xml:space="preserve">. </w:t>
      </w:r>
      <w:r w:rsidR="00183CEF">
        <w:t>3</w:t>
      </w:r>
      <w:r>
        <w:t>.10-14</w:t>
      </w:r>
    </w:p>
  </w:footnote>
  <w:footnote w:id="53">
    <w:p w14:paraId="2CF7C522" w14:textId="5BEBEBD8" w:rsidR="002F3AA4" w:rsidRDefault="002F3AA4" w:rsidP="002F3AA4">
      <w:pPr>
        <w:pStyle w:val="FootnoteText"/>
      </w:pPr>
      <w:r>
        <w:rPr>
          <w:rStyle w:val="FootnoteReference"/>
        </w:rPr>
        <w:footnoteRef/>
      </w:r>
      <w:r>
        <w:t xml:space="preserve"> </w:t>
      </w:r>
      <w:r w:rsidR="00FE5146">
        <w:t>Ar</w:t>
      </w:r>
      <w:r w:rsidR="00183CEF">
        <w:t>r</w:t>
      </w:r>
      <w:r w:rsidR="00FE5146">
        <w:t xml:space="preserve">. </w:t>
      </w:r>
      <w:proofErr w:type="spellStart"/>
      <w:r w:rsidR="00FE5146" w:rsidRPr="00FE5146">
        <w:rPr>
          <w:i/>
        </w:rPr>
        <w:t>Anab</w:t>
      </w:r>
      <w:proofErr w:type="spellEnd"/>
      <w:r w:rsidR="00FE5146">
        <w:t xml:space="preserve">. </w:t>
      </w:r>
      <w:r w:rsidR="00183CEF">
        <w:t>3</w:t>
      </w:r>
      <w:r w:rsidR="00FE5146">
        <w:t xml:space="preserve">.14; </w:t>
      </w:r>
      <w:proofErr w:type="spellStart"/>
      <w:r w:rsidR="00FE5146">
        <w:t>Zanker</w:t>
      </w:r>
      <w:proofErr w:type="spellEnd"/>
      <w:r w:rsidR="00FE5146">
        <w:t xml:space="preserve"> 1992: 22</w:t>
      </w:r>
    </w:p>
  </w:footnote>
  <w:footnote w:id="54">
    <w:p w14:paraId="47E3993A" w14:textId="21275329" w:rsidR="0056169F" w:rsidRPr="0056169F" w:rsidRDefault="0056169F">
      <w:pPr>
        <w:pStyle w:val="FootnoteText"/>
      </w:pPr>
      <w:r>
        <w:rPr>
          <w:rStyle w:val="FootnoteReference"/>
        </w:rPr>
        <w:footnoteRef/>
      </w:r>
      <w:r>
        <w:t xml:space="preserve"> Ar</w:t>
      </w:r>
      <w:r w:rsidR="00183CEF">
        <w:t>r</w:t>
      </w:r>
      <w:r>
        <w:t xml:space="preserve">. </w:t>
      </w:r>
      <w:proofErr w:type="spellStart"/>
      <w:r w:rsidRPr="00FE5146">
        <w:rPr>
          <w:i/>
        </w:rPr>
        <w:t>Anab</w:t>
      </w:r>
      <w:proofErr w:type="spellEnd"/>
      <w:r>
        <w:t xml:space="preserve">. </w:t>
      </w:r>
      <w:r w:rsidR="00C709DD">
        <w:t>3</w:t>
      </w:r>
      <w:r>
        <w:t xml:space="preserve">.14; </w:t>
      </w:r>
      <w:proofErr w:type="spellStart"/>
      <w:r>
        <w:t>Aristot</w:t>
      </w:r>
      <w:proofErr w:type="spellEnd"/>
      <w:r>
        <w:t xml:space="preserve">. </w:t>
      </w:r>
      <w:r w:rsidRPr="0056169F">
        <w:rPr>
          <w:i/>
        </w:rPr>
        <w:t>Nic. Eth</w:t>
      </w:r>
      <w:r>
        <w:t>. 2.7.2</w:t>
      </w:r>
    </w:p>
  </w:footnote>
  <w:footnote w:id="55">
    <w:p w14:paraId="44376DCD" w14:textId="7A6F0871" w:rsidR="0056169F" w:rsidRPr="0056169F" w:rsidRDefault="0056169F">
      <w:pPr>
        <w:pStyle w:val="FootnoteText"/>
      </w:pPr>
      <w:r>
        <w:rPr>
          <w:rStyle w:val="FootnoteReference"/>
        </w:rPr>
        <w:footnoteRef/>
      </w:r>
      <w:r>
        <w:t xml:space="preserve"> A</w:t>
      </w:r>
      <w:r w:rsidR="00183CEF">
        <w:t>r</w:t>
      </w:r>
      <w:r>
        <w:t xml:space="preserve">r. </w:t>
      </w:r>
      <w:proofErr w:type="spellStart"/>
      <w:r w:rsidRPr="00FE5146">
        <w:rPr>
          <w:i/>
        </w:rPr>
        <w:t>Anab</w:t>
      </w:r>
      <w:proofErr w:type="spellEnd"/>
      <w:r>
        <w:t xml:space="preserve">. </w:t>
      </w:r>
      <w:r w:rsidR="00C709DD">
        <w:t>3</w:t>
      </w:r>
      <w:r>
        <w:t xml:space="preserve">.14; </w:t>
      </w:r>
      <w:proofErr w:type="spellStart"/>
      <w:r>
        <w:t>Aristot</w:t>
      </w:r>
      <w:proofErr w:type="spellEnd"/>
      <w:r>
        <w:t xml:space="preserve">. </w:t>
      </w:r>
      <w:r>
        <w:rPr>
          <w:i/>
        </w:rPr>
        <w:t xml:space="preserve">Nic. Eth. </w:t>
      </w:r>
      <w:r>
        <w:t>2.7.2</w:t>
      </w:r>
    </w:p>
  </w:footnote>
  <w:footnote w:id="56">
    <w:p w14:paraId="5CB1E297" w14:textId="040A6636" w:rsidR="0056169F" w:rsidRPr="00E1701D" w:rsidRDefault="0056169F">
      <w:pPr>
        <w:pStyle w:val="FootnoteText"/>
      </w:pPr>
      <w:r>
        <w:rPr>
          <w:rStyle w:val="FootnoteReference"/>
        </w:rPr>
        <w:footnoteRef/>
      </w:r>
      <w:r>
        <w:t xml:space="preserve"> Ar</w:t>
      </w:r>
      <w:r w:rsidR="00183CEF">
        <w:t>r</w:t>
      </w:r>
      <w:r>
        <w:t xml:space="preserve">. </w:t>
      </w:r>
      <w:proofErr w:type="spellStart"/>
      <w:r>
        <w:rPr>
          <w:i/>
        </w:rPr>
        <w:t>Anab</w:t>
      </w:r>
      <w:proofErr w:type="spellEnd"/>
      <w:r>
        <w:rPr>
          <w:i/>
        </w:rPr>
        <w:t xml:space="preserve">. </w:t>
      </w:r>
      <w:r w:rsidR="00C709DD">
        <w:t>3</w:t>
      </w:r>
      <w:r>
        <w:t>.10</w:t>
      </w:r>
      <w:r w:rsidR="00E1701D">
        <w:t xml:space="preserve">; </w:t>
      </w:r>
      <w:proofErr w:type="spellStart"/>
      <w:r w:rsidR="00E1701D">
        <w:t>Aristot</w:t>
      </w:r>
      <w:proofErr w:type="spellEnd"/>
      <w:r w:rsidR="00E1701D">
        <w:t xml:space="preserve">. </w:t>
      </w:r>
      <w:r w:rsidR="00E1701D">
        <w:rPr>
          <w:i/>
        </w:rPr>
        <w:t>Nic. Eth.</w:t>
      </w:r>
      <w:r w:rsidR="00E1701D">
        <w:t xml:space="preserve"> 5.8</w:t>
      </w:r>
    </w:p>
  </w:footnote>
  <w:footnote w:id="57">
    <w:p w14:paraId="53D40CF6" w14:textId="3939BF2B" w:rsidR="00E1701D" w:rsidRPr="00E1701D" w:rsidRDefault="00E1701D">
      <w:pPr>
        <w:pStyle w:val="FootnoteText"/>
      </w:pPr>
      <w:r>
        <w:rPr>
          <w:rStyle w:val="FootnoteReference"/>
        </w:rPr>
        <w:footnoteRef/>
      </w:r>
      <w:r>
        <w:t xml:space="preserve"> </w:t>
      </w:r>
      <w:proofErr w:type="spellStart"/>
      <w:r>
        <w:t>Hom</w:t>
      </w:r>
      <w:proofErr w:type="spellEnd"/>
      <w:r>
        <w:t xml:space="preserve">. </w:t>
      </w:r>
      <w:r w:rsidRPr="004D215B">
        <w:rPr>
          <w:i/>
        </w:rPr>
        <w:t>Il.</w:t>
      </w:r>
      <w:r>
        <w:rPr>
          <w:i/>
        </w:rPr>
        <w:t xml:space="preserve"> </w:t>
      </w:r>
      <w:r>
        <w:t xml:space="preserve">5.529; </w:t>
      </w:r>
      <w:proofErr w:type="spellStart"/>
      <w:r>
        <w:t>Aristot</w:t>
      </w:r>
      <w:proofErr w:type="spellEnd"/>
      <w:r>
        <w:t xml:space="preserve">. </w:t>
      </w:r>
      <w:r>
        <w:rPr>
          <w:i/>
        </w:rPr>
        <w:t xml:space="preserve">Nic. Eth. </w:t>
      </w:r>
      <w:r>
        <w:t>6.11</w:t>
      </w:r>
    </w:p>
  </w:footnote>
  <w:footnote w:id="58">
    <w:p w14:paraId="568C7200" w14:textId="10A3C460" w:rsidR="004E4EA2" w:rsidRDefault="004E4EA2">
      <w:pPr>
        <w:pStyle w:val="FootnoteText"/>
      </w:pPr>
      <w:r>
        <w:rPr>
          <w:rStyle w:val="FootnoteReference"/>
        </w:rPr>
        <w:footnoteRef/>
      </w:r>
      <w:r>
        <w:t xml:space="preserve"> A</w:t>
      </w:r>
      <w:r w:rsidR="00C709DD">
        <w:t>r</w:t>
      </w:r>
      <w:r>
        <w:t xml:space="preserve">r. </w:t>
      </w:r>
      <w:proofErr w:type="spellStart"/>
      <w:r w:rsidRPr="004E4EA2">
        <w:rPr>
          <w:i/>
        </w:rPr>
        <w:t>Anab</w:t>
      </w:r>
      <w:proofErr w:type="spellEnd"/>
      <w:r>
        <w:rPr>
          <w:i/>
        </w:rPr>
        <w:t>.</w:t>
      </w:r>
      <w:r w:rsidRPr="004E4EA2">
        <w:rPr>
          <w:i/>
        </w:rPr>
        <w:t xml:space="preserve"> </w:t>
      </w:r>
      <w:r w:rsidR="00C709DD">
        <w:t>3</w:t>
      </w:r>
      <w:r>
        <w:t xml:space="preserve">.14; </w:t>
      </w:r>
      <w:proofErr w:type="spellStart"/>
      <w:r>
        <w:t>Aristot</w:t>
      </w:r>
      <w:proofErr w:type="spellEnd"/>
      <w:r>
        <w:t xml:space="preserve">. </w:t>
      </w:r>
      <w:r>
        <w:rPr>
          <w:i/>
        </w:rPr>
        <w:t xml:space="preserve">Nic. Eth. </w:t>
      </w:r>
      <w:r>
        <w:t>3.6.7-10</w:t>
      </w:r>
    </w:p>
  </w:footnote>
  <w:footnote w:id="59">
    <w:p w14:paraId="39DA5C2C" w14:textId="212490D5" w:rsidR="004E44DE" w:rsidRDefault="004E44DE">
      <w:pPr>
        <w:pStyle w:val="FootnoteText"/>
      </w:pPr>
      <w:r>
        <w:rPr>
          <w:rStyle w:val="FootnoteReference"/>
        </w:rPr>
        <w:footnoteRef/>
      </w:r>
      <w:r>
        <w:t xml:space="preserve"> </w:t>
      </w:r>
      <w:proofErr w:type="spellStart"/>
      <w:r>
        <w:t>Plut</w:t>
      </w:r>
      <w:proofErr w:type="spellEnd"/>
      <w:r>
        <w:t xml:space="preserve">. </w:t>
      </w:r>
      <w:r w:rsidRPr="004E44DE">
        <w:rPr>
          <w:i/>
        </w:rPr>
        <w:t>Alex.</w:t>
      </w:r>
      <w:r>
        <w:t xml:space="preserve"> 32.1</w:t>
      </w:r>
    </w:p>
  </w:footnote>
  <w:footnote w:id="60">
    <w:p w14:paraId="7186A7B8" w14:textId="06E09A2F" w:rsidR="00A2163E" w:rsidRDefault="00A2163E">
      <w:pPr>
        <w:pStyle w:val="FootnoteText"/>
      </w:pPr>
      <w:r>
        <w:rPr>
          <w:rStyle w:val="FootnoteReference"/>
        </w:rPr>
        <w:footnoteRef/>
      </w:r>
      <w:r>
        <w:t xml:space="preserve"> </w:t>
      </w:r>
      <w:proofErr w:type="spellStart"/>
      <w:r>
        <w:t>Plut</w:t>
      </w:r>
      <w:proofErr w:type="spellEnd"/>
      <w:r>
        <w:t xml:space="preserve">. </w:t>
      </w:r>
      <w:r w:rsidRPr="00A2163E">
        <w:rPr>
          <w:i/>
        </w:rPr>
        <w:t>Alex</w:t>
      </w:r>
      <w:r>
        <w:t>. 33.3-8</w:t>
      </w:r>
    </w:p>
  </w:footnote>
  <w:footnote w:id="61">
    <w:p w14:paraId="19E72B05" w14:textId="179E8BB1" w:rsidR="00A2163E" w:rsidRDefault="00A2163E">
      <w:pPr>
        <w:pStyle w:val="FootnoteText"/>
      </w:pPr>
      <w:r>
        <w:rPr>
          <w:rStyle w:val="FootnoteReference"/>
        </w:rPr>
        <w:footnoteRef/>
      </w:r>
      <w:r>
        <w:t xml:space="preserve"> </w:t>
      </w:r>
      <w:proofErr w:type="spellStart"/>
      <w:r>
        <w:t>Plut</w:t>
      </w:r>
      <w:proofErr w:type="spellEnd"/>
      <w:r>
        <w:t xml:space="preserve">. </w:t>
      </w:r>
      <w:r w:rsidRPr="0036150D">
        <w:rPr>
          <w:i/>
        </w:rPr>
        <w:t>Alex</w:t>
      </w:r>
      <w:r>
        <w:t>. 33.9-11</w:t>
      </w:r>
    </w:p>
  </w:footnote>
  <w:footnote w:id="62">
    <w:p w14:paraId="3B5F1E8C" w14:textId="0862D9AA" w:rsidR="0036150D" w:rsidRPr="0036150D" w:rsidRDefault="0036150D">
      <w:pPr>
        <w:pStyle w:val="FootnoteText"/>
      </w:pPr>
      <w:r>
        <w:rPr>
          <w:rStyle w:val="FootnoteReference"/>
        </w:rPr>
        <w:footnoteRef/>
      </w:r>
      <w:r>
        <w:t xml:space="preserve"> </w:t>
      </w:r>
      <w:proofErr w:type="spellStart"/>
      <w:r>
        <w:t>Plut</w:t>
      </w:r>
      <w:proofErr w:type="spellEnd"/>
      <w:r>
        <w:t xml:space="preserve">. </w:t>
      </w:r>
      <w:r>
        <w:rPr>
          <w:i/>
        </w:rPr>
        <w:t xml:space="preserve">Alex. </w:t>
      </w:r>
      <w:r>
        <w:t>31.6-7</w:t>
      </w:r>
    </w:p>
  </w:footnote>
  <w:footnote w:id="63">
    <w:p w14:paraId="59E01F4B" w14:textId="1E4E7394" w:rsidR="0036150D" w:rsidRPr="007535E5" w:rsidRDefault="0036150D">
      <w:pPr>
        <w:pStyle w:val="FootnoteText"/>
      </w:pPr>
      <w:r>
        <w:rPr>
          <w:rStyle w:val="FootnoteReference"/>
        </w:rPr>
        <w:footnoteRef/>
      </w:r>
      <w:r>
        <w:t xml:space="preserve"> </w:t>
      </w:r>
      <w:proofErr w:type="spellStart"/>
      <w:r>
        <w:t>Plut</w:t>
      </w:r>
      <w:proofErr w:type="spellEnd"/>
      <w:r>
        <w:t xml:space="preserve">. </w:t>
      </w:r>
      <w:r w:rsidRPr="0036150D">
        <w:rPr>
          <w:i/>
        </w:rPr>
        <w:t>Alex</w:t>
      </w:r>
      <w:r>
        <w:rPr>
          <w:i/>
        </w:rPr>
        <w:t>.</w:t>
      </w:r>
      <w:r>
        <w:t xml:space="preserve"> 31.7-8</w:t>
      </w:r>
      <w:r w:rsidR="007535E5">
        <w:t xml:space="preserve">; </w:t>
      </w:r>
      <w:proofErr w:type="spellStart"/>
      <w:r w:rsidR="007535E5">
        <w:t>Aristot</w:t>
      </w:r>
      <w:proofErr w:type="spellEnd"/>
      <w:r w:rsidR="007535E5">
        <w:t xml:space="preserve">. </w:t>
      </w:r>
      <w:r w:rsidR="007535E5">
        <w:rPr>
          <w:i/>
        </w:rPr>
        <w:t xml:space="preserve">Nic. Eth. </w:t>
      </w:r>
      <w:r w:rsidR="007535E5">
        <w:t>3.9.4</w:t>
      </w:r>
    </w:p>
  </w:footnote>
  <w:footnote w:id="64">
    <w:p w14:paraId="72C363E3" w14:textId="376361E6" w:rsidR="00A2163E" w:rsidRPr="0036150D" w:rsidRDefault="00A2163E">
      <w:pPr>
        <w:pStyle w:val="FootnoteText"/>
      </w:pPr>
      <w:r>
        <w:rPr>
          <w:rStyle w:val="FootnoteReference"/>
        </w:rPr>
        <w:footnoteRef/>
      </w:r>
      <w:r>
        <w:t xml:space="preserve"> </w:t>
      </w:r>
      <w:proofErr w:type="spellStart"/>
      <w:r w:rsidR="0036150D">
        <w:t>Plut</w:t>
      </w:r>
      <w:proofErr w:type="spellEnd"/>
      <w:r w:rsidR="0036150D">
        <w:t xml:space="preserve">. </w:t>
      </w:r>
      <w:r w:rsidR="0036150D" w:rsidRPr="004E44DE">
        <w:rPr>
          <w:i/>
        </w:rPr>
        <w:t>Alex.</w:t>
      </w:r>
      <w:r w:rsidR="0036150D">
        <w:t xml:space="preserve"> 32.1; </w:t>
      </w:r>
      <w:proofErr w:type="spellStart"/>
      <w:r w:rsidR="0036150D">
        <w:t>Aristot</w:t>
      </w:r>
      <w:proofErr w:type="spellEnd"/>
      <w:r w:rsidR="0036150D">
        <w:t xml:space="preserve">. </w:t>
      </w:r>
      <w:r w:rsidR="0036150D">
        <w:rPr>
          <w:i/>
        </w:rPr>
        <w:t xml:space="preserve">Nic. Eth. </w:t>
      </w:r>
      <w:r w:rsidR="0036150D">
        <w:t>2.7</w:t>
      </w:r>
    </w:p>
  </w:footnote>
  <w:footnote w:id="65">
    <w:p w14:paraId="683B61A8" w14:textId="620AEF5E" w:rsidR="00F64889" w:rsidRDefault="00F64889">
      <w:pPr>
        <w:pStyle w:val="FootnoteText"/>
      </w:pPr>
      <w:r>
        <w:rPr>
          <w:rStyle w:val="FootnoteReference"/>
        </w:rPr>
        <w:footnoteRef/>
      </w:r>
      <w:r>
        <w:t xml:space="preserve"> </w:t>
      </w:r>
      <w:proofErr w:type="spellStart"/>
      <w:r>
        <w:t>Plut</w:t>
      </w:r>
      <w:proofErr w:type="spellEnd"/>
      <w:r>
        <w:t xml:space="preserve">. </w:t>
      </w:r>
      <w:r w:rsidRPr="00F64889">
        <w:rPr>
          <w:i/>
        </w:rPr>
        <w:t>Alex.</w:t>
      </w:r>
      <w:r>
        <w:t xml:space="preserve"> 32.</w:t>
      </w:r>
      <w:r w:rsidR="00216130">
        <w:t>3-</w:t>
      </w:r>
      <w:r>
        <w:t>4</w:t>
      </w:r>
    </w:p>
  </w:footnote>
  <w:footnote w:id="66">
    <w:p w14:paraId="235759BE" w14:textId="52360EA0" w:rsidR="00216130" w:rsidRDefault="00216130">
      <w:pPr>
        <w:pStyle w:val="FootnoteText"/>
      </w:pPr>
      <w:r>
        <w:rPr>
          <w:rStyle w:val="FootnoteReference"/>
        </w:rPr>
        <w:footnoteRef/>
      </w:r>
      <w:r>
        <w:t xml:space="preserve"> </w:t>
      </w:r>
      <w:proofErr w:type="spellStart"/>
      <w:r>
        <w:t>Plut</w:t>
      </w:r>
      <w:proofErr w:type="spellEnd"/>
      <w:r>
        <w:t xml:space="preserve">. </w:t>
      </w:r>
      <w:r w:rsidRPr="0016471E">
        <w:rPr>
          <w:i/>
        </w:rPr>
        <w:t>Alex</w:t>
      </w:r>
      <w:r>
        <w:t xml:space="preserve">. </w:t>
      </w:r>
      <w:r w:rsidR="0016471E">
        <w:t xml:space="preserve">31.3; </w:t>
      </w:r>
      <w:proofErr w:type="spellStart"/>
      <w:r w:rsidR="0016471E">
        <w:t>Hom</w:t>
      </w:r>
      <w:proofErr w:type="spellEnd"/>
      <w:r w:rsidR="0016471E">
        <w:t xml:space="preserve">. </w:t>
      </w:r>
      <w:r w:rsidR="0016471E">
        <w:rPr>
          <w:i/>
        </w:rPr>
        <w:t>Od</w:t>
      </w:r>
      <w:r w:rsidR="0016471E">
        <w:t xml:space="preserve">. 21.25; </w:t>
      </w:r>
      <w:proofErr w:type="spellStart"/>
      <w:r w:rsidR="0016471E">
        <w:t>Plut</w:t>
      </w:r>
      <w:proofErr w:type="spellEnd"/>
      <w:r w:rsidR="0016471E">
        <w:t xml:space="preserve">. </w:t>
      </w:r>
      <w:r w:rsidR="0016471E" w:rsidRPr="0016471E">
        <w:rPr>
          <w:i/>
        </w:rPr>
        <w:t>Alex.</w:t>
      </w:r>
      <w:r w:rsidR="0016471E">
        <w:t xml:space="preserve"> 2.1</w:t>
      </w:r>
    </w:p>
  </w:footnote>
  <w:footnote w:id="67">
    <w:p w14:paraId="35E08564" w14:textId="4538F7ED" w:rsidR="00776932" w:rsidRDefault="00776932">
      <w:pPr>
        <w:pStyle w:val="FootnoteText"/>
      </w:pPr>
      <w:r>
        <w:rPr>
          <w:rStyle w:val="FootnoteReference"/>
        </w:rPr>
        <w:footnoteRef/>
      </w:r>
      <w:r>
        <w:t xml:space="preserve"> </w:t>
      </w:r>
      <w:proofErr w:type="spellStart"/>
      <w:r>
        <w:t>Plut</w:t>
      </w:r>
      <w:proofErr w:type="spellEnd"/>
      <w:r>
        <w:t>. Alex. 2.1, 31.3</w:t>
      </w:r>
    </w:p>
  </w:footnote>
  <w:footnote w:id="68">
    <w:p w14:paraId="5F644FCC" w14:textId="64420563" w:rsidR="00637345" w:rsidRDefault="00637345">
      <w:pPr>
        <w:pStyle w:val="FootnoteText"/>
      </w:pPr>
      <w:r>
        <w:rPr>
          <w:rStyle w:val="FootnoteReference"/>
        </w:rPr>
        <w:footnoteRef/>
      </w:r>
      <w:r>
        <w:t xml:space="preserve"> Diod. </w:t>
      </w:r>
      <w:r w:rsidR="002056F3">
        <w:t xml:space="preserve">Sic. </w:t>
      </w:r>
      <w:r>
        <w:t xml:space="preserve">17.56; </w:t>
      </w:r>
      <w:proofErr w:type="spellStart"/>
      <w:r>
        <w:t>Plut</w:t>
      </w:r>
      <w:proofErr w:type="spellEnd"/>
      <w:r>
        <w:t xml:space="preserve">. </w:t>
      </w:r>
      <w:r w:rsidRPr="00637345">
        <w:rPr>
          <w:i/>
        </w:rPr>
        <w:t>Alex.</w:t>
      </w:r>
      <w:r>
        <w:t xml:space="preserve"> 32.1</w:t>
      </w:r>
    </w:p>
  </w:footnote>
  <w:footnote w:id="69">
    <w:p w14:paraId="48991E08" w14:textId="514C8778" w:rsidR="00B661EE" w:rsidRDefault="00B661EE">
      <w:pPr>
        <w:pStyle w:val="FootnoteText"/>
      </w:pPr>
      <w:r>
        <w:rPr>
          <w:rStyle w:val="FootnoteReference"/>
        </w:rPr>
        <w:footnoteRef/>
      </w:r>
      <w:r>
        <w:t xml:space="preserve"> Diod. </w:t>
      </w:r>
      <w:r w:rsidR="002056F3">
        <w:t xml:space="preserve">Sic. </w:t>
      </w:r>
      <w:r>
        <w:t>17.56-57</w:t>
      </w:r>
    </w:p>
  </w:footnote>
  <w:footnote w:id="70">
    <w:p w14:paraId="2E4D88CC" w14:textId="1D078941" w:rsidR="00B661EE" w:rsidRDefault="00B661EE">
      <w:pPr>
        <w:pStyle w:val="FootnoteText"/>
      </w:pPr>
      <w:r>
        <w:rPr>
          <w:rStyle w:val="FootnoteReference"/>
        </w:rPr>
        <w:footnoteRef/>
      </w:r>
      <w:r>
        <w:t xml:space="preserve"> </w:t>
      </w:r>
      <w:proofErr w:type="spellStart"/>
      <w:r>
        <w:t>Diod</w:t>
      </w:r>
      <w:proofErr w:type="spellEnd"/>
      <w:r>
        <w:t>.</w:t>
      </w:r>
      <w:r w:rsidR="002056F3">
        <w:t xml:space="preserve"> Sic.</w:t>
      </w:r>
      <w:r>
        <w:t xml:space="preserve"> 17.58-59</w:t>
      </w:r>
    </w:p>
  </w:footnote>
  <w:footnote w:id="71">
    <w:p w14:paraId="5E2945FC" w14:textId="3B71A8C4" w:rsidR="00B661EE" w:rsidRDefault="00B661EE">
      <w:pPr>
        <w:pStyle w:val="FootnoteText"/>
      </w:pPr>
      <w:r>
        <w:rPr>
          <w:rStyle w:val="FootnoteReference"/>
        </w:rPr>
        <w:footnoteRef/>
      </w:r>
      <w:r>
        <w:t xml:space="preserve"> Diod. </w:t>
      </w:r>
      <w:r w:rsidR="002056F3">
        <w:t xml:space="preserve">Sic. </w:t>
      </w:r>
      <w:r>
        <w:t>17.60</w:t>
      </w:r>
    </w:p>
  </w:footnote>
  <w:footnote w:id="72">
    <w:p w14:paraId="1E924F3C" w14:textId="3A059A9B" w:rsidR="00B661EE" w:rsidRDefault="00B661EE">
      <w:pPr>
        <w:pStyle w:val="FootnoteText"/>
      </w:pPr>
      <w:r>
        <w:rPr>
          <w:rStyle w:val="FootnoteReference"/>
        </w:rPr>
        <w:footnoteRef/>
      </w:r>
      <w:r>
        <w:t xml:space="preserve"> Diod. </w:t>
      </w:r>
      <w:r w:rsidR="002056F3">
        <w:t xml:space="preserve">Sic. </w:t>
      </w:r>
      <w:r>
        <w:t>17.60</w:t>
      </w:r>
    </w:p>
  </w:footnote>
  <w:footnote w:id="73">
    <w:p w14:paraId="0E26763B" w14:textId="0408F6CB" w:rsidR="009A7FBC" w:rsidRDefault="009A7FBC">
      <w:pPr>
        <w:pStyle w:val="FootnoteText"/>
      </w:pPr>
      <w:r>
        <w:rPr>
          <w:rStyle w:val="FootnoteReference"/>
        </w:rPr>
        <w:footnoteRef/>
      </w:r>
      <w:r>
        <w:t xml:space="preserve"> Diod. </w:t>
      </w:r>
      <w:r w:rsidR="002056F3">
        <w:t xml:space="preserve">Sic. </w:t>
      </w:r>
      <w:r>
        <w:t>17.56-60</w:t>
      </w:r>
    </w:p>
  </w:footnote>
  <w:footnote w:id="74">
    <w:p w14:paraId="41B1141A" w14:textId="66F06BFC" w:rsidR="009A7FBC" w:rsidRDefault="009A7FBC">
      <w:pPr>
        <w:pStyle w:val="FootnoteText"/>
      </w:pPr>
      <w:r>
        <w:rPr>
          <w:rStyle w:val="FootnoteReference"/>
        </w:rPr>
        <w:footnoteRef/>
      </w:r>
      <w:r>
        <w:t xml:space="preserve"> Diod. </w:t>
      </w:r>
      <w:r w:rsidR="002056F3">
        <w:t xml:space="preserve">Sic. </w:t>
      </w:r>
      <w:r>
        <w:t>17.56-57</w:t>
      </w:r>
      <w:r w:rsidR="00646014">
        <w:t xml:space="preserve">; </w:t>
      </w:r>
      <w:proofErr w:type="spellStart"/>
      <w:r w:rsidR="00646014">
        <w:t>Aristot</w:t>
      </w:r>
      <w:proofErr w:type="spellEnd"/>
      <w:r w:rsidR="00646014">
        <w:t xml:space="preserve">. </w:t>
      </w:r>
      <w:r w:rsidR="00646014" w:rsidRPr="00E74AB2">
        <w:rPr>
          <w:i/>
        </w:rPr>
        <w:t>Nic. Eth</w:t>
      </w:r>
      <w:r w:rsidR="00646014" w:rsidRPr="00BA23C4">
        <w:t>. 6.9</w:t>
      </w:r>
    </w:p>
  </w:footnote>
  <w:footnote w:id="75">
    <w:p w14:paraId="33A85828" w14:textId="306BA320" w:rsidR="009A7FBC" w:rsidRDefault="009A7FBC">
      <w:pPr>
        <w:pStyle w:val="FootnoteText"/>
      </w:pPr>
      <w:r>
        <w:rPr>
          <w:rStyle w:val="FootnoteReference"/>
        </w:rPr>
        <w:footnoteRef/>
      </w:r>
      <w:r>
        <w:t xml:space="preserve"> Diod. </w:t>
      </w:r>
      <w:r w:rsidR="002056F3">
        <w:t xml:space="preserve">Sic. </w:t>
      </w:r>
      <w:r>
        <w:t>17.59.6, 17.60.7</w:t>
      </w:r>
    </w:p>
  </w:footnote>
  <w:footnote w:id="76">
    <w:p w14:paraId="20BE0B78" w14:textId="4B84AA74" w:rsidR="00E74AB2" w:rsidRDefault="00E74AB2">
      <w:pPr>
        <w:pStyle w:val="FootnoteText"/>
      </w:pPr>
      <w:r>
        <w:rPr>
          <w:rStyle w:val="FootnoteReference"/>
        </w:rPr>
        <w:footnoteRef/>
      </w:r>
      <w:r>
        <w:t xml:space="preserve"> </w:t>
      </w:r>
      <w:proofErr w:type="spellStart"/>
      <w:r>
        <w:t>Aristot</w:t>
      </w:r>
      <w:proofErr w:type="spellEnd"/>
      <w:r>
        <w:t xml:space="preserve">. </w:t>
      </w:r>
      <w:r w:rsidRPr="00E74AB2">
        <w:rPr>
          <w:i/>
        </w:rPr>
        <w:t>Nic. Eth. 6.9</w:t>
      </w:r>
    </w:p>
  </w:footnote>
  <w:footnote w:id="77">
    <w:p w14:paraId="43182835" w14:textId="0A317B40" w:rsidR="00E74AB2" w:rsidRDefault="00E74AB2">
      <w:pPr>
        <w:pStyle w:val="FootnoteText"/>
      </w:pPr>
      <w:r>
        <w:rPr>
          <w:rStyle w:val="FootnoteReference"/>
        </w:rPr>
        <w:footnoteRef/>
      </w:r>
      <w:r>
        <w:t xml:space="preserve"> </w:t>
      </w:r>
      <w:proofErr w:type="spellStart"/>
      <w:r>
        <w:t>Plut</w:t>
      </w:r>
      <w:proofErr w:type="spellEnd"/>
      <w:r>
        <w:t xml:space="preserve"> </w:t>
      </w:r>
      <w:r w:rsidRPr="00E74AB2">
        <w:rPr>
          <w:i/>
        </w:rPr>
        <w:t>Alex</w:t>
      </w:r>
      <w:r>
        <w:t xml:space="preserve">. 31-34; Diod. 53-61; Arr. </w:t>
      </w:r>
      <w:proofErr w:type="spellStart"/>
      <w:r w:rsidRPr="00E74AB2">
        <w:rPr>
          <w:i/>
        </w:rPr>
        <w:t>Anab</w:t>
      </w:r>
      <w:proofErr w:type="spellEnd"/>
      <w:r>
        <w:t>. 3.7-15</w:t>
      </w:r>
    </w:p>
  </w:footnote>
  <w:footnote w:id="78">
    <w:p w14:paraId="1AA85F48" w14:textId="7BC81084" w:rsidR="00035A3B" w:rsidRDefault="00035A3B" w:rsidP="00035A3B">
      <w:pPr>
        <w:pStyle w:val="FootnoteText"/>
      </w:pPr>
      <w:r>
        <w:rPr>
          <w:rStyle w:val="FootnoteReference"/>
        </w:rPr>
        <w:footnoteRef/>
      </w:r>
      <w:r>
        <w:t xml:space="preserve"> Stein 1942: 156; Arr. </w:t>
      </w:r>
      <w:proofErr w:type="spellStart"/>
      <w:r w:rsidRPr="00CD4C0D">
        <w:rPr>
          <w:i/>
        </w:rPr>
        <w:t>An</w:t>
      </w:r>
      <w:r w:rsidR="00E74AB2">
        <w:rPr>
          <w:i/>
        </w:rPr>
        <w:t>ab</w:t>
      </w:r>
      <w:proofErr w:type="spellEnd"/>
      <w:r w:rsidRPr="00CD4C0D">
        <w:rPr>
          <w:i/>
        </w:rPr>
        <w:t>.</w:t>
      </w:r>
      <w:r>
        <w:t xml:space="preserve"> 3.7</w:t>
      </w:r>
    </w:p>
  </w:footnote>
  <w:footnote w:id="79">
    <w:p w14:paraId="1F6E1E6F" w14:textId="2C5DD0C7" w:rsidR="00907BBD" w:rsidRDefault="00907BBD">
      <w:pPr>
        <w:pStyle w:val="FootnoteText"/>
      </w:pPr>
      <w:r>
        <w:rPr>
          <w:rStyle w:val="FootnoteReference"/>
        </w:rPr>
        <w:footnoteRef/>
      </w:r>
      <w:r>
        <w:t xml:space="preserve"> Diod. </w:t>
      </w:r>
      <w:r w:rsidR="002056F3">
        <w:t xml:space="preserve">Sic. </w:t>
      </w:r>
      <w:r w:rsidR="00DA7250">
        <w:t>17.53,</w:t>
      </w:r>
      <w:r w:rsidR="00BA23C4">
        <w:t xml:space="preserve"> 17.</w:t>
      </w:r>
      <w:r>
        <w:t>58-60</w:t>
      </w:r>
    </w:p>
  </w:footnote>
  <w:footnote w:id="80">
    <w:p w14:paraId="596C67B9" w14:textId="261F2714" w:rsidR="00E3669B" w:rsidRDefault="00E3669B">
      <w:pPr>
        <w:pStyle w:val="FootnoteText"/>
      </w:pPr>
      <w:r>
        <w:rPr>
          <w:rStyle w:val="FootnoteReference"/>
        </w:rPr>
        <w:footnoteRef/>
      </w:r>
      <w:r>
        <w:t xml:space="preserve"> Arr. </w:t>
      </w:r>
      <w:proofErr w:type="spellStart"/>
      <w:r w:rsidRPr="00E3669B">
        <w:rPr>
          <w:i/>
        </w:rPr>
        <w:t>Anab</w:t>
      </w:r>
      <w:proofErr w:type="spellEnd"/>
      <w:r>
        <w:t xml:space="preserve">. 3.14; Diod. </w:t>
      </w:r>
      <w:r w:rsidR="002056F3">
        <w:t xml:space="preserve">Sic. </w:t>
      </w:r>
      <w:r>
        <w:t xml:space="preserve">17.60.1; </w:t>
      </w:r>
      <w:proofErr w:type="spellStart"/>
      <w:r>
        <w:t>Plut</w:t>
      </w:r>
      <w:proofErr w:type="spellEnd"/>
      <w:r>
        <w:t xml:space="preserve">. </w:t>
      </w:r>
      <w:r w:rsidRPr="00E3669B">
        <w:rPr>
          <w:i/>
        </w:rPr>
        <w:t>Alex</w:t>
      </w:r>
      <w:r>
        <w:t>. 33.3</w:t>
      </w:r>
    </w:p>
  </w:footnote>
  <w:footnote w:id="81">
    <w:p w14:paraId="5B665C84" w14:textId="13821C75" w:rsidR="00E3669B" w:rsidRDefault="00E3669B" w:rsidP="00E3669B">
      <w:pPr>
        <w:pStyle w:val="FootnoteText"/>
      </w:pPr>
      <w:r>
        <w:rPr>
          <w:rStyle w:val="FootnoteReference"/>
        </w:rPr>
        <w:footnoteRef/>
      </w:r>
      <w:r>
        <w:t xml:space="preserve"> Rogers 2004: 285</w:t>
      </w:r>
      <w:r w:rsidR="00B5169F">
        <w:t xml:space="preserve">; </w:t>
      </w:r>
      <w:proofErr w:type="spellStart"/>
      <w:r w:rsidR="007F4602">
        <w:t>Zambrini</w:t>
      </w:r>
      <w:proofErr w:type="spellEnd"/>
      <w:r w:rsidR="007F4602">
        <w:t xml:space="preserve"> 2007: 210</w:t>
      </w:r>
    </w:p>
  </w:footnote>
  <w:footnote w:id="82">
    <w:p w14:paraId="6BB1444A" w14:textId="2E328FAB" w:rsidR="005D428D" w:rsidRDefault="005D428D">
      <w:pPr>
        <w:pStyle w:val="FootnoteText"/>
      </w:pPr>
      <w:r>
        <w:rPr>
          <w:rStyle w:val="FootnoteReference"/>
        </w:rPr>
        <w:footnoteRef/>
      </w:r>
      <w:r>
        <w:t xml:space="preserve"> Mossman 1988: 85, 88</w:t>
      </w:r>
    </w:p>
  </w:footnote>
  <w:footnote w:id="83">
    <w:p w14:paraId="7EFCE7DA" w14:textId="31B93B29" w:rsidR="005D428D" w:rsidRDefault="005D428D">
      <w:pPr>
        <w:pStyle w:val="FootnoteText"/>
      </w:pPr>
      <w:r>
        <w:rPr>
          <w:rStyle w:val="FootnoteReference"/>
        </w:rPr>
        <w:footnoteRef/>
      </w:r>
      <w:r>
        <w:t xml:space="preserve"> Mossman 1988: 83, 88; </w:t>
      </w:r>
      <w:proofErr w:type="spellStart"/>
      <w:r>
        <w:t>Plut</w:t>
      </w:r>
      <w:proofErr w:type="spellEnd"/>
      <w:r>
        <w:t xml:space="preserve">. </w:t>
      </w:r>
      <w:r w:rsidRPr="005D428D">
        <w:rPr>
          <w:i/>
        </w:rPr>
        <w:t>Alex.</w:t>
      </w:r>
      <w:r>
        <w:t xml:space="preserve"> 33.3-4</w:t>
      </w:r>
    </w:p>
  </w:footnote>
  <w:footnote w:id="84">
    <w:p w14:paraId="3D36D9BB" w14:textId="4EC5E5D6" w:rsidR="00A64054" w:rsidRDefault="00A64054">
      <w:pPr>
        <w:pStyle w:val="FootnoteText"/>
      </w:pPr>
      <w:r>
        <w:rPr>
          <w:rStyle w:val="FootnoteReference"/>
        </w:rPr>
        <w:footnoteRef/>
      </w:r>
      <w:r>
        <w:t xml:space="preserve"> </w:t>
      </w:r>
      <w:proofErr w:type="spellStart"/>
      <w:r>
        <w:t>Plut</w:t>
      </w:r>
      <w:proofErr w:type="spellEnd"/>
      <w:r>
        <w:t xml:space="preserve">. </w:t>
      </w:r>
      <w:r w:rsidRPr="00A64054">
        <w:rPr>
          <w:i/>
        </w:rPr>
        <w:t>Alex</w:t>
      </w:r>
      <w:r>
        <w:t>. 38</w:t>
      </w:r>
      <w:r w:rsidR="00D0255B">
        <w:t xml:space="preserve">; </w:t>
      </w:r>
      <w:proofErr w:type="spellStart"/>
      <w:r w:rsidR="00D0255B">
        <w:t>Strab</w:t>
      </w:r>
      <w:proofErr w:type="spellEnd"/>
      <w:r w:rsidR="00D0255B">
        <w:t>. 15.3.6</w:t>
      </w:r>
    </w:p>
  </w:footnote>
  <w:footnote w:id="85">
    <w:p w14:paraId="53FBFD30" w14:textId="5E1443A9" w:rsidR="007006B7" w:rsidRDefault="007006B7">
      <w:pPr>
        <w:pStyle w:val="FootnoteText"/>
      </w:pPr>
      <w:r>
        <w:rPr>
          <w:rStyle w:val="FootnoteReference"/>
        </w:rPr>
        <w:footnoteRef/>
      </w:r>
      <w:r>
        <w:t xml:space="preserve"> </w:t>
      </w:r>
      <w:proofErr w:type="spellStart"/>
      <w:r>
        <w:t>Strab</w:t>
      </w:r>
      <w:proofErr w:type="spellEnd"/>
      <w:r>
        <w:t>. 15.3.6</w:t>
      </w:r>
    </w:p>
  </w:footnote>
  <w:footnote w:id="86">
    <w:p w14:paraId="4624759D" w14:textId="4B282A3B" w:rsidR="000157D4" w:rsidRDefault="000157D4">
      <w:pPr>
        <w:pStyle w:val="FootnoteText"/>
      </w:pPr>
      <w:r>
        <w:rPr>
          <w:rStyle w:val="FootnoteReference"/>
        </w:rPr>
        <w:footnoteRef/>
      </w:r>
      <w:r>
        <w:t xml:space="preserve"> Mossman 1988: 84</w:t>
      </w:r>
    </w:p>
  </w:footnote>
  <w:footnote w:id="87">
    <w:p w14:paraId="39935A9C" w14:textId="12595496" w:rsidR="00D0255B" w:rsidRDefault="00D0255B">
      <w:pPr>
        <w:pStyle w:val="FootnoteText"/>
      </w:pPr>
      <w:r>
        <w:rPr>
          <w:rStyle w:val="FootnoteReference"/>
        </w:rPr>
        <w:footnoteRef/>
      </w:r>
      <w:r>
        <w:t xml:space="preserve"> Arr. </w:t>
      </w:r>
      <w:proofErr w:type="spellStart"/>
      <w:r w:rsidRPr="00D0255B">
        <w:rPr>
          <w:i/>
        </w:rPr>
        <w:t>Anab</w:t>
      </w:r>
      <w:proofErr w:type="spellEnd"/>
      <w:r>
        <w:t>. 3.18</w:t>
      </w:r>
    </w:p>
  </w:footnote>
  <w:footnote w:id="88">
    <w:p w14:paraId="24A8622A" w14:textId="58E30257" w:rsidR="00D0255B" w:rsidRDefault="00D0255B">
      <w:pPr>
        <w:pStyle w:val="FootnoteText"/>
      </w:pPr>
      <w:r>
        <w:rPr>
          <w:rStyle w:val="FootnoteReference"/>
        </w:rPr>
        <w:footnoteRef/>
      </w:r>
      <w:r>
        <w:t xml:space="preserve"> Arr. </w:t>
      </w:r>
      <w:proofErr w:type="spellStart"/>
      <w:r w:rsidRPr="00D0255B">
        <w:rPr>
          <w:i/>
        </w:rPr>
        <w:t>Anab</w:t>
      </w:r>
      <w:proofErr w:type="spellEnd"/>
      <w:r>
        <w:t>. 3.18</w:t>
      </w:r>
    </w:p>
  </w:footnote>
  <w:footnote w:id="89">
    <w:p w14:paraId="4F21D26C" w14:textId="6403C427" w:rsidR="00D0255B" w:rsidRDefault="00D0255B">
      <w:pPr>
        <w:pStyle w:val="FootnoteText"/>
      </w:pPr>
      <w:r>
        <w:rPr>
          <w:rStyle w:val="FootnoteReference"/>
        </w:rPr>
        <w:footnoteRef/>
      </w:r>
      <w:r>
        <w:t xml:space="preserve"> Arr. </w:t>
      </w:r>
      <w:proofErr w:type="spellStart"/>
      <w:r w:rsidRPr="00D0255B">
        <w:rPr>
          <w:i/>
        </w:rPr>
        <w:t>Anab</w:t>
      </w:r>
      <w:proofErr w:type="spellEnd"/>
      <w:r>
        <w:t>. 3.18</w:t>
      </w:r>
    </w:p>
  </w:footnote>
  <w:footnote w:id="90">
    <w:p w14:paraId="45C2104F" w14:textId="70D25D67" w:rsidR="00D0255B" w:rsidRDefault="00D0255B">
      <w:pPr>
        <w:pStyle w:val="FootnoteText"/>
      </w:pPr>
      <w:r>
        <w:rPr>
          <w:rStyle w:val="FootnoteReference"/>
        </w:rPr>
        <w:footnoteRef/>
      </w:r>
      <w:r>
        <w:t xml:space="preserve"> Arr. </w:t>
      </w:r>
      <w:proofErr w:type="spellStart"/>
      <w:r w:rsidRPr="00D0255B">
        <w:rPr>
          <w:i/>
        </w:rPr>
        <w:t>Anab</w:t>
      </w:r>
      <w:proofErr w:type="spellEnd"/>
      <w:r w:rsidRPr="00D0255B">
        <w:rPr>
          <w:i/>
        </w:rPr>
        <w:t>.</w:t>
      </w:r>
      <w:r>
        <w:t xml:space="preserve"> 3.18</w:t>
      </w:r>
    </w:p>
  </w:footnote>
  <w:footnote w:id="91">
    <w:p w14:paraId="18D99891" w14:textId="4B81C96D" w:rsidR="00D0255B" w:rsidRDefault="00D0255B">
      <w:pPr>
        <w:pStyle w:val="FootnoteText"/>
      </w:pPr>
      <w:r>
        <w:rPr>
          <w:rStyle w:val="FootnoteReference"/>
        </w:rPr>
        <w:footnoteRef/>
      </w:r>
      <w:r>
        <w:t xml:space="preserve"> Arr. </w:t>
      </w:r>
      <w:proofErr w:type="spellStart"/>
      <w:r w:rsidRPr="00D0255B">
        <w:rPr>
          <w:i/>
        </w:rPr>
        <w:t>Anab</w:t>
      </w:r>
      <w:proofErr w:type="spellEnd"/>
      <w:r>
        <w:t xml:space="preserve">. 3.18; </w:t>
      </w:r>
      <w:proofErr w:type="spellStart"/>
      <w:r>
        <w:t>Aristot</w:t>
      </w:r>
      <w:proofErr w:type="spellEnd"/>
      <w:r>
        <w:t xml:space="preserve">. </w:t>
      </w:r>
      <w:r w:rsidRPr="00D0255B">
        <w:rPr>
          <w:i/>
        </w:rPr>
        <w:t>Nic. Eth</w:t>
      </w:r>
      <w:r>
        <w:t>. 3.8.12</w:t>
      </w:r>
    </w:p>
  </w:footnote>
  <w:footnote w:id="92">
    <w:p w14:paraId="5720C607" w14:textId="0E7449FB" w:rsidR="00D0255B" w:rsidRPr="00D0255B" w:rsidRDefault="00D0255B">
      <w:pPr>
        <w:pStyle w:val="FootnoteText"/>
      </w:pPr>
      <w:r>
        <w:rPr>
          <w:rStyle w:val="FootnoteReference"/>
        </w:rPr>
        <w:footnoteRef/>
      </w:r>
      <w:r>
        <w:t xml:space="preserve"> </w:t>
      </w:r>
      <w:proofErr w:type="spellStart"/>
      <w:r>
        <w:t>Plut</w:t>
      </w:r>
      <w:proofErr w:type="spellEnd"/>
      <w:r>
        <w:t xml:space="preserve">. </w:t>
      </w:r>
      <w:r w:rsidRPr="00D0255B">
        <w:rPr>
          <w:i/>
        </w:rPr>
        <w:t xml:space="preserve">Alex. </w:t>
      </w:r>
      <w:r>
        <w:t>38.1-2</w:t>
      </w:r>
    </w:p>
  </w:footnote>
  <w:footnote w:id="93">
    <w:p w14:paraId="09759844" w14:textId="45727B04" w:rsidR="00D0255B" w:rsidRDefault="00D0255B">
      <w:pPr>
        <w:pStyle w:val="FootnoteText"/>
      </w:pPr>
      <w:r>
        <w:rPr>
          <w:rStyle w:val="FootnoteReference"/>
        </w:rPr>
        <w:footnoteRef/>
      </w:r>
      <w:r>
        <w:t xml:space="preserve"> </w:t>
      </w:r>
      <w:proofErr w:type="spellStart"/>
      <w:r>
        <w:t>Plut</w:t>
      </w:r>
      <w:proofErr w:type="spellEnd"/>
      <w:r>
        <w:t>. Alex. 38.2-4</w:t>
      </w:r>
    </w:p>
  </w:footnote>
  <w:footnote w:id="94">
    <w:p w14:paraId="217305A0" w14:textId="198BAA23" w:rsidR="00D0255B" w:rsidRDefault="00D0255B">
      <w:pPr>
        <w:pStyle w:val="FootnoteText"/>
      </w:pPr>
      <w:r>
        <w:rPr>
          <w:rStyle w:val="FootnoteReference"/>
        </w:rPr>
        <w:footnoteRef/>
      </w:r>
      <w:r>
        <w:t xml:space="preserve"> </w:t>
      </w:r>
      <w:proofErr w:type="spellStart"/>
      <w:r>
        <w:t>Plut</w:t>
      </w:r>
      <w:proofErr w:type="spellEnd"/>
      <w:r>
        <w:t xml:space="preserve">. </w:t>
      </w:r>
      <w:r w:rsidRPr="00D0255B">
        <w:rPr>
          <w:i/>
        </w:rPr>
        <w:t>Alex.</w:t>
      </w:r>
      <w:r>
        <w:t xml:space="preserve"> 38; Mossman 1988: 85</w:t>
      </w:r>
    </w:p>
  </w:footnote>
  <w:footnote w:id="95">
    <w:p w14:paraId="50CFEDBB" w14:textId="72AB18CA" w:rsidR="00D0255B" w:rsidRDefault="00D0255B">
      <w:pPr>
        <w:pStyle w:val="FootnoteText"/>
      </w:pPr>
      <w:r>
        <w:rPr>
          <w:rStyle w:val="FootnoteReference"/>
        </w:rPr>
        <w:footnoteRef/>
      </w:r>
      <w:r>
        <w:t xml:space="preserve"> </w:t>
      </w:r>
      <w:proofErr w:type="spellStart"/>
      <w:r>
        <w:t>Plut</w:t>
      </w:r>
      <w:proofErr w:type="spellEnd"/>
      <w:r>
        <w:t xml:space="preserve">. </w:t>
      </w:r>
      <w:r w:rsidRPr="00D0255B">
        <w:rPr>
          <w:i/>
        </w:rPr>
        <w:t>Alex.</w:t>
      </w:r>
      <w:r>
        <w:t xml:space="preserve"> 38; Mossman 1988: 84-85</w:t>
      </w:r>
    </w:p>
  </w:footnote>
  <w:footnote w:id="96">
    <w:p w14:paraId="5EC93851" w14:textId="2C4CD623" w:rsidR="00D0255B" w:rsidRDefault="00D0255B">
      <w:pPr>
        <w:pStyle w:val="FootnoteText"/>
      </w:pPr>
      <w:r>
        <w:rPr>
          <w:rStyle w:val="FootnoteReference"/>
        </w:rPr>
        <w:footnoteRef/>
      </w:r>
      <w:r>
        <w:t xml:space="preserve"> </w:t>
      </w:r>
      <w:proofErr w:type="spellStart"/>
      <w:r>
        <w:t>Plut</w:t>
      </w:r>
      <w:proofErr w:type="spellEnd"/>
      <w:r>
        <w:t xml:space="preserve">. </w:t>
      </w:r>
      <w:r w:rsidRPr="00D0255B">
        <w:rPr>
          <w:i/>
        </w:rPr>
        <w:t>Alex</w:t>
      </w:r>
      <w:r>
        <w:t>. 38; Mossman 1988:85, 87</w:t>
      </w:r>
    </w:p>
  </w:footnote>
  <w:footnote w:id="97">
    <w:p w14:paraId="1BBC42AE" w14:textId="63442BE6" w:rsidR="00D0255B" w:rsidRDefault="00D0255B">
      <w:pPr>
        <w:pStyle w:val="FootnoteText"/>
      </w:pPr>
      <w:r>
        <w:rPr>
          <w:rStyle w:val="FootnoteReference"/>
        </w:rPr>
        <w:footnoteRef/>
      </w:r>
      <w:r>
        <w:t xml:space="preserve"> </w:t>
      </w:r>
      <w:proofErr w:type="spellStart"/>
      <w:r>
        <w:t>Aristot</w:t>
      </w:r>
      <w:proofErr w:type="spellEnd"/>
      <w:r>
        <w:t xml:space="preserve">. </w:t>
      </w:r>
      <w:r w:rsidRPr="00D0255B">
        <w:rPr>
          <w:i/>
        </w:rPr>
        <w:t>Nic. Eth.</w:t>
      </w:r>
      <w:r>
        <w:t xml:space="preserve"> 3.8.14</w:t>
      </w:r>
    </w:p>
  </w:footnote>
  <w:footnote w:id="98">
    <w:p w14:paraId="66823462" w14:textId="62589D9C" w:rsidR="00D0255B" w:rsidRDefault="00D0255B">
      <w:pPr>
        <w:pStyle w:val="FootnoteText"/>
      </w:pPr>
      <w:r>
        <w:rPr>
          <w:rStyle w:val="FootnoteReference"/>
        </w:rPr>
        <w:footnoteRef/>
      </w:r>
      <w:r>
        <w:t xml:space="preserve"> </w:t>
      </w:r>
      <w:proofErr w:type="spellStart"/>
      <w:r>
        <w:t>Plut</w:t>
      </w:r>
      <w:proofErr w:type="spellEnd"/>
      <w:r>
        <w:t xml:space="preserve">. </w:t>
      </w:r>
      <w:r w:rsidRPr="00D0255B">
        <w:rPr>
          <w:i/>
        </w:rPr>
        <w:t>Alex.</w:t>
      </w:r>
      <w:r>
        <w:t xml:space="preserve"> 38.4; </w:t>
      </w:r>
      <w:proofErr w:type="spellStart"/>
      <w:r>
        <w:t>Aristot</w:t>
      </w:r>
      <w:proofErr w:type="spellEnd"/>
      <w:r>
        <w:t xml:space="preserve">. </w:t>
      </w:r>
      <w:r w:rsidRPr="00D0255B">
        <w:rPr>
          <w:i/>
        </w:rPr>
        <w:t>Nic. Eth</w:t>
      </w:r>
      <w:r>
        <w:t>. 3.8.14</w:t>
      </w:r>
    </w:p>
  </w:footnote>
  <w:footnote w:id="99">
    <w:p w14:paraId="51CB0B80" w14:textId="71C212D5" w:rsidR="00D0255B" w:rsidRDefault="00D0255B">
      <w:pPr>
        <w:pStyle w:val="FootnoteText"/>
      </w:pPr>
      <w:r>
        <w:rPr>
          <w:rStyle w:val="FootnoteReference"/>
        </w:rPr>
        <w:footnoteRef/>
      </w:r>
      <w:r>
        <w:t xml:space="preserve"> </w:t>
      </w:r>
      <w:proofErr w:type="spellStart"/>
      <w:r>
        <w:t>Plut</w:t>
      </w:r>
      <w:proofErr w:type="spellEnd"/>
      <w:r>
        <w:t xml:space="preserve">. </w:t>
      </w:r>
      <w:r w:rsidRPr="00D0255B">
        <w:rPr>
          <w:i/>
        </w:rPr>
        <w:t>Alex.</w:t>
      </w:r>
      <w:r>
        <w:t xml:space="preserve"> 38; </w:t>
      </w:r>
      <w:proofErr w:type="spellStart"/>
      <w:r>
        <w:t>Aristot</w:t>
      </w:r>
      <w:proofErr w:type="spellEnd"/>
      <w:r>
        <w:t xml:space="preserve">. </w:t>
      </w:r>
      <w:r w:rsidRPr="00D0255B">
        <w:rPr>
          <w:i/>
        </w:rPr>
        <w:t>Nic. Eth.</w:t>
      </w:r>
      <w:r>
        <w:t xml:space="preserve"> 7.6; Ward 2015: 18</w:t>
      </w:r>
    </w:p>
  </w:footnote>
  <w:footnote w:id="100">
    <w:p w14:paraId="2B1A25F5" w14:textId="142AFA5E"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17.70.1</w:t>
      </w:r>
    </w:p>
  </w:footnote>
  <w:footnote w:id="101">
    <w:p w14:paraId="178D8469" w14:textId="4FD3A24B"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17.70</w:t>
      </w:r>
    </w:p>
  </w:footnote>
  <w:footnote w:id="102">
    <w:p w14:paraId="17647CF0" w14:textId="0505EF4A"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 xml:space="preserve">17.72; </w:t>
      </w:r>
      <w:proofErr w:type="spellStart"/>
      <w:r>
        <w:t>Plut</w:t>
      </w:r>
      <w:proofErr w:type="spellEnd"/>
      <w:r>
        <w:t xml:space="preserve">. </w:t>
      </w:r>
      <w:r w:rsidRPr="00D0255B">
        <w:rPr>
          <w:i/>
        </w:rPr>
        <w:t>Alex</w:t>
      </w:r>
      <w:r>
        <w:t>. 38</w:t>
      </w:r>
    </w:p>
  </w:footnote>
  <w:footnote w:id="103">
    <w:p w14:paraId="313BB486" w14:textId="4FB9ADC4"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17.70-71</w:t>
      </w:r>
    </w:p>
  </w:footnote>
  <w:footnote w:id="104">
    <w:p w14:paraId="6D38104E" w14:textId="214C27C6"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17.70.5</w:t>
      </w:r>
    </w:p>
  </w:footnote>
  <w:footnote w:id="105">
    <w:p w14:paraId="27D5674E" w14:textId="144FC994" w:rsidR="00D0255B" w:rsidRDefault="00D0255B">
      <w:pPr>
        <w:pStyle w:val="FootnoteText"/>
      </w:pPr>
      <w:r>
        <w:rPr>
          <w:rStyle w:val="FootnoteReference"/>
        </w:rPr>
        <w:footnoteRef/>
      </w:r>
      <w:r>
        <w:t xml:space="preserve"> </w:t>
      </w:r>
      <w:proofErr w:type="spellStart"/>
      <w:r>
        <w:t>Aristot</w:t>
      </w:r>
      <w:proofErr w:type="spellEnd"/>
      <w:r>
        <w:t xml:space="preserve">. </w:t>
      </w:r>
      <w:r w:rsidRPr="00D0255B">
        <w:rPr>
          <w:i/>
        </w:rPr>
        <w:t>Nic. Eth.</w:t>
      </w:r>
      <w:r>
        <w:t xml:space="preserve"> 7.4-7</w:t>
      </w:r>
    </w:p>
  </w:footnote>
  <w:footnote w:id="106">
    <w:p w14:paraId="6F264220" w14:textId="019E9C2B"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 xml:space="preserve">17.70.5; </w:t>
      </w:r>
      <w:proofErr w:type="spellStart"/>
      <w:r>
        <w:t>Aristot</w:t>
      </w:r>
      <w:proofErr w:type="spellEnd"/>
      <w:r>
        <w:t xml:space="preserve">. </w:t>
      </w:r>
      <w:r w:rsidRPr="00D0255B">
        <w:rPr>
          <w:i/>
        </w:rPr>
        <w:t>Nic. Eth.</w:t>
      </w:r>
      <w:r>
        <w:t xml:space="preserve"> 7.4-7</w:t>
      </w:r>
    </w:p>
  </w:footnote>
  <w:footnote w:id="107">
    <w:p w14:paraId="068CF162" w14:textId="0A46089F"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 xml:space="preserve">17.70-71; </w:t>
      </w:r>
      <w:proofErr w:type="spellStart"/>
      <w:r>
        <w:t>Aristot</w:t>
      </w:r>
      <w:proofErr w:type="spellEnd"/>
      <w:r>
        <w:t>. Nic. Eth. 10.9.14-22</w:t>
      </w:r>
    </w:p>
  </w:footnote>
  <w:footnote w:id="108">
    <w:p w14:paraId="56AD3881" w14:textId="3CD9CACE" w:rsidR="00D0255B" w:rsidRDefault="00D0255B">
      <w:pPr>
        <w:pStyle w:val="FootnoteText"/>
      </w:pPr>
      <w:r>
        <w:rPr>
          <w:rStyle w:val="FootnoteReference"/>
        </w:rPr>
        <w:footnoteRef/>
      </w:r>
      <w:r>
        <w:t xml:space="preserve"> </w:t>
      </w:r>
      <w:proofErr w:type="spellStart"/>
      <w:r>
        <w:t>Diod</w:t>
      </w:r>
      <w:proofErr w:type="spellEnd"/>
      <w:r>
        <w:t xml:space="preserve">. </w:t>
      </w:r>
      <w:r w:rsidR="002056F3">
        <w:t xml:space="preserve">Sic. </w:t>
      </w:r>
      <w:r>
        <w:t xml:space="preserve">17.72; </w:t>
      </w:r>
      <w:proofErr w:type="spellStart"/>
      <w:r>
        <w:t>Plut</w:t>
      </w:r>
      <w:proofErr w:type="spellEnd"/>
      <w:r>
        <w:t xml:space="preserve">. </w:t>
      </w:r>
      <w:r w:rsidRPr="00D0255B">
        <w:rPr>
          <w:i/>
        </w:rPr>
        <w:t>Alex</w:t>
      </w:r>
      <w:r>
        <w:t xml:space="preserve">. 38; </w:t>
      </w:r>
      <w:proofErr w:type="spellStart"/>
      <w:r>
        <w:t>Aristot</w:t>
      </w:r>
      <w:proofErr w:type="spellEnd"/>
      <w:r>
        <w:t xml:space="preserve">. </w:t>
      </w:r>
      <w:r w:rsidRPr="00D0255B">
        <w:rPr>
          <w:i/>
        </w:rPr>
        <w:t>Nic. Eth.</w:t>
      </w:r>
      <w:r>
        <w:t xml:space="preserve"> 7.6; </w:t>
      </w:r>
      <w:proofErr w:type="spellStart"/>
      <w:r>
        <w:t>Stoyles</w:t>
      </w:r>
      <w:proofErr w:type="spellEnd"/>
      <w:r>
        <w:t xml:space="preserve"> 2007: 197</w:t>
      </w:r>
    </w:p>
  </w:footnote>
  <w:footnote w:id="109">
    <w:p w14:paraId="2C06E972" w14:textId="22125445" w:rsidR="008D0A31" w:rsidRDefault="008D0A31" w:rsidP="008D0A31">
      <w:pPr>
        <w:pStyle w:val="FootnoteText"/>
      </w:pPr>
      <w:r>
        <w:rPr>
          <w:rStyle w:val="FootnoteReference"/>
        </w:rPr>
        <w:footnoteRef/>
      </w:r>
      <w:r>
        <w:t xml:space="preserve"> Arr. </w:t>
      </w:r>
      <w:proofErr w:type="spellStart"/>
      <w:r w:rsidRPr="00B31336">
        <w:rPr>
          <w:i/>
        </w:rPr>
        <w:t>Anab</w:t>
      </w:r>
      <w:proofErr w:type="spellEnd"/>
      <w:r w:rsidRPr="00B31336">
        <w:rPr>
          <w:i/>
        </w:rPr>
        <w:t>.</w:t>
      </w:r>
      <w:r>
        <w:t xml:space="preserve"> 3.18; </w:t>
      </w:r>
      <w:proofErr w:type="spellStart"/>
      <w:r>
        <w:t>Plut</w:t>
      </w:r>
      <w:proofErr w:type="spellEnd"/>
      <w:r>
        <w:t xml:space="preserve">. </w:t>
      </w:r>
      <w:r w:rsidRPr="00B31336">
        <w:rPr>
          <w:i/>
        </w:rPr>
        <w:t>Alex.</w:t>
      </w:r>
      <w:r>
        <w:t xml:space="preserve"> 38; </w:t>
      </w:r>
      <w:proofErr w:type="spellStart"/>
      <w:r>
        <w:t>Diod</w:t>
      </w:r>
      <w:proofErr w:type="spellEnd"/>
      <w:r>
        <w:t>.</w:t>
      </w:r>
      <w:r w:rsidR="002056F3" w:rsidRPr="002056F3">
        <w:t xml:space="preserve"> </w:t>
      </w:r>
      <w:r w:rsidR="002056F3">
        <w:t xml:space="preserve">Sic. </w:t>
      </w:r>
      <w:r>
        <w:t xml:space="preserve"> 17.60-61</w:t>
      </w:r>
    </w:p>
  </w:footnote>
  <w:footnote w:id="110">
    <w:p w14:paraId="3407E303" w14:textId="19A5D031" w:rsidR="00E87AB3" w:rsidRDefault="00E87AB3">
      <w:pPr>
        <w:pStyle w:val="FootnoteText"/>
      </w:pPr>
      <w:r>
        <w:rPr>
          <w:rStyle w:val="FootnoteReference"/>
        </w:rPr>
        <w:footnoteRef/>
      </w:r>
      <w:r>
        <w:t xml:space="preserve"> O’Brien 1993: 101</w:t>
      </w:r>
    </w:p>
  </w:footnote>
  <w:footnote w:id="111">
    <w:p w14:paraId="74686117" w14:textId="4FF9FE76" w:rsidR="00B31336" w:rsidRDefault="00B31336">
      <w:pPr>
        <w:pStyle w:val="FootnoteText"/>
      </w:pPr>
      <w:r>
        <w:rPr>
          <w:rStyle w:val="FootnoteReference"/>
        </w:rPr>
        <w:footnoteRef/>
      </w:r>
      <w:r>
        <w:t xml:space="preserve"> </w:t>
      </w:r>
      <w:proofErr w:type="spellStart"/>
      <w:r>
        <w:t>Diod</w:t>
      </w:r>
      <w:proofErr w:type="spellEnd"/>
      <w:r>
        <w:t xml:space="preserve">. </w:t>
      </w:r>
      <w:r w:rsidR="00B171BA">
        <w:t xml:space="preserve">Sic. </w:t>
      </w:r>
      <w:r>
        <w:t xml:space="preserve">17.69; </w:t>
      </w:r>
      <w:proofErr w:type="spellStart"/>
      <w:r>
        <w:t>Aristot</w:t>
      </w:r>
      <w:proofErr w:type="spellEnd"/>
      <w:r>
        <w:t xml:space="preserve">. </w:t>
      </w:r>
      <w:r w:rsidRPr="00B31336">
        <w:rPr>
          <w:i/>
        </w:rPr>
        <w:t>Nic. Eth.</w:t>
      </w:r>
      <w:r>
        <w:t xml:space="preserve"> 7.6</w:t>
      </w:r>
    </w:p>
  </w:footnote>
  <w:footnote w:id="112">
    <w:p w14:paraId="61C3C6EC" w14:textId="77777777" w:rsidR="008D0A31" w:rsidRDefault="008D0A31" w:rsidP="008D0A31">
      <w:pPr>
        <w:pStyle w:val="FootnoteText"/>
      </w:pPr>
      <w:r>
        <w:rPr>
          <w:rStyle w:val="FootnoteReference"/>
        </w:rPr>
        <w:footnoteRef/>
      </w:r>
      <w:r>
        <w:t xml:space="preserve"> </w:t>
      </w:r>
      <w:proofErr w:type="spellStart"/>
      <w:r>
        <w:t>Plut</w:t>
      </w:r>
      <w:proofErr w:type="spellEnd"/>
      <w:r>
        <w:t xml:space="preserve">. </w:t>
      </w:r>
      <w:r w:rsidRPr="005C2C0C">
        <w:rPr>
          <w:i/>
        </w:rPr>
        <w:t>Alex.</w:t>
      </w:r>
      <w:r>
        <w:t xml:space="preserve"> 38; O’Brien 1993: 101-102</w:t>
      </w:r>
    </w:p>
  </w:footnote>
  <w:footnote w:id="113">
    <w:p w14:paraId="0B9D2E56" w14:textId="3BE1B817" w:rsidR="00EE6F27" w:rsidRDefault="00EE6F27">
      <w:pPr>
        <w:pStyle w:val="FootnoteText"/>
      </w:pPr>
      <w:r>
        <w:rPr>
          <w:rStyle w:val="FootnoteReference"/>
        </w:rPr>
        <w:footnoteRef/>
      </w:r>
      <w:r>
        <w:t xml:space="preserve"> Arr.</w:t>
      </w:r>
      <w:r w:rsidRPr="00EE6F27">
        <w:rPr>
          <w:i/>
        </w:rPr>
        <w:t xml:space="preserve"> </w:t>
      </w:r>
      <w:proofErr w:type="spellStart"/>
      <w:r w:rsidRPr="00EE6F27">
        <w:rPr>
          <w:i/>
        </w:rPr>
        <w:t>Anab</w:t>
      </w:r>
      <w:proofErr w:type="spellEnd"/>
      <w:r>
        <w:t>. 3.18; O’Brien 1993: 108</w:t>
      </w:r>
    </w:p>
  </w:footnote>
  <w:footnote w:id="114">
    <w:p w14:paraId="17A8C3C1" w14:textId="34E0066B" w:rsidR="00EE6F27" w:rsidRDefault="00EE6F27">
      <w:pPr>
        <w:pStyle w:val="FootnoteText"/>
      </w:pPr>
      <w:r>
        <w:rPr>
          <w:rStyle w:val="FootnoteReference"/>
        </w:rPr>
        <w:footnoteRef/>
      </w:r>
      <w:r>
        <w:t xml:space="preserve"> Arr. </w:t>
      </w:r>
      <w:proofErr w:type="spellStart"/>
      <w:r w:rsidRPr="00EE6F27">
        <w:rPr>
          <w:i/>
        </w:rPr>
        <w:t>Anab</w:t>
      </w:r>
      <w:proofErr w:type="spellEnd"/>
      <w:r>
        <w:t>. 3.18; O’Brien 1993: 108</w:t>
      </w:r>
    </w:p>
  </w:footnote>
  <w:footnote w:id="115">
    <w:p w14:paraId="757EB5F5" w14:textId="44A3E316" w:rsidR="005C2C0C" w:rsidRDefault="005C2C0C">
      <w:pPr>
        <w:pStyle w:val="FootnoteText"/>
      </w:pPr>
      <w:r>
        <w:rPr>
          <w:rStyle w:val="FootnoteReference"/>
        </w:rPr>
        <w:footnoteRef/>
      </w:r>
      <w:r>
        <w:t xml:space="preserve"> </w:t>
      </w:r>
      <w:proofErr w:type="spellStart"/>
      <w:r>
        <w:t>Diod</w:t>
      </w:r>
      <w:proofErr w:type="spellEnd"/>
      <w:r>
        <w:t xml:space="preserve">. </w:t>
      </w:r>
      <w:r w:rsidR="00B171BA">
        <w:t xml:space="preserve">Sic. </w:t>
      </w:r>
      <w:r>
        <w:t xml:space="preserve">17.72; </w:t>
      </w:r>
      <w:proofErr w:type="spellStart"/>
      <w:r>
        <w:t>Plut</w:t>
      </w:r>
      <w:proofErr w:type="spellEnd"/>
      <w:r>
        <w:t xml:space="preserve">. </w:t>
      </w:r>
      <w:r w:rsidRPr="005C2C0C">
        <w:rPr>
          <w:i/>
        </w:rPr>
        <w:t>Alex</w:t>
      </w:r>
      <w:r>
        <w:t>. 38</w:t>
      </w:r>
    </w:p>
  </w:footnote>
  <w:footnote w:id="116">
    <w:p w14:paraId="0BFD20AB" w14:textId="63351B01" w:rsidR="005C2C0C" w:rsidRDefault="005C2C0C">
      <w:pPr>
        <w:pStyle w:val="FootnoteText"/>
      </w:pPr>
      <w:r>
        <w:rPr>
          <w:rStyle w:val="FootnoteReference"/>
        </w:rPr>
        <w:footnoteRef/>
      </w:r>
      <w:r>
        <w:t xml:space="preserve"> O’Brien 1993: 109</w:t>
      </w:r>
    </w:p>
  </w:footnote>
  <w:footnote w:id="117">
    <w:p w14:paraId="1E37AF7E" w14:textId="4C1221E4" w:rsidR="005C2C0C" w:rsidRDefault="005C2C0C">
      <w:pPr>
        <w:pStyle w:val="FootnoteText"/>
      </w:pPr>
      <w:r>
        <w:rPr>
          <w:rStyle w:val="FootnoteReference"/>
        </w:rPr>
        <w:footnoteRef/>
      </w:r>
      <w:r>
        <w:t xml:space="preserve"> O’Brien 1993:</w:t>
      </w:r>
      <w:r w:rsidR="008C5626">
        <w:t xml:space="preserve"> </w:t>
      </w:r>
      <w:r>
        <w:t>109; Arr.</w:t>
      </w:r>
      <w:r w:rsidRPr="005C2C0C">
        <w:rPr>
          <w:i/>
        </w:rPr>
        <w:t xml:space="preserve"> </w:t>
      </w:r>
      <w:proofErr w:type="spellStart"/>
      <w:r w:rsidRPr="005C2C0C">
        <w:rPr>
          <w:i/>
        </w:rPr>
        <w:t>Anab</w:t>
      </w:r>
      <w:proofErr w:type="spellEnd"/>
      <w:r>
        <w:t>. 3.18</w:t>
      </w:r>
    </w:p>
  </w:footnote>
  <w:footnote w:id="118">
    <w:p w14:paraId="2AFF9C8D" w14:textId="5E4BA43F" w:rsidR="00183CEF" w:rsidRDefault="00183CEF">
      <w:pPr>
        <w:pStyle w:val="FootnoteText"/>
      </w:pPr>
      <w:r>
        <w:rPr>
          <w:rStyle w:val="FootnoteReference"/>
        </w:rPr>
        <w:footnoteRef/>
      </w:r>
      <w:r>
        <w:t xml:space="preserve"> Arr.</w:t>
      </w:r>
      <w:r w:rsidRPr="00D92BC5">
        <w:rPr>
          <w:i/>
        </w:rPr>
        <w:t xml:space="preserve"> </w:t>
      </w:r>
      <w:proofErr w:type="spellStart"/>
      <w:r w:rsidRPr="00D92BC5">
        <w:rPr>
          <w:i/>
        </w:rPr>
        <w:t>Anab</w:t>
      </w:r>
      <w:proofErr w:type="spellEnd"/>
      <w:r>
        <w:t>. 3.18</w:t>
      </w:r>
      <w:r w:rsidR="00525411">
        <w:t xml:space="preserve">; </w:t>
      </w:r>
      <w:proofErr w:type="spellStart"/>
      <w:r>
        <w:t>Plut</w:t>
      </w:r>
      <w:proofErr w:type="spellEnd"/>
      <w:r>
        <w:t xml:space="preserve">. </w:t>
      </w:r>
      <w:r w:rsidRPr="00183CEF">
        <w:rPr>
          <w:i/>
        </w:rPr>
        <w:t>Alex.</w:t>
      </w:r>
      <w:r>
        <w:t xml:space="preserve"> 31-33, 38; </w:t>
      </w:r>
      <w:proofErr w:type="spellStart"/>
      <w:r>
        <w:t>Diod</w:t>
      </w:r>
      <w:proofErr w:type="spellEnd"/>
      <w:r>
        <w:t xml:space="preserve">. </w:t>
      </w:r>
      <w:r w:rsidR="00B171BA">
        <w:t xml:space="preserve">Sic. </w:t>
      </w:r>
      <w:r>
        <w:t>17.70-72</w:t>
      </w:r>
    </w:p>
  </w:footnote>
  <w:footnote w:id="119">
    <w:p w14:paraId="672F70BF" w14:textId="4C2501C5" w:rsidR="00B2205F" w:rsidRDefault="00B2205F">
      <w:pPr>
        <w:pStyle w:val="FootnoteText"/>
      </w:pPr>
      <w:r>
        <w:rPr>
          <w:rStyle w:val="FootnoteReference"/>
        </w:rPr>
        <w:footnoteRef/>
      </w:r>
      <w:r>
        <w:t xml:space="preserve"> Arr. </w:t>
      </w:r>
      <w:proofErr w:type="spellStart"/>
      <w:r w:rsidRPr="00B2205F">
        <w:rPr>
          <w:i/>
        </w:rPr>
        <w:t>Anab</w:t>
      </w:r>
      <w:proofErr w:type="spellEnd"/>
      <w:r>
        <w:t>. 7.18</w:t>
      </w:r>
    </w:p>
  </w:footnote>
  <w:footnote w:id="120">
    <w:p w14:paraId="2853340B" w14:textId="144CD9D2" w:rsidR="004F2B70" w:rsidRDefault="004F2B70">
      <w:pPr>
        <w:pStyle w:val="FootnoteText"/>
      </w:pPr>
      <w:r>
        <w:rPr>
          <w:rStyle w:val="FootnoteReference"/>
        </w:rPr>
        <w:footnoteRef/>
      </w:r>
      <w:r>
        <w:t xml:space="preserve"> Mossman 1988: 85, 88</w:t>
      </w:r>
    </w:p>
  </w:footnote>
  <w:footnote w:id="121">
    <w:p w14:paraId="362A7567" w14:textId="16E8FC40" w:rsidR="00B2205F" w:rsidRDefault="00B2205F">
      <w:pPr>
        <w:pStyle w:val="FootnoteText"/>
      </w:pPr>
      <w:r>
        <w:rPr>
          <w:rStyle w:val="FootnoteReference"/>
        </w:rPr>
        <w:footnoteRef/>
      </w:r>
      <w:r>
        <w:t xml:space="preserve"> </w:t>
      </w:r>
      <w:proofErr w:type="spellStart"/>
      <w:r>
        <w:t>Diod</w:t>
      </w:r>
      <w:proofErr w:type="spellEnd"/>
      <w:r>
        <w:t xml:space="preserve">. </w:t>
      </w:r>
      <w:r w:rsidR="00B171BA">
        <w:t xml:space="preserve">Sic. </w:t>
      </w:r>
      <w:r>
        <w:t>17.1, 69</w:t>
      </w:r>
    </w:p>
  </w:footnote>
  <w:footnote w:id="122">
    <w:p w14:paraId="50E7F6C3" w14:textId="28E3B300" w:rsidR="00525411" w:rsidRDefault="00525411">
      <w:pPr>
        <w:pStyle w:val="FootnoteText"/>
      </w:pPr>
      <w:r>
        <w:rPr>
          <w:rStyle w:val="FootnoteReference"/>
        </w:rPr>
        <w:footnoteRef/>
      </w:r>
      <w:r>
        <w:t xml:space="preserve"> </w:t>
      </w:r>
      <w:proofErr w:type="spellStart"/>
      <w:r>
        <w:t>Plut</w:t>
      </w:r>
      <w:proofErr w:type="spellEnd"/>
      <w:r>
        <w:t xml:space="preserve">. </w:t>
      </w:r>
      <w:r w:rsidR="00EE3D24" w:rsidRPr="00EE3D24">
        <w:rPr>
          <w:i/>
        </w:rPr>
        <w:t>Mor</w:t>
      </w:r>
      <w:r w:rsidRPr="00EE3D24">
        <w:rPr>
          <w:i/>
        </w:rPr>
        <w:t>.</w:t>
      </w:r>
      <w:r w:rsidR="00EE3D24" w:rsidRPr="00EE3D24">
        <w:rPr>
          <w:i/>
        </w:rPr>
        <w:t xml:space="preserve"> De Alex. fort.</w:t>
      </w:r>
      <w:r>
        <w:t xml:space="preserve"> 1.11, 2.12</w:t>
      </w:r>
    </w:p>
  </w:footnote>
  <w:footnote w:id="123">
    <w:p w14:paraId="49A30463" w14:textId="157C5521" w:rsidR="00D92BC5" w:rsidRDefault="00D92BC5">
      <w:pPr>
        <w:pStyle w:val="FootnoteText"/>
      </w:pPr>
      <w:r>
        <w:rPr>
          <w:rStyle w:val="FootnoteReference"/>
        </w:rPr>
        <w:footnoteRef/>
      </w:r>
      <w:r>
        <w:t xml:space="preserve"> Arr. </w:t>
      </w:r>
      <w:proofErr w:type="spellStart"/>
      <w:r w:rsidRPr="00D92BC5">
        <w:rPr>
          <w:i/>
        </w:rPr>
        <w:t>Anab</w:t>
      </w:r>
      <w:proofErr w:type="spellEnd"/>
      <w:r>
        <w:t xml:space="preserve">. 3.14; </w:t>
      </w:r>
      <w:proofErr w:type="spellStart"/>
      <w:r>
        <w:t>Diod</w:t>
      </w:r>
      <w:proofErr w:type="spellEnd"/>
      <w:r>
        <w:t xml:space="preserve">. </w:t>
      </w:r>
      <w:r w:rsidR="00B171BA">
        <w:t xml:space="preserve">Sic. </w:t>
      </w:r>
      <w:r>
        <w:t>17.60.1-2</w:t>
      </w:r>
    </w:p>
  </w:footnote>
  <w:footnote w:id="124">
    <w:p w14:paraId="5DD1EBF6" w14:textId="463FB7D6" w:rsidR="00D92BC5" w:rsidRDefault="00D92BC5">
      <w:pPr>
        <w:pStyle w:val="FootnoteText"/>
      </w:pPr>
      <w:r>
        <w:rPr>
          <w:rStyle w:val="FootnoteReference"/>
        </w:rPr>
        <w:footnoteRef/>
      </w:r>
      <w:r>
        <w:t xml:space="preserve"> Arr. </w:t>
      </w:r>
      <w:proofErr w:type="spellStart"/>
      <w:r w:rsidRPr="00D92BC5">
        <w:rPr>
          <w:i/>
        </w:rPr>
        <w:t>Anab</w:t>
      </w:r>
      <w:proofErr w:type="spellEnd"/>
      <w:r>
        <w:t>. 3.18</w:t>
      </w:r>
      <w:r w:rsidR="00525411">
        <w:t xml:space="preserve">; </w:t>
      </w:r>
      <w:proofErr w:type="spellStart"/>
      <w:r w:rsidR="00525411">
        <w:t>Diod</w:t>
      </w:r>
      <w:proofErr w:type="spellEnd"/>
      <w:r w:rsidR="00525411">
        <w:t>.</w:t>
      </w:r>
      <w:r w:rsidR="00B171BA" w:rsidRPr="00B171BA">
        <w:t xml:space="preserve"> </w:t>
      </w:r>
      <w:r w:rsidR="00B171BA">
        <w:t xml:space="preserve">Sic. </w:t>
      </w:r>
      <w:r w:rsidR="00525411">
        <w:t xml:space="preserve"> 17.71-72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BA8"/>
    <w:rsid w:val="000157D4"/>
    <w:rsid w:val="00023B51"/>
    <w:rsid w:val="00035A3B"/>
    <w:rsid w:val="000A362D"/>
    <w:rsid w:val="000C7941"/>
    <w:rsid w:val="000F01F6"/>
    <w:rsid w:val="00100872"/>
    <w:rsid w:val="001031A9"/>
    <w:rsid w:val="001062B8"/>
    <w:rsid w:val="001137CE"/>
    <w:rsid w:val="001541FA"/>
    <w:rsid w:val="00162393"/>
    <w:rsid w:val="0016471E"/>
    <w:rsid w:val="00183CEF"/>
    <w:rsid w:val="00195754"/>
    <w:rsid w:val="001C7A90"/>
    <w:rsid w:val="001E2F41"/>
    <w:rsid w:val="001E58D4"/>
    <w:rsid w:val="002056F3"/>
    <w:rsid w:val="00216130"/>
    <w:rsid w:val="00252FFB"/>
    <w:rsid w:val="0028498B"/>
    <w:rsid w:val="00287CEF"/>
    <w:rsid w:val="002F3AA4"/>
    <w:rsid w:val="00307ECE"/>
    <w:rsid w:val="003220C0"/>
    <w:rsid w:val="003320D1"/>
    <w:rsid w:val="0036150D"/>
    <w:rsid w:val="00375FD9"/>
    <w:rsid w:val="0038731C"/>
    <w:rsid w:val="003B0BDD"/>
    <w:rsid w:val="003C2388"/>
    <w:rsid w:val="0040466E"/>
    <w:rsid w:val="00404B28"/>
    <w:rsid w:val="004642FC"/>
    <w:rsid w:val="00494558"/>
    <w:rsid w:val="004A6AFF"/>
    <w:rsid w:val="004D215B"/>
    <w:rsid w:val="004D2250"/>
    <w:rsid w:val="004E44DE"/>
    <w:rsid w:val="004E4EA2"/>
    <w:rsid w:val="004F2B70"/>
    <w:rsid w:val="00525411"/>
    <w:rsid w:val="0053708E"/>
    <w:rsid w:val="0056169F"/>
    <w:rsid w:val="0059249E"/>
    <w:rsid w:val="005C2C0C"/>
    <w:rsid w:val="005D1574"/>
    <w:rsid w:val="005D428D"/>
    <w:rsid w:val="005D6E8B"/>
    <w:rsid w:val="005F7D4D"/>
    <w:rsid w:val="006021A0"/>
    <w:rsid w:val="00611BD0"/>
    <w:rsid w:val="00614068"/>
    <w:rsid w:val="00635E8E"/>
    <w:rsid w:val="006370B1"/>
    <w:rsid w:val="00637345"/>
    <w:rsid w:val="00646014"/>
    <w:rsid w:val="00667591"/>
    <w:rsid w:val="006701B6"/>
    <w:rsid w:val="006759F8"/>
    <w:rsid w:val="00683819"/>
    <w:rsid w:val="006E06A6"/>
    <w:rsid w:val="007006B7"/>
    <w:rsid w:val="007141B0"/>
    <w:rsid w:val="007535E5"/>
    <w:rsid w:val="0077260D"/>
    <w:rsid w:val="00776932"/>
    <w:rsid w:val="00783164"/>
    <w:rsid w:val="0079737F"/>
    <w:rsid w:val="007F4602"/>
    <w:rsid w:val="00816BD0"/>
    <w:rsid w:val="00821746"/>
    <w:rsid w:val="008B1531"/>
    <w:rsid w:val="008B3FD5"/>
    <w:rsid w:val="008C5626"/>
    <w:rsid w:val="008D0A31"/>
    <w:rsid w:val="008F6DF9"/>
    <w:rsid w:val="00907BBD"/>
    <w:rsid w:val="009405FA"/>
    <w:rsid w:val="009452B7"/>
    <w:rsid w:val="0097205E"/>
    <w:rsid w:val="00975649"/>
    <w:rsid w:val="00981764"/>
    <w:rsid w:val="009A7FBC"/>
    <w:rsid w:val="00A212AD"/>
    <w:rsid w:val="00A2163E"/>
    <w:rsid w:val="00A21F70"/>
    <w:rsid w:val="00A22D00"/>
    <w:rsid w:val="00A33727"/>
    <w:rsid w:val="00A64054"/>
    <w:rsid w:val="00B06028"/>
    <w:rsid w:val="00B171BA"/>
    <w:rsid w:val="00B2205F"/>
    <w:rsid w:val="00B31336"/>
    <w:rsid w:val="00B364A1"/>
    <w:rsid w:val="00B465EB"/>
    <w:rsid w:val="00B5169F"/>
    <w:rsid w:val="00B661EE"/>
    <w:rsid w:val="00B918E8"/>
    <w:rsid w:val="00BA23C4"/>
    <w:rsid w:val="00BD7B3B"/>
    <w:rsid w:val="00C17EFC"/>
    <w:rsid w:val="00C709DD"/>
    <w:rsid w:val="00CC03B5"/>
    <w:rsid w:val="00CD4C0D"/>
    <w:rsid w:val="00CD6B82"/>
    <w:rsid w:val="00CE4ADC"/>
    <w:rsid w:val="00D0255B"/>
    <w:rsid w:val="00D100D2"/>
    <w:rsid w:val="00D46D2F"/>
    <w:rsid w:val="00D46F78"/>
    <w:rsid w:val="00D6681E"/>
    <w:rsid w:val="00D715BA"/>
    <w:rsid w:val="00D75DD3"/>
    <w:rsid w:val="00D92BC5"/>
    <w:rsid w:val="00D93D20"/>
    <w:rsid w:val="00DA1AB5"/>
    <w:rsid w:val="00DA7250"/>
    <w:rsid w:val="00DB584A"/>
    <w:rsid w:val="00DF4BA8"/>
    <w:rsid w:val="00E0365A"/>
    <w:rsid w:val="00E14BBA"/>
    <w:rsid w:val="00E1701D"/>
    <w:rsid w:val="00E3669B"/>
    <w:rsid w:val="00E4426F"/>
    <w:rsid w:val="00E55B30"/>
    <w:rsid w:val="00E74AB2"/>
    <w:rsid w:val="00E82241"/>
    <w:rsid w:val="00E857A6"/>
    <w:rsid w:val="00E87AB3"/>
    <w:rsid w:val="00EA55DB"/>
    <w:rsid w:val="00EC5974"/>
    <w:rsid w:val="00EE1ACF"/>
    <w:rsid w:val="00EE3D24"/>
    <w:rsid w:val="00EE6F27"/>
    <w:rsid w:val="00EF0DE7"/>
    <w:rsid w:val="00F05717"/>
    <w:rsid w:val="00F25721"/>
    <w:rsid w:val="00F25AE2"/>
    <w:rsid w:val="00F62E8B"/>
    <w:rsid w:val="00F64889"/>
    <w:rsid w:val="00F7209C"/>
    <w:rsid w:val="00FC23F3"/>
    <w:rsid w:val="00FC426C"/>
    <w:rsid w:val="00FE51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FDF0AB"/>
  <w14:defaultImageDpi w14:val="300"/>
  <w15:docId w15:val="{741B385B-ACD0-4181-9E49-1F430BDD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5DD3"/>
    <w:rPr>
      <w:rFonts w:eastAsiaTheme="minorHAnsi"/>
      <w:sz w:val="20"/>
      <w:szCs w:val="20"/>
    </w:rPr>
  </w:style>
  <w:style w:type="character" w:customStyle="1" w:styleId="FootnoteTextChar">
    <w:name w:val="Footnote Text Char"/>
    <w:basedOn w:val="DefaultParagraphFont"/>
    <w:link w:val="FootnoteText"/>
    <w:uiPriority w:val="99"/>
    <w:semiHidden/>
    <w:rsid w:val="00D75DD3"/>
    <w:rPr>
      <w:rFonts w:eastAsiaTheme="minorHAnsi"/>
      <w:sz w:val="20"/>
      <w:szCs w:val="20"/>
    </w:rPr>
  </w:style>
  <w:style w:type="character" w:styleId="FootnoteReference">
    <w:name w:val="footnote reference"/>
    <w:basedOn w:val="DefaultParagraphFont"/>
    <w:uiPriority w:val="99"/>
    <w:semiHidden/>
    <w:unhideWhenUsed/>
    <w:rsid w:val="00D75D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34BA4-67CA-4612-BFAB-85DE254D0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13</Pages>
  <Words>4208</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Owen-Jack Semley</dc:creator>
  <cp:keywords/>
  <dc:description/>
  <cp:lastModifiedBy>Student</cp:lastModifiedBy>
  <cp:revision>19</cp:revision>
  <cp:lastPrinted>2018-04-29T14:33:00Z</cp:lastPrinted>
  <dcterms:created xsi:type="dcterms:W3CDTF">2018-04-29T23:52:00Z</dcterms:created>
  <dcterms:modified xsi:type="dcterms:W3CDTF">2018-05-10T16:47:00Z</dcterms:modified>
</cp:coreProperties>
</file>