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516A" w:rsidRDefault="00FF516A" w:rsidP="00AB6332">
      <w:pPr>
        <w:jc w:val="center"/>
        <w:rPr>
          <w:b/>
          <w:sz w:val="72"/>
          <w:szCs w:val="72"/>
          <w:lang w:val="en-US"/>
        </w:rPr>
      </w:pPr>
    </w:p>
    <w:p w:rsidR="00FF516A" w:rsidRDefault="00FF516A" w:rsidP="00AB6332">
      <w:pPr>
        <w:jc w:val="center"/>
        <w:rPr>
          <w:b/>
          <w:sz w:val="72"/>
          <w:szCs w:val="72"/>
          <w:lang w:val="en-US"/>
        </w:rPr>
      </w:pPr>
    </w:p>
    <w:p w:rsidR="00AB6332" w:rsidRPr="0036088A" w:rsidRDefault="00AB6332" w:rsidP="00AB6332">
      <w:pPr>
        <w:jc w:val="center"/>
        <w:rPr>
          <w:b/>
          <w:sz w:val="72"/>
          <w:szCs w:val="72"/>
          <w:lang w:val="en-US"/>
        </w:rPr>
      </w:pPr>
      <w:r w:rsidRPr="0036088A">
        <w:rPr>
          <w:b/>
          <w:sz w:val="72"/>
          <w:szCs w:val="72"/>
          <w:lang w:val="en-US"/>
        </w:rPr>
        <w:t>PCET- Post Compulsory Education in Teaching</w:t>
      </w:r>
    </w:p>
    <w:p w:rsidR="00AB6332" w:rsidRDefault="00AB6332" w:rsidP="00AB6332">
      <w:pPr>
        <w:jc w:val="center"/>
        <w:rPr>
          <w:b/>
          <w:sz w:val="72"/>
          <w:szCs w:val="72"/>
          <w:lang w:val="en-US"/>
        </w:rPr>
      </w:pPr>
    </w:p>
    <w:p w:rsidR="00AB6332" w:rsidRPr="00AB6332" w:rsidRDefault="00AB6332" w:rsidP="00AB6332">
      <w:pPr>
        <w:jc w:val="center"/>
        <w:rPr>
          <w:b/>
          <w:sz w:val="72"/>
          <w:szCs w:val="72"/>
          <w:lang w:val="en-US"/>
        </w:rPr>
      </w:pPr>
      <w:r w:rsidRPr="00AB6332">
        <w:rPr>
          <w:b/>
          <w:sz w:val="72"/>
          <w:szCs w:val="72"/>
          <w:lang w:val="en-US"/>
        </w:rPr>
        <w:t>Effective Teaching, Learning and Assessment in PCET</w:t>
      </w:r>
    </w:p>
    <w:p w:rsidR="00AB6332" w:rsidRPr="0036088A" w:rsidRDefault="00AB6332" w:rsidP="00AB6332">
      <w:pPr>
        <w:jc w:val="center"/>
        <w:rPr>
          <w:b/>
          <w:sz w:val="72"/>
          <w:szCs w:val="72"/>
          <w:lang w:val="en-US"/>
        </w:rPr>
      </w:pPr>
      <w:r>
        <w:rPr>
          <w:b/>
          <w:sz w:val="72"/>
          <w:szCs w:val="72"/>
          <w:lang w:val="en-US"/>
        </w:rPr>
        <w:t>M6X02269</w:t>
      </w:r>
    </w:p>
    <w:p w:rsidR="00AB6332" w:rsidRPr="0036088A" w:rsidRDefault="00AB6332" w:rsidP="00AB6332">
      <w:pPr>
        <w:jc w:val="center"/>
        <w:rPr>
          <w:b/>
          <w:sz w:val="72"/>
          <w:szCs w:val="72"/>
          <w:lang w:val="en-US"/>
        </w:rPr>
      </w:pPr>
    </w:p>
    <w:p w:rsidR="00AB6332" w:rsidRPr="0036088A" w:rsidRDefault="00AB6332" w:rsidP="00AB6332">
      <w:pPr>
        <w:jc w:val="center"/>
        <w:rPr>
          <w:b/>
          <w:sz w:val="72"/>
          <w:szCs w:val="72"/>
          <w:lang w:val="en-US"/>
        </w:rPr>
      </w:pPr>
      <w:r w:rsidRPr="0036088A">
        <w:rPr>
          <w:b/>
          <w:sz w:val="72"/>
          <w:szCs w:val="72"/>
          <w:lang w:val="en-US"/>
        </w:rPr>
        <w:t>Matthew Clement</w:t>
      </w:r>
    </w:p>
    <w:p w:rsidR="00AB6332" w:rsidRPr="0036088A" w:rsidRDefault="00AB6332" w:rsidP="00AB6332">
      <w:pPr>
        <w:jc w:val="center"/>
        <w:rPr>
          <w:b/>
          <w:sz w:val="72"/>
          <w:szCs w:val="72"/>
          <w:lang w:val="en-US"/>
        </w:rPr>
      </w:pPr>
      <w:r w:rsidRPr="0036088A">
        <w:rPr>
          <w:b/>
          <w:sz w:val="72"/>
          <w:szCs w:val="72"/>
          <w:lang w:val="en-US"/>
        </w:rPr>
        <w:t>P0750349</w:t>
      </w:r>
    </w:p>
    <w:p w:rsidR="009B2811" w:rsidRDefault="00086D50">
      <w:pPr>
        <w:rPr>
          <w:lang w:val="en-US"/>
        </w:rPr>
      </w:pPr>
    </w:p>
    <w:p w:rsidR="00AB6332" w:rsidRDefault="00AB6332">
      <w:pPr>
        <w:rPr>
          <w:lang w:val="en-US"/>
        </w:rPr>
      </w:pPr>
    </w:p>
    <w:p w:rsidR="00AB6332" w:rsidRDefault="00AB6332">
      <w:pPr>
        <w:rPr>
          <w:lang w:val="en-US"/>
        </w:rPr>
      </w:pPr>
    </w:p>
    <w:p w:rsidR="00AB6332" w:rsidRDefault="00AB6332">
      <w:pPr>
        <w:rPr>
          <w:lang w:val="en-US"/>
        </w:rPr>
      </w:pPr>
    </w:p>
    <w:p w:rsidR="00AB6332" w:rsidRDefault="00AB6332">
      <w:pPr>
        <w:rPr>
          <w:lang w:val="en-US"/>
        </w:rPr>
      </w:pPr>
    </w:p>
    <w:p w:rsidR="00AB6332" w:rsidRDefault="00AB6332">
      <w:pPr>
        <w:rPr>
          <w:lang w:val="en-US"/>
        </w:rPr>
      </w:pPr>
    </w:p>
    <w:p w:rsidR="00AB6332" w:rsidRDefault="00AB6332">
      <w:pPr>
        <w:rPr>
          <w:lang w:val="en-US"/>
        </w:rPr>
      </w:pPr>
    </w:p>
    <w:p w:rsidR="00AB6332" w:rsidRDefault="00AB6332">
      <w:pPr>
        <w:rPr>
          <w:lang w:val="en-US"/>
        </w:rPr>
      </w:pPr>
    </w:p>
    <w:p w:rsidR="00AB6332" w:rsidRDefault="00AB6332">
      <w:pPr>
        <w:rPr>
          <w:lang w:val="en-US"/>
        </w:rPr>
      </w:pPr>
    </w:p>
    <w:p w:rsidR="00AB6332" w:rsidRDefault="00AB6332">
      <w:pPr>
        <w:rPr>
          <w:lang w:val="en-US"/>
        </w:rPr>
      </w:pPr>
    </w:p>
    <w:p w:rsidR="00AB6332" w:rsidRDefault="00AB6332">
      <w:pPr>
        <w:rPr>
          <w:lang w:val="en-US"/>
        </w:rPr>
      </w:pPr>
    </w:p>
    <w:p w:rsidR="00AB6332" w:rsidRDefault="00AB6332">
      <w:pPr>
        <w:rPr>
          <w:lang w:val="en-US"/>
        </w:rPr>
      </w:pPr>
    </w:p>
    <w:p w:rsidR="00AB6332" w:rsidRDefault="00AB6332">
      <w:pPr>
        <w:rPr>
          <w:lang w:val="en-US"/>
        </w:rPr>
      </w:pPr>
    </w:p>
    <w:p w:rsidR="00AB6332" w:rsidRDefault="00AB6332">
      <w:pPr>
        <w:rPr>
          <w:lang w:val="en-US"/>
        </w:rPr>
      </w:pPr>
    </w:p>
    <w:p w:rsidR="00AB6332" w:rsidRDefault="00AB6332">
      <w:pPr>
        <w:rPr>
          <w:lang w:val="en-US"/>
        </w:rPr>
      </w:pPr>
    </w:p>
    <w:p w:rsidR="00FF516A" w:rsidRPr="006C2CED" w:rsidRDefault="00FF516A" w:rsidP="00651E33">
      <w:pPr>
        <w:spacing w:line="480" w:lineRule="auto"/>
        <w:jc w:val="both"/>
        <w:rPr>
          <w:b/>
          <w:lang w:val="en-US"/>
        </w:rPr>
      </w:pPr>
      <w:r w:rsidRPr="006C2CED">
        <w:rPr>
          <w:b/>
          <w:lang w:val="en-US"/>
        </w:rPr>
        <w:t xml:space="preserve">Introduction </w:t>
      </w:r>
    </w:p>
    <w:p w:rsidR="00DA62C0" w:rsidRPr="006C2CED" w:rsidRDefault="00665A06" w:rsidP="00651E33">
      <w:pPr>
        <w:spacing w:line="480" w:lineRule="auto"/>
        <w:jc w:val="both"/>
        <w:rPr>
          <w:lang w:val="en-US"/>
        </w:rPr>
      </w:pPr>
      <w:r w:rsidRPr="006C2CED">
        <w:rPr>
          <w:lang w:val="en-US"/>
        </w:rPr>
        <w:t xml:space="preserve">Moseley </w:t>
      </w:r>
      <w:sdt>
        <w:sdtPr>
          <w:rPr>
            <w:lang w:val="en-US"/>
          </w:rPr>
          <w:id w:val="-1421175741"/>
          <w:citation/>
        </w:sdtPr>
        <w:sdtEndPr/>
        <w:sdtContent>
          <w:r w:rsidR="00BC5C30" w:rsidRPr="006C2CED">
            <w:rPr>
              <w:lang w:val="en-US"/>
            </w:rPr>
            <w:fldChar w:fldCharType="begin"/>
          </w:r>
          <w:r w:rsidR="00BC5C30" w:rsidRPr="006C2CED">
            <w:rPr>
              <w:lang w:val="en-US"/>
            </w:rPr>
            <w:instrText xml:space="preserve">CITATION Mos06 \n  \t  \l 1033 </w:instrText>
          </w:r>
          <w:r w:rsidR="00BC5C30" w:rsidRPr="006C2CED">
            <w:rPr>
              <w:lang w:val="en-US"/>
            </w:rPr>
            <w:fldChar w:fldCharType="separate"/>
          </w:r>
          <w:r w:rsidR="00BC5C30" w:rsidRPr="006C2CED">
            <w:rPr>
              <w:noProof/>
              <w:lang w:val="en-US"/>
            </w:rPr>
            <w:t xml:space="preserve"> (2006)</w:t>
          </w:r>
          <w:r w:rsidR="00BC5C30" w:rsidRPr="006C2CED">
            <w:rPr>
              <w:lang w:val="en-US"/>
            </w:rPr>
            <w:fldChar w:fldCharType="end"/>
          </w:r>
        </w:sdtContent>
      </w:sdt>
      <w:r w:rsidRPr="006C2CED">
        <w:rPr>
          <w:lang w:val="en-US"/>
        </w:rPr>
        <w:t xml:space="preserve">, elucidates that people think and </w:t>
      </w:r>
      <w:r w:rsidR="009B6E1E" w:rsidRPr="006C2CED">
        <w:rPr>
          <w:lang w:val="en-US"/>
        </w:rPr>
        <w:t>ascertain</w:t>
      </w:r>
      <w:r w:rsidRPr="006C2CED">
        <w:rPr>
          <w:lang w:val="en-US"/>
        </w:rPr>
        <w:t xml:space="preserve"> </w:t>
      </w:r>
      <w:r w:rsidR="009B6E1E" w:rsidRPr="006C2CED">
        <w:rPr>
          <w:lang w:val="en-US"/>
        </w:rPr>
        <w:t xml:space="preserve">knowledge </w:t>
      </w:r>
      <w:r w:rsidRPr="006C2CED">
        <w:rPr>
          <w:lang w:val="en-US"/>
        </w:rPr>
        <w:t>within a social and cultural context</w:t>
      </w:r>
      <w:r w:rsidR="009B6E1E" w:rsidRPr="006C2CED">
        <w:rPr>
          <w:lang w:val="en-US"/>
        </w:rPr>
        <w:t xml:space="preserve"> and experience an interplay of cognitive, emotional, motivational and social enthusiasms. Where education is seen as being about social and emotional learnings as well as the attainment of original wisdom and profic</w:t>
      </w:r>
      <w:r w:rsidR="00BC5C30" w:rsidRPr="006C2CED">
        <w:rPr>
          <w:lang w:val="en-US"/>
        </w:rPr>
        <w:t xml:space="preserve">iencies.  Furthermore, </w:t>
      </w:r>
      <w:proofErr w:type="spellStart"/>
      <w:r w:rsidR="00BC5C30" w:rsidRPr="006C2CED">
        <w:rPr>
          <w:lang w:val="en-US"/>
        </w:rPr>
        <w:t>Illeris</w:t>
      </w:r>
      <w:proofErr w:type="spellEnd"/>
      <w:r w:rsidR="00BC5C30" w:rsidRPr="006C2CED">
        <w:rPr>
          <w:lang w:val="en-US"/>
        </w:rPr>
        <w:t xml:space="preserve"> </w:t>
      </w:r>
      <w:sdt>
        <w:sdtPr>
          <w:rPr>
            <w:lang w:val="en-US"/>
          </w:rPr>
          <w:id w:val="1255395370"/>
          <w:citation/>
        </w:sdtPr>
        <w:sdtEndPr/>
        <w:sdtContent>
          <w:r w:rsidR="00BC5C30" w:rsidRPr="006C2CED">
            <w:rPr>
              <w:lang w:val="en-US"/>
            </w:rPr>
            <w:fldChar w:fldCharType="begin"/>
          </w:r>
          <w:r w:rsidR="00BC5C30" w:rsidRPr="006C2CED">
            <w:rPr>
              <w:lang w:val="en-US"/>
            </w:rPr>
            <w:instrText xml:space="preserve">CITATION Ill15 \n  \t  \l 1033 </w:instrText>
          </w:r>
          <w:r w:rsidR="00BC5C30" w:rsidRPr="006C2CED">
            <w:rPr>
              <w:lang w:val="en-US"/>
            </w:rPr>
            <w:fldChar w:fldCharType="separate"/>
          </w:r>
          <w:r w:rsidR="00BC5C30" w:rsidRPr="006C2CED">
            <w:rPr>
              <w:noProof/>
              <w:lang w:val="en-US"/>
            </w:rPr>
            <w:t xml:space="preserve"> (2015)</w:t>
          </w:r>
          <w:r w:rsidR="00BC5C30" w:rsidRPr="006C2CED">
            <w:rPr>
              <w:lang w:val="en-US"/>
            </w:rPr>
            <w:fldChar w:fldCharType="end"/>
          </w:r>
        </w:sdtContent>
      </w:sdt>
      <w:r w:rsidR="00BC5C30" w:rsidRPr="006C2CED">
        <w:rPr>
          <w:lang w:val="en-US"/>
        </w:rPr>
        <w:t xml:space="preserve"> </w:t>
      </w:r>
      <w:r w:rsidR="009B6E1E" w:rsidRPr="006C2CED">
        <w:rPr>
          <w:lang w:val="en-US"/>
        </w:rPr>
        <w:t xml:space="preserve">situated learning theorists in a trilateral space defined by three magnitudes of learning (Cognitive, Emotional and social).  </w:t>
      </w:r>
      <w:r w:rsidR="007C14B9" w:rsidRPr="006C2CED">
        <w:rPr>
          <w:lang w:val="en-US"/>
        </w:rPr>
        <w:t xml:space="preserve"> </w:t>
      </w:r>
    </w:p>
    <w:p w:rsidR="00AB6332" w:rsidRPr="006C2CED" w:rsidRDefault="007C14B9" w:rsidP="00651E33">
      <w:pPr>
        <w:spacing w:line="480" w:lineRule="auto"/>
        <w:jc w:val="both"/>
        <w:rPr>
          <w:lang w:val="en-US"/>
        </w:rPr>
      </w:pPr>
      <w:r w:rsidRPr="006C2CED">
        <w:rPr>
          <w:lang w:val="en-US"/>
        </w:rPr>
        <w:t>A number of models have been put forward to elucidate the process of erudition, here there have been two principal schools of thou</w:t>
      </w:r>
      <w:r w:rsidR="00BF35D2" w:rsidRPr="006C2CED">
        <w:rPr>
          <w:lang w:val="en-US"/>
        </w:rPr>
        <w:t>ght on how learning transpires</w:t>
      </w:r>
      <w:sdt>
        <w:sdtPr>
          <w:rPr>
            <w:lang w:val="en-US"/>
          </w:rPr>
          <w:id w:val="-393893270"/>
          <w:citation/>
        </w:sdtPr>
        <w:sdtEndPr/>
        <w:sdtContent>
          <w:r w:rsidR="00BF35D2" w:rsidRPr="006C2CED">
            <w:rPr>
              <w:lang w:val="en-US"/>
            </w:rPr>
            <w:fldChar w:fldCharType="begin"/>
          </w:r>
          <w:r w:rsidR="00BF35D2" w:rsidRPr="006C2CED">
            <w:rPr>
              <w:lang w:val="en-US"/>
            </w:rPr>
            <w:instrText xml:space="preserve"> CITATION Rac15 \l 1033 </w:instrText>
          </w:r>
          <w:r w:rsidR="00BF35D2" w:rsidRPr="006C2CED">
            <w:rPr>
              <w:lang w:val="en-US"/>
            </w:rPr>
            <w:fldChar w:fldCharType="separate"/>
          </w:r>
          <w:r w:rsidR="00BF35D2" w:rsidRPr="006C2CED">
            <w:rPr>
              <w:noProof/>
              <w:lang w:val="en-US"/>
            </w:rPr>
            <w:t xml:space="preserve"> (Race, 2015)</w:t>
          </w:r>
          <w:r w:rsidR="00BF35D2" w:rsidRPr="006C2CED">
            <w:rPr>
              <w:lang w:val="en-US"/>
            </w:rPr>
            <w:fldChar w:fldCharType="end"/>
          </w:r>
        </w:sdtContent>
      </w:sdt>
      <w:r w:rsidRPr="006C2CED">
        <w:rPr>
          <w:lang w:val="en-US"/>
        </w:rPr>
        <w:t xml:space="preserve">. The Behaviorist school yields as its starting theme a view that learning occurs within stimulus, response and </w:t>
      </w:r>
      <w:r w:rsidR="00CE1C8C" w:rsidRPr="006C2CED">
        <w:rPr>
          <w:lang w:val="en-US"/>
        </w:rPr>
        <w:t>remuneration</w:t>
      </w:r>
      <w:r w:rsidRPr="006C2CED">
        <w:rPr>
          <w:lang w:val="en-US"/>
        </w:rPr>
        <w:t xml:space="preserve"> and in other words a conditioning process. </w:t>
      </w:r>
      <w:r w:rsidR="00BF35D2" w:rsidRPr="006C2CED">
        <w:rPr>
          <w:lang w:val="en-US"/>
        </w:rPr>
        <w:t>Race (201</w:t>
      </w:r>
      <w:r w:rsidR="00CE1C8C" w:rsidRPr="006C2CED">
        <w:rPr>
          <w:lang w:val="en-US"/>
        </w:rPr>
        <w:t>5</w:t>
      </w:r>
      <w:r w:rsidR="006B4A8E" w:rsidRPr="006C2CED">
        <w:rPr>
          <w:lang w:val="en-US"/>
        </w:rPr>
        <w:t xml:space="preserve">), suggests the stimulus is referred to </w:t>
      </w:r>
      <w:r w:rsidR="00CE1C8C" w:rsidRPr="006C2CED">
        <w:rPr>
          <w:lang w:val="en-US"/>
        </w:rPr>
        <w:t>as an ‘input’ and the acquired knowledge as ‘output’. Where it can be contended that the contemporaneous emphasis on expressing learning</w:t>
      </w:r>
      <w:r w:rsidR="00FF516A" w:rsidRPr="006C2CED">
        <w:rPr>
          <w:lang w:val="en-US"/>
        </w:rPr>
        <w:t xml:space="preserve"> outcomes originates from the </w:t>
      </w:r>
      <w:proofErr w:type="spellStart"/>
      <w:r w:rsidR="00CE1C8C" w:rsidRPr="006C2CED">
        <w:rPr>
          <w:lang w:val="en-US"/>
        </w:rPr>
        <w:t>behavourist</w:t>
      </w:r>
      <w:proofErr w:type="spellEnd"/>
      <w:r w:rsidR="00CE1C8C" w:rsidRPr="006C2CED">
        <w:rPr>
          <w:lang w:val="en-US"/>
        </w:rPr>
        <w:t xml:space="preserve"> set of discerning, here assessment benchmarks is an endeavor to define learning outputs. </w:t>
      </w:r>
    </w:p>
    <w:p w:rsidR="00CE1C8C" w:rsidRPr="006C2CED" w:rsidRDefault="00DA62C0" w:rsidP="00651E33">
      <w:pPr>
        <w:spacing w:line="480" w:lineRule="auto"/>
        <w:jc w:val="both"/>
        <w:rPr>
          <w:lang w:val="en-US"/>
        </w:rPr>
      </w:pPr>
      <w:r w:rsidRPr="006C2CED">
        <w:rPr>
          <w:lang w:val="en-US"/>
        </w:rPr>
        <w:t xml:space="preserve">The second principal methodology </w:t>
      </w:r>
      <w:r w:rsidR="00BF35D2" w:rsidRPr="006C2CED">
        <w:rPr>
          <w:lang w:val="en-US"/>
        </w:rPr>
        <w:t>stated by Race (2</w:t>
      </w:r>
      <w:r w:rsidR="009F70F0" w:rsidRPr="006C2CED">
        <w:rPr>
          <w:lang w:val="en-US"/>
        </w:rPr>
        <w:t>0</w:t>
      </w:r>
      <w:r w:rsidR="00BF35D2" w:rsidRPr="006C2CED">
        <w:rPr>
          <w:lang w:val="en-US"/>
        </w:rPr>
        <w:t>1</w:t>
      </w:r>
      <w:r w:rsidR="009F70F0" w:rsidRPr="006C2CED">
        <w:rPr>
          <w:lang w:val="en-US"/>
        </w:rPr>
        <w:t>5) is a cognitive approach, which focuses concept of information, me</w:t>
      </w:r>
      <w:r w:rsidR="004658BA" w:rsidRPr="006C2CED">
        <w:rPr>
          <w:lang w:val="en-US"/>
        </w:rPr>
        <w:t>mory and to start perception, where</w:t>
      </w:r>
      <w:r w:rsidR="009F70F0" w:rsidRPr="006C2CED">
        <w:rPr>
          <w:lang w:val="en-US"/>
        </w:rPr>
        <w:t xml:space="preserve"> the ability to display understanding of what one has learned through problem solving. The initial principal research here where framewo</w:t>
      </w:r>
      <w:r w:rsidR="00BF35D2" w:rsidRPr="006C2CED">
        <w:rPr>
          <w:lang w:val="en-US"/>
        </w:rPr>
        <w:t xml:space="preserve">rk was developed by Lewin </w:t>
      </w:r>
      <w:sdt>
        <w:sdtPr>
          <w:rPr>
            <w:lang w:val="en-US"/>
          </w:rPr>
          <w:id w:val="-1154139537"/>
          <w:citation/>
        </w:sdtPr>
        <w:sdtEndPr/>
        <w:sdtContent>
          <w:r w:rsidR="00BF35D2" w:rsidRPr="006C2CED">
            <w:rPr>
              <w:lang w:val="en-US"/>
            </w:rPr>
            <w:fldChar w:fldCharType="begin"/>
          </w:r>
          <w:r w:rsidR="00BF35D2" w:rsidRPr="006C2CED">
            <w:rPr>
              <w:lang w:val="en-US"/>
            </w:rPr>
            <w:instrText xml:space="preserve">CITATION Lew52 \n  \t  \l 1033 </w:instrText>
          </w:r>
          <w:r w:rsidR="00BF35D2" w:rsidRPr="006C2CED">
            <w:rPr>
              <w:lang w:val="en-US"/>
            </w:rPr>
            <w:fldChar w:fldCharType="separate"/>
          </w:r>
          <w:r w:rsidR="00BF35D2" w:rsidRPr="006C2CED">
            <w:rPr>
              <w:noProof/>
              <w:lang w:val="en-US"/>
            </w:rPr>
            <w:t>(1952)</w:t>
          </w:r>
          <w:r w:rsidR="00BF35D2" w:rsidRPr="006C2CED">
            <w:rPr>
              <w:lang w:val="en-US"/>
            </w:rPr>
            <w:fldChar w:fldCharType="end"/>
          </w:r>
        </w:sdtContent>
      </w:sdt>
      <w:r w:rsidR="009F70F0" w:rsidRPr="006C2CED">
        <w:rPr>
          <w:lang w:val="en-US"/>
        </w:rPr>
        <w:t xml:space="preserve"> a</w:t>
      </w:r>
      <w:r w:rsidR="00BF35D2" w:rsidRPr="006C2CED">
        <w:rPr>
          <w:lang w:val="en-US"/>
        </w:rPr>
        <w:t xml:space="preserve">nd then extended via Kolb </w:t>
      </w:r>
      <w:sdt>
        <w:sdtPr>
          <w:rPr>
            <w:lang w:val="en-US"/>
          </w:rPr>
          <w:id w:val="-558784384"/>
          <w:citation/>
        </w:sdtPr>
        <w:sdtEndPr/>
        <w:sdtContent>
          <w:r w:rsidR="00BF35D2" w:rsidRPr="006C2CED">
            <w:rPr>
              <w:lang w:val="en-US"/>
            </w:rPr>
            <w:fldChar w:fldCharType="begin"/>
          </w:r>
          <w:r w:rsidR="00BF35D2" w:rsidRPr="006C2CED">
            <w:rPr>
              <w:lang w:val="en-US"/>
            </w:rPr>
            <w:instrText xml:space="preserve">CITATION Kol84 \n  \t  \l 1033 </w:instrText>
          </w:r>
          <w:r w:rsidR="00BF35D2" w:rsidRPr="006C2CED">
            <w:rPr>
              <w:lang w:val="en-US"/>
            </w:rPr>
            <w:fldChar w:fldCharType="separate"/>
          </w:r>
          <w:r w:rsidR="00BF35D2" w:rsidRPr="006C2CED">
            <w:rPr>
              <w:noProof/>
              <w:lang w:val="en-US"/>
            </w:rPr>
            <w:t>(1984)</w:t>
          </w:r>
          <w:r w:rsidR="00BF35D2" w:rsidRPr="006C2CED">
            <w:rPr>
              <w:lang w:val="en-US"/>
            </w:rPr>
            <w:fldChar w:fldCharType="end"/>
          </w:r>
        </w:sdtContent>
      </w:sdt>
      <w:r w:rsidR="009F70F0" w:rsidRPr="006C2CED">
        <w:rPr>
          <w:lang w:val="en-US"/>
        </w:rPr>
        <w:t>with expe</w:t>
      </w:r>
      <w:r w:rsidR="00F74E5F" w:rsidRPr="006C2CED">
        <w:rPr>
          <w:lang w:val="en-US"/>
        </w:rPr>
        <w:t>riential l</w:t>
      </w:r>
      <w:r w:rsidR="00263D62" w:rsidRPr="006C2CED">
        <w:rPr>
          <w:lang w:val="en-US"/>
        </w:rPr>
        <w:t xml:space="preserve">earning. </w:t>
      </w:r>
      <w:r w:rsidR="00F74E5F" w:rsidRPr="006C2CED">
        <w:rPr>
          <w:lang w:val="en-US"/>
        </w:rPr>
        <w:t xml:space="preserve">The afore mentioned principles of Behaviorism and Cognitive approach highlight the importance when teaching to take into account not only </w:t>
      </w:r>
      <w:r w:rsidR="00BF35D2" w:rsidRPr="006C2CED">
        <w:rPr>
          <w:lang w:val="en-US"/>
        </w:rPr>
        <w:t>attainment and</w:t>
      </w:r>
      <w:r w:rsidR="00F74E5F" w:rsidRPr="006C2CED">
        <w:rPr>
          <w:lang w:val="en-US"/>
        </w:rPr>
        <w:t xml:space="preserve"> learning objectives but also improvement and engagement.  </w:t>
      </w:r>
    </w:p>
    <w:p w:rsidR="00FF516A" w:rsidRPr="006C2CED" w:rsidRDefault="00FF516A" w:rsidP="00651E33">
      <w:pPr>
        <w:spacing w:line="480" w:lineRule="auto"/>
        <w:jc w:val="both"/>
        <w:rPr>
          <w:lang w:val="en-US"/>
        </w:rPr>
      </w:pPr>
    </w:p>
    <w:p w:rsidR="00F96E83" w:rsidRPr="006C2CED" w:rsidRDefault="00A7605F" w:rsidP="00651E33">
      <w:pPr>
        <w:spacing w:line="480" w:lineRule="auto"/>
        <w:jc w:val="both"/>
        <w:rPr>
          <w:lang w:val="en-US"/>
        </w:rPr>
      </w:pPr>
      <w:r w:rsidRPr="006C2CED">
        <w:rPr>
          <w:lang w:val="en-US"/>
        </w:rPr>
        <w:lastRenderedPageBreak/>
        <w:t>The student</w:t>
      </w:r>
      <w:r w:rsidR="00F96E83" w:rsidRPr="006C2CED">
        <w:rPr>
          <w:lang w:val="en-US"/>
        </w:rPr>
        <w:t>-</w:t>
      </w:r>
      <w:r w:rsidRPr="006C2CED">
        <w:rPr>
          <w:lang w:val="en-US"/>
        </w:rPr>
        <w:t xml:space="preserve"> teacher has been asked to plan, design and deliver a 45 – minute Micro-</w:t>
      </w:r>
      <w:r w:rsidR="00BF35D2" w:rsidRPr="006C2CED">
        <w:rPr>
          <w:lang w:val="en-US"/>
        </w:rPr>
        <w:t>Teach lesson</w:t>
      </w:r>
      <w:r w:rsidRPr="006C2CED">
        <w:rPr>
          <w:lang w:val="en-US"/>
        </w:rPr>
        <w:t xml:space="preserve">, which will be underpinned by appropriate learning objectives, a variety of contemporary learning </w:t>
      </w:r>
      <w:r w:rsidR="00F96E83" w:rsidRPr="006C2CED">
        <w:rPr>
          <w:lang w:val="en-US"/>
        </w:rPr>
        <w:t>pedagogies (</w:t>
      </w:r>
      <w:r w:rsidRPr="006C2CED">
        <w:rPr>
          <w:lang w:val="en-US"/>
        </w:rPr>
        <w:t xml:space="preserve">including </w:t>
      </w:r>
      <w:r w:rsidR="00F96E83" w:rsidRPr="006C2CED">
        <w:rPr>
          <w:lang w:val="en-US"/>
        </w:rPr>
        <w:t xml:space="preserve">video’s and whiteboard) as an innovative approach to teaching. Furthermore, the student-teacher will utilize a cross cutting theme which is group work, where the students will learn in a social context. A Lesson plan will be provided highlighting preparation, specificity for the group and planning. </w:t>
      </w:r>
    </w:p>
    <w:p w:rsidR="00364AC1" w:rsidRPr="006C2CED" w:rsidRDefault="00F96E83" w:rsidP="00651E33">
      <w:pPr>
        <w:spacing w:line="480" w:lineRule="auto"/>
        <w:jc w:val="both"/>
        <w:rPr>
          <w:lang w:val="en-US"/>
        </w:rPr>
      </w:pPr>
      <w:r w:rsidRPr="006C2CED">
        <w:rPr>
          <w:lang w:val="en-US"/>
        </w:rPr>
        <w:t>Following the Micro-Teach lesson the student-teacher will aim to reflect and critically evaluate the experience, utilizing the analysis of contemporary academic literature and evaluate the effectiveness of various contemporary pedagogies. Furthermore, the student-</w:t>
      </w:r>
      <w:r w:rsidR="00F74E5F" w:rsidRPr="006C2CED">
        <w:rPr>
          <w:lang w:val="en-US"/>
        </w:rPr>
        <w:t>teacher will</w:t>
      </w:r>
      <w:r w:rsidRPr="006C2CED">
        <w:rPr>
          <w:lang w:val="en-US"/>
        </w:rPr>
        <w:t xml:space="preserve"> </w:t>
      </w:r>
      <w:r w:rsidR="00F74E5F" w:rsidRPr="006C2CED">
        <w:rPr>
          <w:lang w:val="en-US"/>
        </w:rPr>
        <w:t>analyze the group</w:t>
      </w:r>
      <w:r w:rsidRPr="006C2CED">
        <w:rPr>
          <w:lang w:val="en-US"/>
        </w:rPr>
        <w:t xml:space="preserve"> work </w:t>
      </w:r>
      <w:r w:rsidR="00F74E5F" w:rsidRPr="006C2CED">
        <w:rPr>
          <w:lang w:val="en-US"/>
        </w:rPr>
        <w:t xml:space="preserve">utilised and the impact it had on learning. Finally, recommendations will be made on the impact this may have for student-teachers and researchers alike and for own professional development.  The student-teacher will use the HEA standards along with literacy and numeracy skills. </w:t>
      </w:r>
    </w:p>
    <w:p w:rsidR="004658BA" w:rsidRPr="006C2CED" w:rsidRDefault="00BF35D2" w:rsidP="00651E33">
      <w:pPr>
        <w:spacing w:line="480" w:lineRule="auto"/>
        <w:jc w:val="both"/>
        <w:rPr>
          <w:lang w:val="en-US"/>
        </w:rPr>
      </w:pPr>
      <w:r w:rsidRPr="006C2CED">
        <w:rPr>
          <w:lang w:val="en-US"/>
        </w:rPr>
        <w:t xml:space="preserve">Baines et al </w:t>
      </w:r>
      <w:sdt>
        <w:sdtPr>
          <w:rPr>
            <w:lang w:val="en-US"/>
          </w:rPr>
          <w:id w:val="4873479"/>
          <w:citation/>
        </w:sdtPr>
        <w:sdtEndPr/>
        <w:sdtContent>
          <w:r w:rsidRPr="006C2CED">
            <w:rPr>
              <w:lang w:val="en-US"/>
            </w:rPr>
            <w:fldChar w:fldCharType="begin"/>
          </w:r>
          <w:r w:rsidRPr="006C2CED">
            <w:rPr>
              <w:lang w:val="en-US"/>
            </w:rPr>
            <w:instrText xml:space="preserve">CITATION Bai14 \n  \t  \l 1033 </w:instrText>
          </w:r>
          <w:r w:rsidRPr="006C2CED">
            <w:rPr>
              <w:lang w:val="en-US"/>
            </w:rPr>
            <w:fldChar w:fldCharType="separate"/>
          </w:r>
          <w:r w:rsidRPr="006C2CED">
            <w:rPr>
              <w:noProof/>
              <w:lang w:val="en-US"/>
            </w:rPr>
            <w:t>(2014)</w:t>
          </w:r>
          <w:r w:rsidRPr="006C2CED">
            <w:rPr>
              <w:lang w:val="en-US"/>
            </w:rPr>
            <w:fldChar w:fldCharType="end"/>
          </w:r>
        </w:sdtContent>
      </w:sdt>
      <w:r w:rsidR="00263D62" w:rsidRPr="006C2CED">
        <w:rPr>
          <w:lang w:val="en-US"/>
        </w:rPr>
        <w:t xml:space="preserve"> </w:t>
      </w:r>
      <w:r w:rsidR="000325AA" w:rsidRPr="006C2CED">
        <w:rPr>
          <w:lang w:val="en-US"/>
        </w:rPr>
        <w:t>states that there is more to group work than sitting pupils down in groups and asking them to work together, where by group work it is meant just that…  pupils working together as a group to reach a common goal or target.  Teachers are fundamental to setting up and supporting effective group-work development and support, but the meticulous feature of group-work and perhaps its central trait- is that the balance of proprietorship and power shifts towards t</w:t>
      </w:r>
      <w:r w:rsidR="00A34755" w:rsidRPr="006C2CED">
        <w:rPr>
          <w:lang w:val="en-US"/>
        </w:rPr>
        <w:t>he learners. (Baines et al, 2014</w:t>
      </w:r>
      <w:r w:rsidR="000325AA" w:rsidRPr="006C2CED">
        <w:rPr>
          <w:lang w:val="en-US"/>
        </w:rPr>
        <w:t xml:space="preserve">). </w:t>
      </w:r>
    </w:p>
    <w:p w:rsidR="00364AC1" w:rsidRPr="006C2CED" w:rsidRDefault="00364AC1" w:rsidP="00651E33">
      <w:pPr>
        <w:spacing w:line="480" w:lineRule="auto"/>
        <w:jc w:val="both"/>
        <w:rPr>
          <w:lang w:val="en-US"/>
        </w:rPr>
      </w:pPr>
      <w:r w:rsidRPr="006C2CED">
        <w:rPr>
          <w:lang w:val="en-US"/>
        </w:rPr>
        <w:t xml:space="preserve">Contemporary opinion about teaching and learning situates that the pedagogical relationship does not precondition to be to-down for significant learning to transpire and that adult learners do better with less direction and more </w:t>
      </w:r>
      <w:r w:rsidR="00427FBC" w:rsidRPr="006C2CED">
        <w:rPr>
          <w:lang w:val="en-US"/>
        </w:rPr>
        <w:t xml:space="preserve">involvement </w:t>
      </w:r>
      <w:sdt>
        <w:sdtPr>
          <w:rPr>
            <w:lang w:val="en-US"/>
          </w:rPr>
          <w:id w:val="89972365"/>
          <w:citation/>
        </w:sdtPr>
        <w:sdtEndPr/>
        <w:sdtContent>
          <w:r w:rsidR="00912715" w:rsidRPr="006C2CED">
            <w:rPr>
              <w:lang w:val="en-US"/>
            </w:rPr>
            <w:fldChar w:fldCharType="begin"/>
          </w:r>
          <w:r w:rsidR="00912715" w:rsidRPr="006C2CED">
            <w:rPr>
              <w:lang w:val="en-US"/>
            </w:rPr>
            <w:instrText xml:space="preserve"> CITATION Kno84 \l 1033 </w:instrText>
          </w:r>
          <w:r w:rsidR="00912715" w:rsidRPr="006C2CED">
            <w:rPr>
              <w:lang w:val="en-US"/>
            </w:rPr>
            <w:fldChar w:fldCharType="separate"/>
          </w:r>
          <w:r w:rsidR="00912715" w:rsidRPr="006C2CED">
            <w:rPr>
              <w:noProof/>
              <w:lang w:val="en-US"/>
            </w:rPr>
            <w:t>(Knowles, 1984)</w:t>
          </w:r>
          <w:r w:rsidR="00912715" w:rsidRPr="006C2CED">
            <w:rPr>
              <w:lang w:val="en-US"/>
            </w:rPr>
            <w:fldChar w:fldCharType="end"/>
          </w:r>
        </w:sdtContent>
      </w:sdt>
      <w:r w:rsidRPr="006C2CED">
        <w:rPr>
          <w:lang w:val="en-US"/>
        </w:rPr>
        <w:t xml:space="preserve">.  This suggest that adults are not there to be passive recipients but benefit more from active involvement. </w:t>
      </w:r>
      <w:r w:rsidR="000323BA" w:rsidRPr="006C2CED">
        <w:rPr>
          <w:lang w:val="en-US"/>
        </w:rPr>
        <w:lastRenderedPageBreak/>
        <w:t>‘Tell</w:t>
      </w:r>
      <w:r w:rsidR="006450EB" w:rsidRPr="006C2CED">
        <w:rPr>
          <w:lang w:val="en-US"/>
        </w:rPr>
        <w:t xml:space="preserve"> me, and I will forget. Show me and I may remember. Involve me, and I will understand.’ Confucius. </w:t>
      </w:r>
    </w:p>
    <w:p w:rsidR="00651E33" w:rsidRPr="006C2CED" w:rsidRDefault="00364AC1" w:rsidP="00651E33">
      <w:pPr>
        <w:spacing w:line="480" w:lineRule="auto"/>
        <w:jc w:val="both"/>
        <w:rPr>
          <w:lang w:val="en-US"/>
        </w:rPr>
      </w:pPr>
      <w:r w:rsidRPr="006C2CED">
        <w:rPr>
          <w:lang w:val="en-US"/>
        </w:rPr>
        <w:t xml:space="preserve">In order for the Micro-Teach to be a success the author will utilize the Gibbs (1998) cycle to aid reflection, to look back and make sense of what is happened and why.  The student-teacher has chosen the Gibb’s reflective </w:t>
      </w:r>
      <w:r w:rsidR="000323BA" w:rsidRPr="006C2CED">
        <w:rPr>
          <w:lang w:val="en-US"/>
        </w:rPr>
        <w:t xml:space="preserve">model </w:t>
      </w:r>
      <w:sdt>
        <w:sdtPr>
          <w:rPr>
            <w:lang w:val="en-US"/>
          </w:rPr>
          <w:id w:val="-1415710275"/>
          <w:citation/>
        </w:sdtPr>
        <w:sdtEndPr/>
        <w:sdtContent>
          <w:r w:rsidR="000323BA" w:rsidRPr="006C2CED">
            <w:rPr>
              <w:lang w:val="en-US"/>
            </w:rPr>
            <w:fldChar w:fldCharType="begin"/>
          </w:r>
          <w:r w:rsidR="000323BA" w:rsidRPr="006C2CED">
            <w:rPr>
              <w:lang w:val="en-US"/>
            </w:rPr>
            <w:instrText xml:space="preserve">CITATION Gib881 \n  \t  \l 1033 </w:instrText>
          </w:r>
          <w:r w:rsidR="000323BA" w:rsidRPr="006C2CED">
            <w:rPr>
              <w:lang w:val="en-US"/>
            </w:rPr>
            <w:fldChar w:fldCharType="separate"/>
          </w:r>
          <w:r w:rsidR="000323BA" w:rsidRPr="006C2CED">
            <w:rPr>
              <w:noProof/>
              <w:lang w:val="en-US"/>
            </w:rPr>
            <w:t>(1988)</w:t>
          </w:r>
          <w:r w:rsidR="000323BA" w:rsidRPr="006C2CED">
            <w:rPr>
              <w:lang w:val="en-US"/>
            </w:rPr>
            <w:fldChar w:fldCharType="end"/>
          </w:r>
        </w:sdtContent>
      </w:sdt>
      <w:r w:rsidRPr="006C2CED">
        <w:rPr>
          <w:lang w:val="en-US"/>
        </w:rPr>
        <w:t xml:space="preserve">, to provide </w:t>
      </w:r>
      <w:r w:rsidR="00651E33" w:rsidRPr="006C2CED">
        <w:rPr>
          <w:lang w:val="en-US"/>
        </w:rPr>
        <w:t>structure and</w:t>
      </w:r>
      <w:r w:rsidRPr="006C2CED">
        <w:rPr>
          <w:lang w:val="en-US"/>
        </w:rPr>
        <w:t xml:space="preserve"> support for </w:t>
      </w:r>
      <w:r w:rsidR="001201B4" w:rsidRPr="006C2CED">
        <w:rPr>
          <w:lang w:val="en-US"/>
        </w:rPr>
        <w:t xml:space="preserve">evaluating and making recommendations for future practice. </w:t>
      </w:r>
    </w:p>
    <w:p w:rsidR="000F7B34" w:rsidRPr="006C2CED" w:rsidRDefault="00E47349" w:rsidP="000F7B34">
      <w:pPr>
        <w:spacing w:line="480" w:lineRule="auto"/>
        <w:contextualSpacing/>
        <w:jc w:val="both"/>
        <w:rPr>
          <w:lang w:val="en-US"/>
        </w:rPr>
      </w:pPr>
      <w:r w:rsidRPr="006C2CED">
        <w:rPr>
          <w:lang w:val="en-US"/>
        </w:rPr>
        <w:t>A critical reflection and reflection ar</w:t>
      </w:r>
      <w:r w:rsidR="00651E33" w:rsidRPr="006C2CED">
        <w:rPr>
          <w:lang w:val="en-US"/>
        </w:rPr>
        <w:t>e inter-changeable in contemporary research</w:t>
      </w:r>
      <w:r w:rsidRPr="006C2CED">
        <w:rPr>
          <w:lang w:val="en-US"/>
        </w:rPr>
        <w:t xml:space="preserve">, </w:t>
      </w:r>
      <w:r w:rsidR="00651E33" w:rsidRPr="006C2CED">
        <w:rPr>
          <w:lang w:val="en-US"/>
        </w:rPr>
        <w:t>nonetheless</w:t>
      </w:r>
      <w:r w:rsidRPr="006C2CED">
        <w:rPr>
          <w:lang w:val="en-US"/>
        </w:rPr>
        <w:t xml:space="preserve"> critical reflection signifies another level of reflection beyond what you may cover in other forms of reflection, here habitually action may be just ‘too hot’ for us to intentionally reflect-in- action (as it happens) </w:t>
      </w:r>
      <w:sdt>
        <w:sdtPr>
          <w:rPr>
            <w:lang w:val="en-US"/>
          </w:rPr>
          <w:id w:val="-102801194"/>
          <w:citation/>
        </w:sdtPr>
        <w:sdtEndPr/>
        <w:sdtContent>
          <w:r w:rsidRPr="006C2CED">
            <w:rPr>
              <w:lang w:val="en-US"/>
            </w:rPr>
            <w:fldChar w:fldCharType="begin"/>
          </w:r>
          <w:r w:rsidRPr="006C2CED">
            <w:rPr>
              <w:lang w:val="en-US"/>
            </w:rPr>
            <w:instrText xml:space="preserve"> CITATION Era94 \l 1033 </w:instrText>
          </w:r>
          <w:r w:rsidRPr="006C2CED">
            <w:rPr>
              <w:lang w:val="en-US"/>
            </w:rPr>
            <w:fldChar w:fldCharType="separate"/>
          </w:r>
          <w:r w:rsidRPr="006C2CED">
            <w:rPr>
              <w:noProof/>
              <w:lang w:val="en-US"/>
            </w:rPr>
            <w:t>(Eraut, 1994)</w:t>
          </w:r>
          <w:r w:rsidRPr="006C2CED">
            <w:rPr>
              <w:lang w:val="en-US"/>
            </w:rPr>
            <w:fldChar w:fldCharType="end"/>
          </w:r>
        </w:sdtContent>
      </w:sdt>
      <w:r w:rsidR="00651E33" w:rsidRPr="006C2CED">
        <w:rPr>
          <w:lang w:val="en-US"/>
        </w:rPr>
        <w:t xml:space="preserve">. </w:t>
      </w:r>
      <w:r w:rsidR="00562D49" w:rsidRPr="006C2CED">
        <w:rPr>
          <w:lang w:val="en-US"/>
        </w:rPr>
        <w:t>Here</w:t>
      </w:r>
      <w:r w:rsidR="000F7B34" w:rsidRPr="006C2CED">
        <w:rPr>
          <w:lang w:val="en-US"/>
        </w:rPr>
        <w:t xml:space="preserve">, it can be </w:t>
      </w:r>
      <w:r w:rsidR="00562D49" w:rsidRPr="006C2CED">
        <w:rPr>
          <w:lang w:val="en-US"/>
        </w:rPr>
        <w:t>praised</w:t>
      </w:r>
      <w:r w:rsidR="000F7B34" w:rsidRPr="006C2CED">
        <w:rPr>
          <w:lang w:val="en-US"/>
        </w:rPr>
        <w:t xml:space="preserve"> that a critical reflection may be more </w:t>
      </w:r>
      <w:r w:rsidR="00562D49" w:rsidRPr="006C2CED">
        <w:rPr>
          <w:lang w:val="en-US"/>
        </w:rPr>
        <w:t>appropriate</w:t>
      </w:r>
      <w:r w:rsidR="000F7B34" w:rsidRPr="006C2CED">
        <w:rPr>
          <w:lang w:val="en-US"/>
        </w:rPr>
        <w:t xml:space="preserve"> as it </w:t>
      </w:r>
      <w:r w:rsidR="00562D49" w:rsidRPr="006C2CED">
        <w:rPr>
          <w:lang w:val="en-US"/>
        </w:rPr>
        <w:t>necessitates</w:t>
      </w:r>
      <w:r w:rsidR="000F7B34" w:rsidRPr="006C2CED">
        <w:rPr>
          <w:lang w:val="en-US"/>
        </w:rPr>
        <w:t xml:space="preserve"> reflection in relation to </w:t>
      </w:r>
      <w:r w:rsidR="00562D49" w:rsidRPr="006C2CED">
        <w:rPr>
          <w:lang w:val="en-US"/>
        </w:rPr>
        <w:t>antecedent</w:t>
      </w:r>
      <w:r w:rsidR="000F7B34" w:rsidRPr="006C2CED">
        <w:rPr>
          <w:lang w:val="en-US"/>
        </w:rPr>
        <w:t xml:space="preserve"> or </w:t>
      </w:r>
      <w:r w:rsidR="00562D49" w:rsidRPr="006C2CED">
        <w:rPr>
          <w:lang w:val="en-US"/>
        </w:rPr>
        <w:t>impending</w:t>
      </w:r>
      <w:r w:rsidR="000F7B34" w:rsidRPr="006C2CED">
        <w:rPr>
          <w:lang w:val="en-US"/>
        </w:rPr>
        <w:t xml:space="preserve"> </w:t>
      </w:r>
      <w:r w:rsidR="00562D49" w:rsidRPr="006C2CED">
        <w:rPr>
          <w:lang w:val="en-US"/>
        </w:rPr>
        <w:t>happenings</w:t>
      </w:r>
      <w:r w:rsidR="000F7B34" w:rsidRPr="006C2CED">
        <w:rPr>
          <w:lang w:val="en-US"/>
        </w:rPr>
        <w:t xml:space="preserve">.  </w:t>
      </w:r>
    </w:p>
    <w:p w:rsidR="00364AC1" w:rsidRPr="006C2CED" w:rsidRDefault="000F7B34" w:rsidP="000F7B34">
      <w:pPr>
        <w:spacing w:line="480" w:lineRule="auto"/>
        <w:jc w:val="both"/>
        <w:rPr>
          <w:lang w:val="en-US"/>
        </w:rPr>
      </w:pPr>
      <w:r w:rsidRPr="006C2CED">
        <w:rPr>
          <w:lang w:val="en-US"/>
        </w:rPr>
        <w:t xml:space="preserve">Freire </w:t>
      </w:r>
      <w:sdt>
        <w:sdtPr>
          <w:rPr>
            <w:lang w:val="en-US"/>
          </w:rPr>
          <w:id w:val="-641960113"/>
          <w:citation/>
        </w:sdtPr>
        <w:sdtEndPr/>
        <w:sdtContent>
          <w:r w:rsidRPr="006C2CED">
            <w:rPr>
              <w:lang w:val="en-US"/>
            </w:rPr>
            <w:fldChar w:fldCharType="begin"/>
          </w:r>
          <w:r w:rsidRPr="006C2CED">
            <w:rPr>
              <w:lang w:val="en-US"/>
            </w:rPr>
            <w:instrText xml:space="preserve"> CITATION Web10 \l 1033 </w:instrText>
          </w:r>
          <w:r w:rsidRPr="006C2CED">
            <w:rPr>
              <w:lang w:val="en-US"/>
            </w:rPr>
            <w:fldChar w:fldCharType="separate"/>
          </w:r>
          <w:r w:rsidRPr="006C2CED">
            <w:rPr>
              <w:noProof/>
              <w:lang w:val="en-US"/>
            </w:rPr>
            <w:t>(Webb, 2010)</w:t>
          </w:r>
          <w:r w:rsidRPr="006C2CED">
            <w:rPr>
              <w:lang w:val="en-US"/>
            </w:rPr>
            <w:fldChar w:fldCharType="end"/>
          </w:r>
        </w:sdtContent>
      </w:sdt>
      <w:r w:rsidRPr="006C2CED">
        <w:rPr>
          <w:lang w:val="en-US"/>
        </w:rPr>
        <w:t xml:space="preserve">, </w:t>
      </w:r>
      <w:r w:rsidR="00562D49" w:rsidRPr="006C2CED">
        <w:rPr>
          <w:lang w:val="en-US"/>
        </w:rPr>
        <w:t>states</w:t>
      </w:r>
      <w:r w:rsidRPr="006C2CED">
        <w:rPr>
          <w:lang w:val="en-US"/>
        </w:rPr>
        <w:t xml:space="preserve"> that critically reflecting on</w:t>
      </w:r>
      <w:r w:rsidR="00562D49" w:rsidRPr="006C2CED">
        <w:rPr>
          <w:lang w:val="en-US"/>
        </w:rPr>
        <w:t xml:space="preserve"> the present</w:t>
      </w:r>
      <w:r w:rsidRPr="006C2CED">
        <w:rPr>
          <w:lang w:val="en-US"/>
        </w:rPr>
        <w:t xml:space="preserve"> allows for </w:t>
      </w:r>
      <w:r w:rsidR="00562D49" w:rsidRPr="006C2CED">
        <w:rPr>
          <w:lang w:val="en-US"/>
        </w:rPr>
        <w:t>enhancement on future</w:t>
      </w:r>
      <w:r w:rsidRPr="006C2CED">
        <w:rPr>
          <w:lang w:val="en-US"/>
        </w:rPr>
        <w:t xml:space="preserve"> practice. </w:t>
      </w:r>
      <w:r w:rsidRPr="006C2CED">
        <w:rPr>
          <w:color w:val="000000" w:themeColor="text1"/>
          <w:lang w:val="en-US"/>
        </w:rPr>
        <w:t xml:space="preserve">Even </w:t>
      </w:r>
      <w:r w:rsidR="00562D49" w:rsidRPr="006C2CED">
        <w:rPr>
          <w:color w:val="000000" w:themeColor="text1"/>
          <w:lang w:val="en-US"/>
        </w:rPr>
        <w:t>hypothetical discourse herself, important</w:t>
      </w:r>
      <w:r w:rsidRPr="006C2CED">
        <w:rPr>
          <w:color w:val="000000" w:themeColor="text1"/>
          <w:lang w:val="en-US"/>
        </w:rPr>
        <w:t xml:space="preserve"> as it is to critically reflection, </w:t>
      </w:r>
      <w:r w:rsidR="00562D49" w:rsidRPr="006C2CED">
        <w:rPr>
          <w:color w:val="000000" w:themeColor="text1"/>
          <w:lang w:val="en-US"/>
        </w:rPr>
        <w:t>must</w:t>
      </w:r>
      <w:r w:rsidRPr="006C2CED">
        <w:rPr>
          <w:color w:val="000000" w:themeColor="text1"/>
          <w:lang w:val="en-US"/>
        </w:rPr>
        <w:t xml:space="preserve"> be </w:t>
      </w:r>
      <w:r w:rsidR="00562D49" w:rsidRPr="006C2CED">
        <w:rPr>
          <w:color w:val="000000" w:themeColor="text1"/>
          <w:lang w:val="en-US"/>
        </w:rPr>
        <w:t>clear</w:t>
      </w:r>
      <w:r w:rsidRPr="006C2CED">
        <w:rPr>
          <w:color w:val="000000" w:themeColor="text1"/>
          <w:lang w:val="en-US"/>
        </w:rPr>
        <w:t xml:space="preserve"> enough to be </w:t>
      </w:r>
      <w:r w:rsidR="00562D49" w:rsidRPr="006C2CED">
        <w:rPr>
          <w:color w:val="000000" w:themeColor="text1"/>
          <w:lang w:val="en-US"/>
        </w:rPr>
        <w:t>coherently</w:t>
      </w:r>
      <w:r w:rsidRPr="006C2CED">
        <w:rPr>
          <w:color w:val="000000" w:themeColor="text1"/>
          <w:lang w:val="en-US"/>
        </w:rPr>
        <w:t xml:space="preserve"> </w:t>
      </w:r>
      <w:r w:rsidR="00562D49" w:rsidRPr="006C2CED">
        <w:rPr>
          <w:color w:val="000000" w:themeColor="text1"/>
          <w:lang w:val="en-US"/>
        </w:rPr>
        <w:t>distinct</w:t>
      </w:r>
      <w:r w:rsidR="00033B24" w:rsidRPr="006C2CED">
        <w:rPr>
          <w:color w:val="000000" w:themeColor="text1"/>
          <w:lang w:val="en-US"/>
        </w:rPr>
        <w:t xml:space="preserve"> with practice </w:t>
      </w:r>
      <w:sdt>
        <w:sdtPr>
          <w:rPr>
            <w:color w:val="000000" w:themeColor="text1"/>
            <w:lang w:val="en-US"/>
          </w:rPr>
          <w:id w:val="410977099"/>
          <w:citation/>
        </w:sdtPr>
        <w:sdtEndPr/>
        <w:sdtContent>
          <w:r w:rsidR="00033B24" w:rsidRPr="006C2CED">
            <w:rPr>
              <w:color w:val="000000" w:themeColor="text1"/>
              <w:lang w:val="en-US"/>
            </w:rPr>
            <w:fldChar w:fldCharType="begin"/>
          </w:r>
          <w:r w:rsidR="00033B24" w:rsidRPr="006C2CED">
            <w:rPr>
              <w:color w:val="000000" w:themeColor="text1"/>
              <w:lang w:val="en-US"/>
            </w:rPr>
            <w:instrText xml:space="preserve">CITATION Freum \t  \l 1033 </w:instrText>
          </w:r>
          <w:r w:rsidR="00033B24" w:rsidRPr="006C2CED">
            <w:rPr>
              <w:color w:val="000000" w:themeColor="text1"/>
              <w:lang w:val="en-US"/>
            </w:rPr>
            <w:fldChar w:fldCharType="separate"/>
          </w:r>
          <w:r w:rsidR="00033B24" w:rsidRPr="006C2CED">
            <w:rPr>
              <w:noProof/>
              <w:color w:val="000000" w:themeColor="text1"/>
              <w:lang w:val="en-US"/>
            </w:rPr>
            <w:t>(Freire, 1994)</w:t>
          </w:r>
          <w:r w:rsidR="00033B24" w:rsidRPr="006C2CED">
            <w:rPr>
              <w:color w:val="000000" w:themeColor="text1"/>
              <w:lang w:val="en-US"/>
            </w:rPr>
            <w:fldChar w:fldCharType="end"/>
          </w:r>
        </w:sdtContent>
      </w:sdt>
      <w:r w:rsidRPr="006C2CED">
        <w:rPr>
          <w:color w:val="000000" w:themeColor="text1"/>
          <w:lang w:val="en-US"/>
        </w:rPr>
        <w:t xml:space="preserve">.  </w:t>
      </w:r>
      <w:r w:rsidRPr="006C2CED">
        <w:rPr>
          <w:lang w:val="en-US"/>
        </w:rPr>
        <w:t xml:space="preserve">A critical reflection can be </w:t>
      </w:r>
      <w:r w:rsidR="00562D49" w:rsidRPr="006C2CED">
        <w:rPr>
          <w:lang w:val="en-US"/>
        </w:rPr>
        <w:t xml:space="preserve">fundamental </w:t>
      </w:r>
      <w:r w:rsidRPr="006C2CED">
        <w:rPr>
          <w:lang w:val="en-US"/>
        </w:rPr>
        <w:t xml:space="preserve">in transformative erudition by </w:t>
      </w:r>
      <w:r w:rsidR="00562D49" w:rsidRPr="006C2CED">
        <w:rPr>
          <w:lang w:val="en-US"/>
        </w:rPr>
        <w:t>appealing</w:t>
      </w:r>
      <w:r w:rsidRPr="006C2CED">
        <w:rPr>
          <w:lang w:val="en-US"/>
        </w:rPr>
        <w:t xml:space="preserve"> both </w:t>
      </w:r>
      <w:r w:rsidR="00562D49" w:rsidRPr="006C2CED">
        <w:rPr>
          <w:lang w:val="en-US"/>
        </w:rPr>
        <w:t>intent</w:t>
      </w:r>
      <w:r w:rsidRPr="006C2CED">
        <w:rPr>
          <w:lang w:val="en-US"/>
        </w:rPr>
        <w:t xml:space="preserve"> and </w:t>
      </w:r>
      <w:r w:rsidR="00562D49" w:rsidRPr="006C2CED">
        <w:rPr>
          <w:lang w:val="en-US"/>
        </w:rPr>
        <w:t>feeling</w:t>
      </w:r>
      <w:r w:rsidRPr="006C2CED">
        <w:rPr>
          <w:lang w:val="en-US"/>
        </w:rPr>
        <w:t xml:space="preserve"> </w:t>
      </w:r>
      <w:sdt>
        <w:sdtPr>
          <w:rPr>
            <w:lang w:val="en-US"/>
          </w:rPr>
          <w:id w:val="971252659"/>
          <w:citation/>
        </w:sdtPr>
        <w:sdtEndPr/>
        <w:sdtContent>
          <w:r w:rsidRPr="006C2CED">
            <w:rPr>
              <w:lang w:val="en-US"/>
            </w:rPr>
            <w:fldChar w:fldCharType="begin"/>
          </w:r>
          <w:r w:rsidRPr="006C2CED">
            <w:rPr>
              <w:lang w:val="en-US"/>
            </w:rPr>
            <w:instrText xml:space="preserve"> CITATION Tay01 \l 1033 </w:instrText>
          </w:r>
          <w:r w:rsidRPr="006C2CED">
            <w:rPr>
              <w:lang w:val="en-US"/>
            </w:rPr>
            <w:fldChar w:fldCharType="separate"/>
          </w:r>
          <w:r w:rsidRPr="006C2CED">
            <w:rPr>
              <w:noProof/>
              <w:lang w:val="en-US"/>
            </w:rPr>
            <w:t>(Taylor &amp; Pettit, 2001)</w:t>
          </w:r>
          <w:r w:rsidRPr="006C2CED">
            <w:rPr>
              <w:lang w:val="en-US"/>
            </w:rPr>
            <w:fldChar w:fldCharType="end"/>
          </w:r>
        </w:sdtContent>
      </w:sdt>
      <w:r w:rsidRPr="006C2CED">
        <w:rPr>
          <w:lang w:val="en-US"/>
        </w:rPr>
        <w:t>.</w:t>
      </w:r>
    </w:p>
    <w:p w:rsidR="00033B24" w:rsidRPr="006C2CED" w:rsidRDefault="00033B24" w:rsidP="000F7B34">
      <w:pPr>
        <w:spacing w:line="480" w:lineRule="auto"/>
        <w:jc w:val="both"/>
        <w:rPr>
          <w:lang w:val="en-US"/>
        </w:rPr>
      </w:pPr>
    </w:p>
    <w:p w:rsidR="00E93A45" w:rsidRPr="006C2CED" w:rsidRDefault="00E93A45" w:rsidP="000F7B34">
      <w:pPr>
        <w:spacing w:line="480" w:lineRule="auto"/>
        <w:jc w:val="both"/>
        <w:rPr>
          <w:b/>
          <w:lang w:val="en-US"/>
        </w:rPr>
      </w:pPr>
      <w:r w:rsidRPr="006C2CED">
        <w:rPr>
          <w:b/>
          <w:lang w:val="en-US"/>
        </w:rPr>
        <w:t xml:space="preserve">What Happened? </w:t>
      </w:r>
    </w:p>
    <w:p w:rsidR="00E93A45" w:rsidRPr="006C2CED" w:rsidRDefault="00E93A45" w:rsidP="000F7B34">
      <w:pPr>
        <w:spacing w:line="480" w:lineRule="auto"/>
        <w:jc w:val="both"/>
        <w:rPr>
          <w:lang w:val="en-US"/>
        </w:rPr>
      </w:pPr>
      <w:r w:rsidRPr="006C2CED">
        <w:rPr>
          <w:lang w:val="en-US"/>
        </w:rPr>
        <w:t xml:space="preserve">During the planning stages of the Micro-teach I found myself looking back at my notes from my previous evaluation form and comparing them to my last critical reflection. With this I found myself unsure on my first steps to plan my next teach, I decided to utilize my mentor here as a sounding board to help me plan and be more critical of myself. </w:t>
      </w:r>
      <w:r w:rsidR="00033B24" w:rsidRPr="006C2CED">
        <w:t xml:space="preserve">Bloom et al </w:t>
      </w:r>
      <w:sdt>
        <w:sdtPr>
          <w:id w:val="1248303174"/>
          <w:citation/>
        </w:sdtPr>
        <w:sdtEndPr/>
        <w:sdtContent>
          <w:r w:rsidR="00033B24" w:rsidRPr="006C2CED">
            <w:fldChar w:fldCharType="begin"/>
          </w:r>
          <w:r w:rsidR="00033B24" w:rsidRPr="006C2CED">
            <w:rPr>
              <w:lang w:val="en-US"/>
            </w:rPr>
            <w:instrText xml:space="preserve">CITATION Blo98 \n  \t  \l 1033 </w:instrText>
          </w:r>
          <w:r w:rsidR="00033B24" w:rsidRPr="006C2CED">
            <w:fldChar w:fldCharType="separate"/>
          </w:r>
          <w:r w:rsidR="00033B24" w:rsidRPr="006C2CED">
            <w:rPr>
              <w:noProof/>
              <w:lang w:val="en-US"/>
            </w:rPr>
            <w:t>(1998)</w:t>
          </w:r>
          <w:r w:rsidR="00033B24" w:rsidRPr="006C2CED">
            <w:fldChar w:fldCharType="end"/>
          </w:r>
        </w:sdtContent>
      </w:sdt>
      <w:r w:rsidR="006A46DD" w:rsidRPr="006C2CED">
        <w:t xml:space="preserve">, lends that mentoring has come into regular use within education, where it has been </w:t>
      </w:r>
      <w:r w:rsidR="006A46DD" w:rsidRPr="006C2CED">
        <w:lastRenderedPageBreak/>
        <w:t xml:space="preserve">amalgamated with good practice in relation to developing student teachers ‘knowledge’ and skill. </w:t>
      </w:r>
      <w:r w:rsidRPr="006C2CED">
        <w:rPr>
          <w:lang w:val="en-US"/>
        </w:rPr>
        <w:t xml:space="preserve">I found this beneficial as I feel that being more critical and demanding of myself is something I need to develop. </w:t>
      </w:r>
    </w:p>
    <w:p w:rsidR="000F52F9" w:rsidRPr="006C2CED" w:rsidRDefault="000F52F9" w:rsidP="000F7B34">
      <w:pPr>
        <w:spacing w:line="480" w:lineRule="auto"/>
        <w:jc w:val="both"/>
        <w:rPr>
          <w:lang w:val="en-US"/>
        </w:rPr>
      </w:pPr>
    </w:p>
    <w:p w:rsidR="00E93A45" w:rsidRPr="006C2CED" w:rsidRDefault="00512966" w:rsidP="000F7B34">
      <w:pPr>
        <w:spacing w:line="480" w:lineRule="auto"/>
        <w:jc w:val="both"/>
        <w:rPr>
          <w:lang w:val="en-US"/>
        </w:rPr>
      </w:pPr>
      <w:r w:rsidRPr="006C2CED">
        <w:rPr>
          <w:lang w:val="en-US"/>
        </w:rPr>
        <w:t>During the planning stages I look back at my critical reflection on what was not so good and what was good</w:t>
      </w:r>
      <w:r w:rsidR="00033B24" w:rsidRPr="006C2CED">
        <w:rPr>
          <w:lang w:val="en-US"/>
        </w:rPr>
        <w:t xml:space="preserve">. Supported by Jasper </w:t>
      </w:r>
      <w:sdt>
        <w:sdtPr>
          <w:rPr>
            <w:lang w:val="en-US"/>
          </w:rPr>
          <w:id w:val="-472139239"/>
          <w:citation/>
        </w:sdtPr>
        <w:sdtEndPr/>
        <w:sdtContent>
          <w:r w:rsidR="00033B24" w:rsidRPr="006C2CED">
            <w:rPr>
              <w:lang w:val="en-US"/>
            </w:rPr>
            <w:fldChar w:fldCharType="begin"/>
          </w:r>
          <w:r w:rsidR="00033B24" w:rsidRPr="006C2CED">
            <w:rPr>
              <w:lang w:val="en-US"/>
            </w:rPr>
            <w:instrText xml:space="preserve">CITATION Jas031 \n  \t  \l 1033 </w:instrText>
          </w:r>
          <w:r w:rsidR="00033B24" w:rsidRPr="006C2CED">
            <w:rPr>
              <w:lang w:val="en-US"/>
            </w:rPr>
            <w:fldChar w:fldCharType="separate"/>
          </w:r>
          <w:r w:rsidR="00033B24" w:rsidRPr="006C2CED">
            <w:rPr>
              <w:noProof/>
              <w:lang w:val="en-US"/>
            </w:rPr>
            <w:t>(2003)</w:t>
          </w:r>
          <w:r w:rsidR="00033B24" w:rsidRPr="006C2CED">
            <w:rPr>
              <w:lang w:val="en-US"/>
            </w:rPr>
            <w:fldChar w:fldCharType="end"/>
          </w:r>
        </w:sdtContent>
      </w:sdt>
      <w:r w:rsidR="000F52F9" w:rsidRPr="006C2CED">
        <w:rPr>
          <w:lang w:val="en-US"/>
        </w:rPr>
        <w:t xml:space="preserve">, who shares that at the evaluation stage’s it is important to consider not only went well and what did go well but how you felt at these </w:t>
      </w:r>
      <w:r w:rsidR="007044E4" w:rsidRPr="006C2CED">
        <w:rPr>
          <w:lang w:val="en-US"/>
        </w:rPr>
        <w:t>stages</w:t>
      </w:r>
      <w:r w:rsidR="000F52F9" w:rsidRPr="006C2CED">
        <w:rPr>
          <w:lang w:val="en-US"/>
        </w:rPr>
        <w:t xml:space="preserve"> to use for future</w:t>
      </w:r>
      <w:r w:rsidR="00EB4413" w:rsidRPr="006C2CED">
        <w:rPr>
          <w:lang w:val="en-US"/>
        </w:rPr>
        <w:t xml:space="preserve"> planning </w:t>
      </w:r>
      <w:r w:rsidR="000F52F9" w:rsidRPr="006C2CED">
        <w:rPr>
          <w:lang w:val="en-US"/>
        </w:rPr>
        <w:t xml:space="preserve"> </w:t>
      </w:r>
      <w:sdt>
        <w:sdtPr>
          <w:rPr>
            <w:lang w:val="en-US"/>
          </w:rPr>
          <w:id w:val="198598121"/>
          <w:citation/>
        </w:sdtPr>
        <w:sdtEndPr/>
        <w:sdtContent>
          <w:r w:rsidR="006B4A8E" w:rsidRPr="006C2CED">
            <w:rPr>
              <w:lang w:val="en-US"/>
            </w:rPr>
            <w:fldChar w:fldCharType="begin"/>
          </w:r>
          <w:r w:rsidR="006B4A8E" w:rsidRPr="006C2CED">
            <w:rPr>
              <w:lang w:val="en-US"/>
            </w:rPr>
            <w:instrText xml:space="preserve"> CITATION Jul09 \l 1033 </w:instrText>
          </w:r>
          <w:r w:rsidR="006B4A8E" w:rsidRPr="006C2CED">
            <w:rPr>
              <w:lang w:val="en-US"/>
            </w:rPr>
            <w:fldChar w:fldCharType="separate"/>
          </w:r>
          <w:r w:rsidR="006B4A8E" w:rsidRPr="006C2CED">
            <w:rPr>
              <w:noProof/>
              <w:lang w:val="en-US"/>
            </w:rPr>
            <w:t>(Jules &amp; Vassel, 2009)</w:t>
          </w:r>
          <w:r w:rsidR="006B4A8E" w:rsidRPr="006C2CED">
            <w:rPr>
              <w:lang w:val="en-US"/>
            </w:rPr>
            <w:fldChar w:fldCharType="end"/>
          </w:r>
        </w:sdtContent>
      </w:sdt>
    </w:p>
    <w:p w:rsidR="000F52F9" w:rsidRPr="006C2CED" w:rsidRDefault="000F52F9" w:rsidP="001E1A1F">
      <w:pPr>
        <w:spacing w:line="480" w:lineRule="auto"/>
        <w:jc w:val="both"/>
        <w:rPr>
          <w:lang w:val="en-US"/>
        </w:rPr>
      </w:pPr>
      <w:r w:rsidRPr="006C2CED">
        <w:rPr>
          <w:lang w:val="en-US"/>
        </w:rPr>
        <w:t>I found myself looking into more detail and making sense on what has happened and why it happened and even what I would do differently next</w:t>
      </w:r>
      <w:r w:rsidR="001E1A1F" w:rsidRPr="006C2CED">
        <w:rPr>
          <w:lang w:val="en-US"/>
        </w:rPr>
        <w:t xml:space="preserve"> time to improve. Bulman and Schutz  </w:t>
      </w:r>
      <w:sdt>
        <w:sdtPr>
          <w:rPr>
            <w:lang w:val="en-US"/>
          </w:rPr>
          <w:id w:val="-2051987300"/>
          <w:citation/>
        </w:sdtPr>
        <w:sdtEndPr/>
        <w:sdtContent>
          <w:r w:rsidR="001E1A1F" w:rsidRPr="006C2CED">
            <w:rPr>
              <w:lang w:val="en-US"/>
            </w:rPr>
            <w:fldChar w:fldCharType="begin"/>
          </w:r>
          <w:r w:rsidR="001E1A1F" w:rsidRPr="006C2CED">
            <w:rPr>
              <w:lang w:val="en-US"/>
            </w:rPr>
            <w:instrText xml:space="preserve">CITATION Bul13 \n  \t  \l 1033 </w:instrText>
          </w:r>
          <w:r w:rsidR="001E1A1F" w:rsidRPr="006C2CED">
            <w:rPr>
              <w:lang w:val="en-US"/>
            </w:rPr>
            <w:fldChar w:fldCharType="separate"/>
          </w:r>
          <w:r w:rsidR="001E1A1F" w:rsidRPr="006C2CED">
            <w:rPr>
              <w:noProof/>
              <w:lang w:val="en-US"/>
            </w:rPr>
            <w:t>(20013)</w:t>
          </w:r>
          <w:r w:rsidR="001E1A1F" w:rsidRPr="006C2CED">
            <w:rPr>
              <w:lang w:val="en-US"/>
            </w:rPr>
            <w:fldChar w:fldCharType="end"/>
          </w:r>
        </w:sdtContent>
      </w:sdt>
      <w:r w:rsidRPr="006C2CED">
        <w:rPr>
          <w:lang w:val="en-US"/>
        </w:rPr>
        <w:t xml:space="preserve"> suggests this can be a beneficial process in order to make sense of the situation and see what emerging themes keep occurring and allow the reflector to go into more detail. </w:t>
      </w:r>
    </w:p>
    <w:p w:rsidR="000F52F9" w:rsidRPr="006C2CED" w:rsidRDefault="00BE6430" w:rsidP="001E1A1F">
      <w:pPr>
        <w:spacing w:line="480" w:lineRule="auto"/>
        <w:jc w:val="both"/>
        <w:rPr>
          <w:lang w:val="en-US"/>
        </w:rPr>
      </w:pPr>
      <w:r w:rsidRPr="006C2CED">
        <w:rPr>
          <w:lang w:val="en-US"/>
        </w:rPr>
        <w:t xml:space="preserve">I decided upon a topic that was outside my comfort zone, </w:t>
      </w:r>
      <w:r w:rsidR="006B4A8E" w:rsidRPr="006C2CED">
        <w:rPr>
          <w:lang w:val="en-US"/>
        </w:rPr>
        <w:t>why?</w:t>
      </w:r>
      <w:r w:rsidRPr="006C2CED">
        <w:rPr>
          <w:lang w:val="en-US"/>
        </w:rPr>
        <w:t xml:space="preserve"> because I felt a good teacher, teaches the students and not only the topic. I knew I would be out of my comfort </w:t>
      </w:r>
      <w:r w:rsidR="006B4A8E" w:rsidRPr="006C2CED">
        <w:rPr>
          <w:lang w:val="en-US"/>
        </w:rPr>
        <w:t>zone,</w:t>
      </w:r>
      <w:r w:rsidR="00580E51" w:rsidRPr="006C2CED">
        <w:rPr>
          <w:lang w:val="en-US"/>
        </w:rPr>
        <w:t xml:space="preserve"> but</w:t>
      </w:r>
      <w:r w:rsidRPr="006C2CED">
        <w:rPr>
          <w:lang w:val="en-US"/>
        </w:rPr>
        <w:t xml:space="preserve"> I felt I would allow the class within their group work the chance to have empowerment and control as I did not have exceptional knowledge of the theme </w:t>
      </w:r>
      <w:r w:rsidR="006B4A8E" w:rsidRPr="006C2CED">
        <w:rPr>
          <w:lang w:val="en-US"/>
        </w:rPr>
        <w:t>(Physics</w:t>
      </w:r>
      <w:r w:rsidRPr="006C2CED">
        <w:rPr>
          <w:lang w:val="en-US"/>
        </w:rPr>
        <w:t xml:space="preserve">). </w:t>
      </w:r>
    </w:p>
    <w:p w:rsidR="003E19BE" w:rsidRPr="006C2CED" w:rsidRDefault="00580E51" w:rsidP="003E19BE">
      <w:pPr>
        <w:spacing w:line="480" w:lineRule="auto"/>
        <w:jc w:val="both"/>
        <w:rPr>
          <w:lang w:val="en-US"/>
        </w:rPr>
      </w:pPr>
      <w:r w:rsidRPr="006C2CED">
        <w:rPr>
          <w:lang w:val="en-US"/>
        </w:rPr>
        <w:t xml:space="preserve">In order to ensure the lesson was engaging and the pupils wanted to learn, I decided to utilize two </w:t>
      </w:r>
      <w:r w:rsidR="006B4A8E" w:rsidRPr="006C2CED">
        <w:rPr>
          <w:lang w:val="en-US"/>
        </w:rPr>
        <w:t>videos’</w:t>
      </w:r>
      <w:r w:rsidRPr="006C2CED">
        <w:rPr>
          <w:lang w:val="en-US"/>
        </w:rPr>
        <w:t xml:space="preserve">.  I felt rather than passing on knowledge the pupils would have the opportunity to learn visually. </w:t>
      </w:r>
      <w:r w:rsidR="003E19BE" w:rsidRPr="006C2CED">
        <w:rPr>
          <w:lang w:val="en-US"/>
        </w:rPr>
        <w:t>(HEA Standards – Core Knowledge – A1, A2 and A3)</w:t>
      </w:r>
    </w:p>
    <w:p w:rsidR="00BE6430" w:rsidRPr="006C2CED" w:rsidRDefault="00BE6430" w:rsidP="001E1A1F">
      <w:pPr>
        <w:spacing w:line="480" w:lineRule="auto"/>
        <w:jc w:val="both"/>
        <w:rPr>
          <w:lang w:val="en-US"/>
        </w:rPr>
      </w:pPr>
    </w:p>
    <w:p w:rsidR="003E19BE" w:rsidRPr="006C2CED" w:rsidRDefault="00580E51" w:rsidP="003E19BE">
      <w:pPr>
        <w:spacing w:line="480" w:lineRule="auto"/>
        <w:jc w:val="both"/>
        <w:rPr>
          <w:lang w:val="en-US"/>
        </w:rPr>
      </w:pPr>
      <w:r w:rsidRPr="006C2CED">
        <w:rPr>
          <w:lang w:val="en-US"/>
        </w:rPr>
        <w:t>Furthermore, during the planning stages, I set three principal learning objectives and from this I planned my lesson to ensure that I could province learning opportunities so that the pupils would reach the learning objectives. Here I also embedded literacy and numeracy without the learners being notified.</w:t>
      </w:r>
      <w:r w:rsidR="003E19BE" w:rsidRPr="006C2CED">
        <w:rPr>
          <w:lang w:val="en-US"/>
        </w:rPr>
        <w:t xml:space="preserve"> (HEA Standards – Core Knowledge – A4 and A5)</w:t>
      </w:r>
    </w:p>
    <w:p w:rsidR="00580E51" w:rsidRPr="006C2CED" w:rsidRDefault="00580E51" w:rsidP="000F7B34">
      <w:pPr>
        <w:spacing w:line="480" w:lineRule="auto"/>
        <w:jc w:val="both"/>
        <w:rPr>
          <w:lang w:val="en-US"/>
        </w:rPr>
      </w:pPr>
      <w:r w:rsidRPr="006C2CED">
        <w:rPr>
          <w:lang w:val="en-US"/>
        </w:rPr>
        <w:lastRenderedPageBreak/>
        <w:t xml:space="preserve">To start the lesson, I assessed pupils understanding of the theme with a hand up and down questions with statements progressing in challenge. This allowed for early identification of more or less able pupils. After this I introduced the objectives of the lesson which at the end of the lesson I recapped and asked the students did they hit all three </w:t>
      </w:r>
      <w:r w:rsidR="007416DD" w:rsidRPr="006C2CED">
        <w:rPr>
          <w:lang w:val="en-US"/>
        </w:rPr>
        <w:t>learning</w:t>
      </w:r>
      <w:r w:rsidRPr="006C2CED">
        <w:rPr>
          <w:lang w:val="en-US"/>
        </w:rPr>
        <w:t xml:space="preserve"> objectives to which </w:t>
      </w:r>
      <w:r w:rsidR="007416DD" w:rsidRPr="006C2CED">
        <w:rPr>
          <w:lang w:val="en-US"/>
        </w:rPr>
        <w:t>they</w:t>
      </w:r>
      <w:r w:rsidRPr="006C2CED">
        <w:rPr>
          <w:lang w:val="en-US"/>
        </w:rPr>
        <w:t xml:space="preserve"> did. </w:t>
      </w:r>
      <w:r w:rsidR="003E19BE" w:rsidRPr="006C2CED">
        <w:rPr>
          <w:lang w:val="en-US"/>
        </w:rPr>
        <w:t xml:space="preserve"> (HEA Standards – Core Knowledge – K1, K2 and K3)</w:t>
      </w:r>
    </w:p>
    <w:p w:rsidR="0012468E" w:rsidRPr="006C2CED" w:rsidRDefault="008C1576" w:rsidP="000F7B34">
      <w:pPr>
        <w:spacing w:line="480" w:lineRule="auto"/>
        <w:jc w:val="both"/>
        <w:rPr>
          <w:lang w:val="en-US"/>
        </w:rPr>
      </w:pPr>
      <w:r w:rsidRPr="006C2CED">
        <w:rPr>
          <w:lang w:val="en-US"/>
        </w:rPr>
        <w:t xml:space="preserve">As I asked questions and asked the pupils to put their hands up I was able to clearly identify the students who had stronger knowledge on the topic, where I could then pair the students up with stronger and weaker students to support social learning theory. Here with two groups I had success and there were some fantastic examples of peers learning from each other. </w:t>
      </w:r>
      <w:r w:rsidR="00DE7A75" w:rsidRPr="006C2CED">
        <w:rPr>
          <w:lang w:val="en-US"/>
        </w:rPr>
        <w:t xml:space="preserve">The participants really seized the opportunity and were in profound conversation around strategic themes that I desired them to consider, this permitted for a significant amount of the erudition to come from their peers. Wenger </w:t>
      </w:r>
      <w:sdt>
        <w:sdtPr>
          <w:rPr>
            <w:lang w:val="en-US"/>
          </w:rPr>
          <w:id w:val="-1247335784"/>
          <w:citation/>
        </w:sdtPr>
        <w:sdtEndPr/>
        <w:sdtContent>
          <w:r w:rsidR="00DE7A75" w:rsidRPr="006C2CED">
            <w:rPr>
              <w:lang w:val="en-US"/>
            </w:rPr>
            <w:fldChar w:fldCharType="begin"/>
          </w:r>
          <w:r w:rsidR="00DE7A75" w:rsidRPr="006C2CED">
            <w:rPr>
              <w:lang w:val="en-US"/>
            </w:rPr>
            <w:instrText xml:space="preserve">CITATION Wen98 \n  \t  \l 1033 </w:instrText>
          </w:r>
          <w:r w:rsidR="00DE7A75" w:rsidRPr="006C2CED">
            <w:rPr>
              <w:lang w:val="en-US"/>
            </w:rPr>
            <w:fldChar w:fldCharType="separate"/>
          </w:r>
          <w:r w:rsidR="00DE7A75" w:rsidRPr="006C2CED">
            <w:rPr>
              <w:noProof/>
              <w:lang w:val="en-US"/>
            </w:rPr>
            <w:t>(1998)</w:t>
          </w:r>
          <w:r w:rsidR="00DE7A75" w:rsidRPr="006C2CED">
            <w:rPr>
              <w:lang w:val="en-US"/>
            </w:rPr>
            <w:fldChar w:fldCharType="end"/>
          </w:r>
        </w:sdtContent>
      </w:sdt>
      <w:r w:rsidR="00DE7A75" w:rsidRPr="006C2CED">
        <w:rPr>
          <w:lang w:val="en-US"/>
        </w:rPr>
        <w:t xml:space="preserve"> states that learning is not apparent as the acquisition of an individual, but by a process of social participation and can be reinforced via a problem-based </w:t>
      </w:r>
      <w:r w:rsidR="0081043B" w:rsidRPr="006C2CED">
        <w:rPr>
          <w:lang w:val="en-US"/>
        </w:rPr>
        <w:t>approach (</w:t>
      </w:r>
      <w:r w:rsidR="00DE7A75" w:rsidRPr="006C2CED">
        <w:rPr>
          <w:lang w:val="en-US"/>
        </w:rPr>
        <w:t xml:space="preserve">HEA- A2, </w:t>
      </w:r>
      <w:r w:rsidR="0081043B" w:rsidRPr="006C2CED">
        <w:rPr>
          <w:lang w:val="en-US"/>
        </w:rPr>
        <w:t xml:space="preserve">V1 and V3). </w:t>
      </w:r>
      <w:r w:rsidRPr="006C2CED">
        <w:rPr>
          <w:lang w:val="en-US"/>
        </w:rPr>
        <w:t xml:space="preserve">However, with one group the stronger candidate would not engage, and I kept encouraging them to work together but I had to keep helping the weaker student. </w:t>
      </w:r>
    </w:p>
    <w:p w:rsidR="008C1576" w:rsidRPr="006C2CED" w:rsidRDefault="008C1576" w:rsidP="000F7B34">
      <w:pPr>
        <w:spacing w:line="480" w:lineRule="auto"/>
        <w:jc w:val="both"/>
        <w:rPr>
          <w:lang w:val="en-US"/>
        </w:rPr>
      </w:pPr>
      <w:r w:rsidRPr="006C2CED">
        <w:rPr>
          <w:lang w:val="en-US"/>
        </w:rPr>
        <w:t xml:space="preserve">At the end of the group work, I put in two test questions so I that I could test two aspects of the lesson, the first being how well they can work as a group and the second can they problem solve together and develop the formula to the answers.  The majority of the groups were able to problem solve and work together. However, the group that did not was the group that worked in isolation. </w:t>
      </w:r>
      <w:r w:rsidR="003E19BE" w:rsidRPr="006C2CED">
        <w:rPr>
          <w:lang w:val="en-US"/>
        </w:rPr>
        <w:t>(professional values V1)</w:t>
      </w:r>
    </w:p>
    <w:p w:rsidR="008C1576" w:rsidRPr="006C2CED" w:rsidRDefault="008C1576" w:rsidP="000F7B34">
      <w:pPr>
        <w:spacing w:line="480" w:lineRule="auto"/>
        <w:jc w:val="both"/>
        <w:rPr>
          <w:lang w:val="en-US"/>
        </w:rPr>
      </w:pPr>
    </w:p>
    <w:p w:rsidR="001E1A1F" w:rsidRPr="006C2CED" w:rsidRDefault="001E1A1F" w:rsidP="000F7B34">
      <w:pPr>
        <w:spacing w:line="480" w:lineRule="auto"/>
        <w:jc w:val="both"/>
        <w:rPr>
          <w:lang w:val="en-US"/>
        </w:rPr>
      </w:pPr>
    </w:p>
    <w:p w:rsidR="003E19BE" w:rsidRPr="006C2CED" w:rsidRDefault="003E19BE" w:rsidP="000F7B34">
      <w:pPr>
        <w:spacing w:line="480" w:lineRule="auto"/>
        <w:jc w:val="both"/>
        <w:rPr>
          <w:b/>
          <w:lang w:val="en-US"/>
        </w:rPr>
      </w:pPr>
    </w:p>
    <w:p w:rsidR="007416DD" w:rsidRPr="006C2CED" w:rsidRDefault="007416DD" w:rsidP="000F7B34">
      <w:pPr>
        <w:spacing w:line="480" w:lineRule="auto"/>
        <w:jc w:val="both"/>
        <w:rPr>
          <w:b/>
          <w:lang w:val="en-US"/>
        </w:rPr>
      </w:pPr>
      <w:r w:rsidRPr="006C2CED">
        <w:rPr>
          <w:b/>
          <w:lang w:val="en-US"/>
        </w:rPr>
        <w:lastRenderedPageBreak/>
        <w:t xml:space="preserve">Feelings? </w:t>
      </w:r>
    </w:p>
    <w:p w:rsidR="0012468E" w:rsidRPr="006C2CED" w:rsidRDefault="00027955" w:rsidP="000F7B34">
      <w:pPr>
        <w:spacing w:line="480" w:lineRule="auto"/>
        <w:jc w:val="both"/>
        <w:rPr>
          <w:lang w:val="en-US"/>
        </w:rPr>
      </w:pPr>
      <w:r w:rsidRPr="006C2CED">
        <w:rPr>
          <w:lang w:val="en-US"/>
        </w:rPr>
        <w:t xml:space="preserve">At the start of the process I was high in confidence but started to think too much around what I could improve and not focus on </w:t>
      </w:r>
      <w:r w:rsidR="001E1A1F" w:rsidRPr="006C2CED">
        <w:rPr>
          <w:lang w:val="en-US"/>
        </w:rPr>
        <w:t xml:space="preserve">how I could improve my lesson. I </w:t>
      </w:r>
      <w:r w:rsidRPr="006C2CED">
        <w:rPr>
          <w:lang w:val="en-US"/>
        </w:rPr>
        <w:t xml:space="preserve">seemed to lose focus around the subject theme, but upon utilizing a mentor it focused my attention and give clarity to my thoughts. </w:t>
      </w:r>
    </w:p>
    <w:p w:rsidR="00027955" w:rsidRPr="006C2CED" w:rsidRDefault="00027955" w:rsidP="000F7B34">
      <w:pPr>
        <w:spacing w:line="480" w:lineRule="auto"/>
        <w:jc w:val="both"/>
        <w:rPr>
          <w:lang w:val="en-US"/>
        </w:rPr>
      </w:pPr>
      <w:r w:rsidRPr="006C2CED">
        <w:rPr>
          <w:lang w:val="en-US"/>
        </w:rPr>
        <w:t xml:space="preserve">I decided to challenge myself with a topic outside of my comfort zone, to see how I could teach rather than give information on my topic. In order for this to be a success I researched around Physics topics and came up with the idea of measuring boiling point. In the middle of the research I became quite nervous and filled with trepidation as the pupils may know more about this subject. I decided that conflict would be good even if I made a mistake or didn’t know about the topic as my topic was group work I felt I was there to stimulate and support social learning and peer interaction. </w:t>
      </w:r>
    </w:p>
    <w:p w:rsidR="00027955" w:rsidRPr="006C2CED" w:rsidRDefault="00027955" w:rsidP="000F7B34">
      <w:pPr>
        <w:spacing w:line="480" w:lineRule="auto"/>
        <w:jc w:val="both"/>
        <w:rPr>
          <w:lang w:val="en-US"/>
        </w:rPr>
      </w:pPr>
      <w:r w:rsidRPr="006C2CED">
        <w:rPr>
          <w:lang w:val="en-US"/>
        </w:rPr>
        <w:t xml:space="preserve">During the start of the Micro-Teach lesson I felt confident and calm and delivered the lesson as I would have wanted. However, during the group work there was a question which I forgot the answer and I forgot the formula to the answer. I started to panic and couldn’t get the answer, so I found myself asking the pupils how they were coming up with their answers. I managed to pull the answer and how they got to that answer, but I was very worried someone would want a detailed breakdown which I would have panicked. </w:t>
      </w:r>
    </w:p>
    <w:p w:rsidR="00027955" w:rsidRPr="006C2CED" w:rsidRDefault="00027955" w:rsidP="000F7B34">
      <w:pPr>
        <w:spacing w:line="480" w:lineRule="auto"/>
        <w:jc w:val="both"/>
        <w:rPr>
          <w:lang w:val="en-US"/>
        </w:rPr>
      </w:pPr>
      <w:r w:rsidRPr="006C2CED">
        <w:rPr>
          <w:lang w:val="en-US"/>
        </w:rPr>
        <w:t xml:space="preserve">After the group work, the class gave feedback which I was surprised was very detailed and positive. They really pleased myself and filled myself with a significant amount of confidence. It also motivated me more to want to learn more and to want to </w:t>
      </w:r>
      <w:r w:rsidR="007044E4" w:rsidRPr="006C2CED">
        <w:rPr>
          <w:lang w:val="en-US"/>
        </w:rPr>
        <w:t>become</w:t>
      </w:r>
      <w:r w:rsidRPr="006C2CED">
        <w:rPr>
          <w:lang w:val="en-US"/>
        </w:rPr>
        <w:t xml:space="preserve"> a better teacher and mentor. </w:t>
      </w:r>
    </w:p>
    <w:p w:rsidR="00E351C9" w:rsidRPr="006C2CED" w:rsidRDefault="00E351C9" w:rsidP="000F7B34">
      <w:pPr>
        <w:spacing w:line="480" w:lineRule="auto"/>
        <w:jc w:val="both"/>
        <w:rPr>
          <w:lang w:val="en-US"/>
        </w:rPr>
      </w:pPr>
    </w:p>
    <w:p w:rsidR="007044E4" w:rsidRPr="006C2CED" w:rsidRDefault="007044E4" w:rsidP="000F7B34">
      <w:pPr>
        <w:spacing w:line="480" w:lineRule="auto"/>
        <w:jc w:val="both"/>
        <w:rPr>
          <w:lang w:val="en-US"/>
        </w:rPr>
      </w:pPr>
    </w:p>
    <w:p w:rsidR="007416DD" w:rsidRPr="006C2CED" w:rsidRDefault="007416DD" w:rsidP="000F7B34">
      <w:pPr>
        <w:spacing w:line="480" w:lineRule="auto"/>
        <w:jc w:val="both"/>
        <w:rPr>
          <w:b/>
          <w:lang w:val="en-US"/>
        </w:rPr>
      </w:pPr>
      <w:r w:rsidRPr="006C2CED">
        <w:rPr>
          <w:b/>
          <w:lang w:val="en-US"/>
        </w:rPr>
        <w:lastRenderedPageBreak/>
        <w:t xml:space="preserve">Evaluations and Analysis </w:t>
      </w:r>
    </w:p>
    <w:p w:rsidR="00A871B6" w:rsidRPr="006C2CED" w:rsidRDefault="007044E4" w:rsidP="000F7B34">
      <w:pPr>
        <w:spacing w:line="480" w:lineRule="auto"/>
        <w:jc w:val="both"/>
      </w:pPr>
      <w:r w:rsidRPr="006C2CED">
        <w:rPr>
          <w:lang w:val="en-US"/>
        </w:rPr>
        <w:t xml:space="preserve">In the planning stages of the teach the </w:t>
      </w:r>
      <w:r w:rsidR="00C64FF2" w:rsidRPr="006C2CED">
        <w:rPr>
          <w:lang w:val="en-US"/>
        </w:rPr>
        <w:t xml:space="preserve">author encountered problems with planning and direction so decided to seek out and get support from a mentor. </w:t>
      </w:r>
      <w:r w:rsidR="00C45121" w:rsidRPr="006C2CED">
        <w:rPr>
          <w:lang w:val="en-US"/>
        </w:rPr>
        <w:t xml:space="preserve"> </w:t>
      </w:r>
      <w:r w:rsidR="00E351C9" w:rsidRPr="006C2CED">
        <w:t xml:space="preserve">Jones, Harris and Miles </w:t>
      </w:r>
      <w:sdt>
        <w:sdtPr>
          <w:id w:val="-1705329659"/>
          <w:citation/>
        </w:sdtPr>
        <w:sdtEndPr/>
        <w:sdtContent>
          <w:r w:rsidR="00E351C9" w:rsidRPr="006C2CED">
            <w:fldChar w:fldCharType="begin"/>
          </w:r>
          <w:r w:rsidR="00E351C9" w:rsidRPr="006C2CED">
            <w:rPr>
              <w:lang w:val="en-US"/>
            </w:rPr>
            <w:instrText xml:space="preserve">CITATION Jon09 \n  \t  \l 1033 </w:instrText>
          </w:r>
          <w:r w:rsidR="00E351C9" w:rsidRPr="006C2CED">
            <w:fldChar w:fldCharType="separate"/>
          </w:r>
          <w:r w:rsidR="00E351C9" w:rsidRPr="006C2CED">
            <w:rPr>
              <w:noProof/>
              <w:lang w:val="en-US"/>
            </w:rPr>
            <w:t>(2009)</w:t>
          </w:r>
          <w:r w:rsidR="00E351C9" w:rsidRPr="006C2CED">
            <w:fldChar w:fldCharType="end"/>
          </w:r>
        </w:sdtContent>
      </w:sdt>
      <w:r w:rsidR="00C45121" w:rsidRPr="006C2CED">
        <w:t xml:space="preserve">, elucidate that nevertheless the opacity and lack of lucidness, mentoring seems to be attaining appreciation as a resource of budding highly qualified effectual practitioners in variety of realms, including teaching. </w:t>
      </w:r>
      <w:r w:rsidR="008056E1" w:rsidRPr="006C2CED">
        <w:t>Something the author really benefited from and the research with mentoring is mainly positive around improving practice</w:t>
      </w:r>
      <w:r w:rsidR="008536BF" w:rsidRPr="006C2CED">
        <w:t xml:space="preserve">, where the mentor here was utilised as a guide and support. </w:t>
      </w:r>
      <w:r w:rsidR="00E351C9" w:rsidRPr="006C2CED">
        <w:t xml:space="preserve">Fletcher </w:t>
      </w:r>
      <w:sdt>
        <w:sdtPr>
          <w:id w:val="-612281534"/>
          <w:citation/>
        </w:sdtPr>
        <w:sdtEndPr/>
        <w:sdtContent>
          <w:r w:rsidR="00E351C9" w:rsidRPr="006C2CED">
            <w:fldChar w:fldCharType="begin"/>
          </w:r>
          <w:r w:rsidR="00E351C9" w:rsidRPr="006C2CED">
            <w:rPr>
              <w:lang w:val="en-US"/>
            </w:rPr>
            <w:instrText xml:space="preserve">CITATION Fle001 \n  \t  \l 1033 </w:instrText>
          </w:r>
          <w:r w:rsidR="00E351C9" w:rsidRPr="006C2CED">
            <w:fldChar w:fldCharType="separate"/>
          </w:r>
          <w:r w:rsidR="00E351C9" w:rsidRPr="006C2CED">
            <w:rPr>
              <w:noProof/>
              <w:lang w:val="en-US"/>
            </w:rPr>
            <w:t>(2000)</w:t>
          </w:r>
          <w:r w:rsidR="00E351C9" w:rsidRPr="006C2CED">
            <w:fldChar w:fldCharType="end"/>
          </w:r>
        </w:sdtContent>
      </w:sdt>
      <w:r w:rsidR="00E351C9" w:rsidRPr="006C2CED">
        <w:t xml:space="preserve"> </w:t>
      </w:r>
      <w:r w:rsidR="008536BF" w:rsidRPr="006C2CED">
        <w:t>, reveals mentoring has a reciprocal relationship with guiding and supporting a trainee through compl</w:t>
      </w:r>
      <w:r w:rsidR="0065456B" w:rsidRPr="006C2CED">
        <w:t xml:space="preserve">icated changes. Merriman, </w:t>
      </w:r>
      <w:sdt>
        <w:sdtPr>
          <w:id w:val="-754744872"/>
          <w:citation/>
        </w:sdtPr>
        <w:sdtEndPr/>
        <w:sdtContent>
          <w:r w:rsidR="0065456B" w:rsidRPr="006C2CED">
            <w:fldChar w:fldCharType="begin"/>
          </w:r>
          <w:r w:rsidR="0065456B" w:rsidRPr="006C2CED">
            <w:rPr>
              <w:lang w:val="en-US"/>
            </w:rPr>
            <w:instrText xml:space="preserve">CITATION Mer84 \n  \t  \l 1033 </w:instrText>
          </w:r>
          <w:r w:rsidR="0065456B" w:rsidRPr="006C2CED">
            <w:fldChar w:fldCharType="separate"/>
          </w:r>
          <w:r w:rsidR="0065456B" w:rsidRPr="006C2CED">
            <w:rPr>
              <w:noProof/>
              <w:lang w:val="en-US"/>
            </w:rPr>
            <w:t>(1984)</w:t>
          </w:r>
          <w:r w:rsidR="0065456B" w:rsidRPr="006C2CED">
            <w:fldChar w:fldCharType="end"/>
          </w:r>
        </w:sdtContent>
      </w:sdt>
      <w:r w:rsidR="008536BF" w:rsidRPr="006C2CED">
        <w:t xml:space="preserve"> expressed a mentor as a supporter, counsel and guide to a protégé,</w:t>
      </w:r>
      <w:r w:rsidR="00E351C9" w:rsidRPr="006C2CED">
        <w:t xml:space="preserve"> comparably </w:t>
      </w:r>
      <w:proofErr w:type="spellStart"/>
      <w:r w:rsidR="00E351C9" w:rsidRPr="006C2CED">
        <w:t>Alleman</w:t>
      </w:r>
      <w:proofErr w:type="spellEnd"/>
      <w:r w:rsidR="00E351C9" w:rsidRPr="006C2CED">
        <w:t xml:space="preserve"> et al </w:t>
      </w:r>
      <w:sdt>
        <w:sdtPr>
          <w:id w:val="-1189830833"/>
          <w:citation/>
        </w:sdtPr>
        <w:sdtEndPr/>
        <w:sdtContent>
          <w:r w:rsidR="00E351C9" w:rsidRPr="006C2CED">
            <w:fldChar w:fldCharType="begin"/>
          </w:r>
          <w:r w:rsidR="00E351C9" w:rsidRPr="006C2CED">
            <w:rPr>
              <w:lang w:val="en-US"/>
            </w:rPr>
            <w:instrText xml:space="preserve">CITATION All84 \n  \t  \l 1033 </w:instrText>
          </w:r>
          <w:r w:rsidR="00E351C9" w:rsidRPr="006C2CED">
            <w:fldChar w:fldCharType="separate"/>
          </w:r>
          <w:r w:rsidR="00E351C9" w:rsidRPr="006C2CED">
            <w:rPr>
              <w:noProof/>
              <w:lang w:val="en-US"/>
            </w:rPr>
            <w:t>(1984)</w:t>
          </w:r>
          <w:r w:rsidR="00E351C9" w:rsidRPr="006C2CED">
            <w:fldChar w:fldCharType="end"/>
          </w:r>
        </w:sdtContent>
      </w:sdt>
      <w:r w:rsidR="008536BF" w:rsidRPr="006C2CED">
        <w:t>, shares that mentoring as an affiliation in which a</w:t>
      </w:r>
      <w:r w:rsidR="00A35C58" w:rsidRPr="006C2CED">
        <w:t>n</w:t>
      </w:r>
      <w:r w:rsidR="008536BF" w:rsidRPr="006C2CED">
        <w:t xml:space="preserve"> individual of superior, rank, experience or know-how guides and develops a neophyte practitioner </w:t>
      </w:r>
      <w:sdt>
        <w:sdtPr>
          <w:id w:val="709998226"/>
          <w:citation/>
        </w:sdtPr>
        <w:sdtEndPr/>
        <w:sdtContent>
          <w:r w:rsidR="00FC0212" w:rsidRPr="006C2CED">
            <w:fldChar w:fldCharType="begin"/>
          </w:r>
          <w:r w:rsidR="00FC0212" w:rsidRPr="006C2CED">
            <w:rPr>
              <w:lang w:val="en-US"/>
            </w:rPr>
            <w:instrText xml:space="preserve"> CITATION Jon091 \l 1033 </w:instrText>
          </w:r>
          <w:r w:rsidR="00FC0212" w:rsidRPr="006C2CED">
            <w:fldChar w:fldCharType="separate"/>
          </w:r>
          <w:r w:rsidR="00FC0212" w:rsidRPr="006C2CED">
            <w:rPr>
              <w:noProof/>
              <w:lang w:val="en-US"/>
            </w:rPr>
            <w:t>(Jones J. , 2009)</w:t>
          </w:r>
          <w:r w:rsidR="00FC0212" w:rsidRPr="006C2CED">
            <w:fldChar w:fldCharType="end"/>
          </w:r>
        </w:sdtContent>
      </w:sdt>
      <w:r w:rsidR="008536BF" w:rsidRPr="006C2CED">
        <w:t xml:space="preserve">.  </w:t>
      </w:r>
    </w:p>
    <w:p w:rsidR="007044E4" w:rsidRPr="006C2CED" w:rsidRDefault="00A35C58" w:rsidP="000F7B34">
      <w:pPr>
        <w:spacing w:line="480" w:lineRule="auto"/>
        <w:jc w:val="both"/>
      </w:pPr>
      <w:r w:rsidRPr="006C2CED">
        <w:t xml:space="preserve"> </w:t>
      </w:r>
      <w:r w:rsidR="00A871B6" w:rsidRPr="006C2CED">
        <w:t>W</w:t>
      </w:r>
      <w:r w:rsidRPr="006C2CED">
        <w:t>hile mentoring is broadly used in the profession, mentoring is perceived principally as stagnant, largely undefined, affording from other professions</w:t>
      </w:r>
      <w:r w:rsidR="008C04D9" w:rsidRPr="006C2CED">
        <w:t xml:space="preserve"> and deemed perplexing</w:t>
      </w:r>
      <w:r w:rsidRPr="006C2CED">
        <w:t xml:space="preserve"> with the related expressions (Stewart &amp; Krueger, 1996). A</w:t>
      </w:r>
      <w:r w:rsidR="008C04D9" w:rsidRPr="006C2CED">
        <w:t>n</w:t>
      </w:r>
      <w:r w:rsidRPr="006C2CED">
        <w:t xml:space="preserve"> </w:t>
      </w:r>
      <w:r w:rsidR="008C04D9" w:rsidRPr="006C2CED">
        <w:t>integer</w:t>
      </w:r>
      <w:r w:rsidRPr="006C2CED">
        <w:t xml:space="preserve"> of </w:t>
      </w:r>
      <w:r w:rsidR="008C04D9" w:rsidRPr="006C2CED">
        <w:t>diverse</w:t>
      </w:r>
      <w:r w:rsidRPr="006C2CED">
        <w:t xml:space="preserve"> mentoring models </w:t>
      </w:r>
      <w:proofErr w:type="gramStart"/>
      <w:r w:rsidRPr="006C2CED">
        <w:t>have</w:t>
      </w:r>
      <w:proofErr w:type="gramEnd"/>
      <w:r w:rsidRPr="006C2CED">
        <w:t xml:space="preserve"> been </w:t>
      </w:r>
      <w:r w:rsidR="008C04D9" w:rsidRPr="006C2CED">
        <w:t>established</w:t>
      </w:r>
      <w:r w:rsidRPr="006C2CED">
        <w:t xml:space="preserve">, as of consequence of the </w:t>
      </w:r>
      <w:r w:rsidR="008C04D9" w:rsidRPr="006C2CED">
        <w:t>foregoing</w:t>
      </w:r>
      <w:r w:rsidRPr="006C2CED">
        <w:t xml:space="preserve"> notions, allied with confusion the </w:t>
      </w:r>
      <w:r w:rsidR="008C04D9" w:rsidRPr="006C2CED">
        <w:t>function</w:t>
      </w:r>
      <w:r w:rsidRPr="006C2CED">
        <w:t xml:space="preserve"> of the mentor and the mentor </w:t>
      </w:r>
      <w:r w:rsidR="008C04D9" w:rsidRPr="006C2CED">
        <w:t>hypothesis</w:t>
      </w:r>
      <w:r w:rsidR="007B5C3C" w:rsidRPr="006C2CED">
        <w:t xml:space="preserve"> itself </w:t>
      </w:r>
      <w:sdt>
        <w:sdtPr>
          <w:id w:val="1272046421"/>
          <w:citation/>
        </w:sdtPr>
        <w:sdtEndPr/>
        <w:sdtContent>
          <w:r w:rsidR="007B5C3C" w:rsidRPr="006C2CED">
            <w:fldChar w:fldCharType="begin"/>
          </w:r>
          <w:r w:rsidR="007B5C3C" w:rsidRPr="006C2CED">
            <w:rPr>
              <w:lang w:val="en-US"/>
            </w:rPr>
            <w:instrText xml:space="preserve"> CITATION And99 \l 1033 </w:instrText>
          </w:r>
          <w:r w:rsidR="007B5C3C" w:rsidRPr="006C2CED">
            <w:fldChar w:fldCharType="separate"/>
          </w:r>
          <w:r w:rsidR="007B5C3C" w:rsidRPr="006C2CED">
            <w:rPr>
              <w:noProof/>
              <w:lang w:val="en-US"/>
            </w:rPr>
            <w:t>(Andrews &amp; Wallis, 1999)</w:t>
          </w:r>
          <w:r w:rsidR="007B5C3C" w:rsidRPr="006C2CED">
            <w:fldChar w:fldCharType="end"/>
          </w:r>
        </w:sdtContent>
      </w:sdt>
      <w:r w:rsidRPr="006C2CED">
        <w:t xml:space="preserve">.  </w:t>
      </w:r>
    </w:p>
    <w:p w:rsidR="00A871B6" w:rsidRPr="006C2CED" w:rsidRDefault="006C2CED" w:rsidP="000F7B34">
      <w:pPr>
        <w:spacing w:line="480" w:lineRule="auto"/>
        <w:jc w:val="both"/>
      </w:pPr>
      <w:r>
        <w:t>T</w:t>
      </w:r>
      <w:r w:rsidR="00A871B6" w:rsidRPr="006C2CED">
        <w:t>he author described the feeling of stress and anxiety and feeling nervous about choosing a topic but after liaising with a more experienced significant other (mentor). Supported by the mentor, the student-teacher felt the improvement in how they were feeling and had clarity in their thinking. Indisputably then, some benefits are apparent to occur from mentoring support, principally those who go through the process, where other benefits are the levitation of stress, personal evolutio</w:t>
      </w:r>
      <w:r w:rsidR="007B5C3C" w:rsidRPr="006C2CED">
        <w:t xml:space="preserve">n and development of erudition </w:t>
      </w:r>
      <w:sdt>
        <w:sdtPr>
          <w:id w:val="-917087094"/>
          <w:citation/>
        </w:sdtPr>
        <w:sdtEndPr/>
        <w:sdtContent>
          <w:r w:rsidR="007B5C3C" w:rsidRPr="006C2CED">
            <w:fldChar w:fldCharType="begin"/>
          </w:r>
          <w:r w:rsidR="007B5C3C" w:rsidRPr="006C2CED">
            <w:rPr>
              <w:lang w:val="en-US"/>
            </w:rPr>
            <w:instrText xml:space="preserve"> CITATION The02 \l 1033 </w:instrText>
          </w:r>
          <w:r w:rsidR="007B5C3C" w:rsidRPr="006C2CED">
            <w:fldChar w:fldCharType="separate"/>
          </w:r>
          <w:r w:rsidR="007B5C3C" w:rsidRPr="006C2CED">
            <w:rPr>
              <w:noProof/>
              <w:lang w:val="en-US"/>
            </w:rPr>
            <w:t xml:space="preserve"> (Theobald &amp; Mitchell, 2002)</w:t>
          </w:r>
          <w:r w:rsidR="007B5C3C" w:rsidRPr="006C2CED">
            <w:fldChar w:fldCharType="end"/>
          </w:r>
        </w:sdtContent>
      </w:sdt>
      <w:r w:rsidR="007B5C3C" w:rsidRPr="006C2CED">
        <w:t>.</w:t>
      </w:r>
    </w:p>
    <w:p w:rsidR="00BB40B2" w:rsidRPr="006C2CED" w:rsidRDefault="00BB40B2" w:rsidP="000F7B34">
      <w:pPr>
        <w:spacing w:line="480" w:lineRule="auto"/>
        <w:jc w:val="both"/>
      </w:pPr>
    </w:p>
    <w:p w:rsidR="009E6D4A" w:rsidRPr="006C2CED" w:rsidRDefault="00BB40B2" w:rsidP="009E6D4A">
      <w:pPr>
        <w:autoSpaceDE w:val="0"/>
        <w:autoSpaceDN w:val="0"/>
        <w:adjustRightInd w:val="0"/>
        <w:spacing w:after="240" w:line="480" w:lineRule="auto"/>
        <w:jc w:val="both"/>
        <w:rPr>
          <w:rFonts w:cs="Times"/>
          <w:color w:val="000000"/>
        </w:rPr>
      </w:pPr>
      <w:r w:rsidRPr="006C2CED">
        <w:rPr>
          <w:lang w:val="en-US"/>
        </w:rPr>
        <w:lastRenderedPageBreak/>
        <w:t xml:space="preserve">During the group work the author stated </w:t>
      </w:r>
      <w:r w:rsidR="009E6D4A" w:rsidRPr="006C2CED">
        <w:rPr>
          <w:lang w:val="en-US"/>
        </w:rPr>
        <w:t xml:space="preserve">that there was a fantastic enthusiasm by all pupils to integrate together and work through problems and solutions.  Such a notion is supported by </w:t>
      </w:r>
      <w:r w:rsidR="009E6D4A" w:rsidRPr="006C2CED">
        <w:rPr>
          <w:rFonts w:cstheme="minorHAnsi"/>
          <w:color w:val="000000"/>
        </w:rPr>
        <w:t xml:space="preserve">contemporary research that has shown these advantages stem, to a large extent, from the perception of students that their group provides a secure support system which cannot be obtained when working individually </w:t>
      </w:r>
      <w:sdt>
        <w:sdtPr>
          <w:rPr>
            <w:rFonts w:cstheme="minorHAnsi"/>
            <w:color w:val="000000"/>
          </w:rPr>
          <w:id w:val="521753758"/>
          <w:citation/>
        </w:sdtPr>
        <w:sdtEndPr/>
        <w:sdtContent>
          <w:r w:rsidR="007B5C3C" w:rsidRPr="006C2CED">
            <w:rPr>
              <w:rFonts w:cstheme="minorHAnsi"/>
              <w:color w:val="000000"/>
            </w:rPr>
            <w:fldChar w:fldCharType="begin"/>
          </w:r>
          <w:r w:rsidR="007B5C3C" w:rsidRPr="006C2CED">
            <w:rPr>
              <w:rFonts w:cstheme="minorHAnsi"/>
              <w:color w:val="000000"/>
              <w:lang w:val="en-US"/>
            </w:rPr>
            <w:instrText xml:space="preserve">CITATION Pfa03 \t  \l 1033 </w:instrText>
          </w:r>
          <w:r w:rsidR="007B5C3C" w:rsidRPr="006C2CED">
            <w:rPr>
              <w:rFonts w:cstheme="minorHAnsi"/>
              <w:color w:val="000000"/>
            </w:rPr>
            <w:fldChar w:fldCharType="separate"/>
          </w:r>
          <w:r w:rsidR="007B5C3C" w:rsidRPr="006C2CED">
            <w:rPr>
              <w:rFonts w:cstheme="minorHAnsi"/>
              <w:noProof/>
              <w:color w:val="000000"/>
              <w:lang w:val="en-US"/>
            </w:rPr>
            <w:t>(Pfaff &amp; Huddleston, 2003)</w:t>
          </w:r>
          <w:r w:rsidR="007B5C3C" w:rsidRPr="006C2CED">
            <w:rPr>
              <w:rFonts w:cstheme="minorHAnsi"/>
              <w:color w:val="000000"/>
            </w:rPr>
            <w:fldChar w:fldCharType="end"/>
          </w:r>
        </w:sdtContent>
      </w:sdt>
      <w:r w:rsidR="009E6D4A" w:rsidRPr="006C2CED">
        <w:rPr>
          <w:rFonts w:cs="Times"/>
          <w:color w:val="000000"/>
        </w:rPr>
        <w:t xml:space="preserve">. </w:t>
      </w:r>
    </w:p>
    <w:p w:rsidR="009E6D4A" w:rsidRPr="006C2CED" w:rsidRDefault="009E6D4A" w:rsidP="009E6D4A">
      <w:pPr>
        <w:autoSpaceDE w:val="0"/>
        <w:autoSpaceDN w:val="0"/>
        <w:adjustRightInd w:val="0"/>
        <w:spacing w:after="240" w:line="480" w:lineRule="auto"/>
        <w:jc w:val="both"/>
        <w:rPr>
          <w:rFonts w:cs="Times"/>
          <w:color w:val="000000" w:themeColor="text1"/>
        </w:rPr>
      </w:pPr>
      <w:r w:rsidRPr="006C2CED">
        <w:rPr>
          <w:rFonts w:cs="Times"/>
          <w:color w:val="000000" w:themeColor="text1"/>
        </w:rPr>
        <w:t xml:space="preserve">As the group work developed the author noticed that one individual was working on </w:t>
      </w:r>
      <w:r w:rsidR="002A7D77" w:rsidRPr="006C2CED">
        <w:rPr>
          <w:rFonts w:cs="Times"/>
          <w:color w:val="000000" w:themeColor="text1"/>
        </w:rPr>
        <w:t>one’s</w:t>
      </w:r>
      <w:r w:rsidRPr="006C2CED">
        <w:rPr>
          <w:rFonts w:cs="Times"/>
          <w:color w:val="000000" w:themeColor="text1"/>
        </w:rPr>
        <w:t xml:space="preserve"> own and did not want to interact with his peers which hindered the experience for the other pupils. Here, recent literature has reliably revealed that not all individuals view groups (and relationships in universal terms) as sources </w:t>
      </w:r>
      <w:r w:rsidR="00FC5199" w:rsidRPr="006C2CED">
        <w:rPr>
          <w:rFonts w:cs="Times"/>
          <w:color w:val="000000" w:themeColor="text1"/>
        </w:rPr>
        <w:t xml:space="preserve">of encouragement and sanctuary </w:t>
      </w:r>
      <w:sdt>
        <w:sdtPr>
          <w:rPr>
            <w:rFonts w:cs="Times"/>
            <w:color w:val="000000" w:themeColor="text1"/>
          </w:rPr>
          <w:id w:val="1210841168"/>
          <w:citation/>
        </w:sdtPr>
        <w:sdtEndPr/>
        <w:sdtContent>
          <w:r w:rsidR="00FC5199" w:rsidRPr="006C2CED">
            <w:rPr>
              <w:rFonts w:cs="Times"/>
              <w:color w:val="000000" w:themeColor="text1"/>
            </w:rPr>
            <w:fldChar w:fldCharType="begin"/>
          </w:r>
          <w:r w:rsidR="00FC5199" w:rsidRPr="006C2CED">
            <w:rPr>
              <w:rFonts w:cs="Times"/>
              <w:color w:val="000000" w:themeColor="text1"/>
              <w:lang w:val="en-US"/>
            </w:rPr>
            <w:instrText xml:space="preserve"> CITATION Bra13 \l 1033 </w:instrText>
          </w:r>
          <w:r w:rsidR="00FC5199" w:rsidRPr="006C2CED">
            <w:rPr>
              <w:rFonts w:cs="Times"/>
              <w:color w:val="000000" w:themeColor="text1"/>
            </w:rPr>
            <w:fldChar w:fldCharType="separate"/>
          </w:r>
          <w:r w:rsidR="00FC5199" w:rsidRPr="006C2CED">
            <w:rPr>
              <w:rFonts w:cs="Times"/>
              <w:noProof/>
              <w:color w:val="000000" w:themeColor="text1"/>
              <w:lang w:val="en-US"/>
            </w:rPr>
            <w:t>(Bradley, Postlewaite, Klotz, &amp; Brown, 2013)</w:t>
          </w:r>
          <w:r w:rsidR="00FC5199" w:rsidRPr="006C2CED">
            <w:rPr>
              <w:rFonts w:cs="Times"/>
              <w:color w:val="000000" w:themeColor="text1"/>
            </w:rPr>
            <w:fldChar w:fldCharType="end"/>
          </w:r>
        </w:sdtContent>
      </w:sdt>
      <w:r w:rsidRPr="006C2CED">
        <w:rPr>
          <w:rFonts w:cs="Times"/>
          <w:color w:val="000000" w:themeColor="text1"/>
        </w:rPr>
        <w:t>Founded on their experiences with substantial stronger and wiser others (referred to as attachment figures), certain individuals ascertain to envisage others to be unreliable or undeserving of tr</w:t>
      </w:r>
      <w:r w:rsidR="000A501B" w:rsidRPr="006C2CED">
        <w:rPr>
          <w:rFonts w:cs="Times"/>
          <w:color w:val="000000" w:themeColor="text1"/>
        </w:rPr>
        <w:t xml:space="preserve">ust </w:t>
      </w:r>
      <w:sdt>
        <w:sdtPr>
          <w:rPr>
            <w:rFonts w:cs="Times"/>
            <w:color w:val="000000" w:themeColor="text1"/>
          </w:rPr>
          <w:id w:val="-740564758"/>
          <w:citation/>
        </w:sdtPr>
        <w:sdtEndPr/>
        <w:sdtContent>
          <w:r w:rsidR="000A501B" w:rsidRPr="006C2CED">
            <w:rPr>
              <w:rFonts w:cs="Times"/>
              <w:color w:val="000000" w:themeColor="text1"/>
            </w:rPr>
            <w:fldChar w:fldCharType="begin"/>
          </w:r>
          <w:r w:rsidR="000A501B" w:rsidRPr="006C2CED">
            <w:rPr>
              <w:rFonts w:cs="Times"/>
              <w:color w:val="000000" w:themeColor="text1"/>
              <w:lang w:val="en-US"/>
            </w:rPr>
            <w:instrText xml:space="preserve"> CITATION Mik07 \l 1033 </w:instrText>
          </w:r>
          <w:r w:rsidR="000A501B" w:rsidRPr="006C2CED">
            <w:rPr>
              <w:rFonts w:cs="Times"/>
              <w:color w:val="000000" w:themeColor="text1"/>
            </w:rPr>
            <w:fldChar w:fldCharType="separate"/>
          </w:r>
          <w:r w:rsidR="000A501B" w:rsidRPr="006C2CED">
            <w:rPr>
              <w:rFonts w:cs="Times"/>
              <w:noProof/>
              <w:color w:val="000000" w:themeColor="text1"/>
              <w:lang w:val="en-US"/>
            </w:rPr>
            <w:t>(Mikulinger &amp; Shaver, 2007)</w:t>
          </w:r>
          <w:r w:rsidR="000A501B" w:rsidRPr="006C2CED">
            <w:rPr>
              <w:rFonts w:cs="Times"/>
              <w:color w:val="000000" w:themeColor="text1"/>
            </w:rPr>
            <w:fldChar w:fldCharType="end"/>
          </w:r>
        </w:sdtContent>
      </w:sdt>
      <w:r w:rsidRPr="006C2CED">
        <w:rPr>
          <w:rFonts w:cs="Times"/>
          <w:color w:val="000000" w:themeColor="text1"/>
        </w:rPr>
        <w:t>. These individuals, having developed apprehensive attachment foci, recognise group assignments as intimidating and anxiety goading and are liable to abjure intera</w:t>
      </w:r>
      <w:r w:rsidR="000A501B" w:rsidRPr="006C2CED">
        <w:rPr>
          <w:rFonts w:cs="Times"/>
          <w:color w:val="000000" w:themeColor="text1"/>
        </w:rPr>
        <w:t xml:space="preserve">ction with other group fellows </w:t>
      </w:r>
      <w:sdt>
        <w:sdtPr>
          <w:rPr>
            <w:rFonts w:cs="Times"/>
            <w:color w:val="000000" w:themeColor="text1"/>
          </w:rPr>
          <w:id w:val="-1259824899"/>
          <w:citation/>
        </w:sdtPr>
        <w:sdtEndPr/>
        <w:sdtContent>
          <w:r w:rsidR="000A501B" w:rsidRPr="006C2CED">
            <w:rPr>
              <w:rFonts w:cs="Times"/>
              <w:color w:val="000000" w:themeColor="text1"/>
            </w:rPr>
            <w:fldChar w:fldCharType="begin"/>
          </w:r>
          <w:r w:rsidR="000A501B" w:rsidRPr="006C2CED">
            <w:rPr>
              <w:rFonts w:cs="Times"/>
              <w:color w:val="000000" w:themeColor="text1"/>
              <w:lang w:val="en-US"/>
            </w:rPr>
            <w:instrText xml:space="preserve"> CITATION Rom03 \l 1033 </w:instrText>
          </w:r>
          <w:r w:rsidR="000A501B" w:rsidRPr="006C2CED">
            <w:rPr>
              <w:rFonts w:cs="Times"/>
              <w:color w:val="000000" w:themeColor="text1"/>
            </w:rPr>
            <w:fldChar w:fldCharType="separate"/>
          </w:r>
          <w:r w:rsidR="000A501B" w:rsidRPr="006C2CED">
            <w:rPr>
              <w:rFonts w:cs="Times"/>
              <w:noProof/>
              <w:color w:val="000000" w:themeColor="text1"/>
              <w:lang w:val="en-US"/>
            </w:rPr>
            <w:t>(Rom, 2003)</w:t>
          </w:r>
          <w:r w:rsidR="000A501B" w:rsidRPr="006C2CED">
            <w:rPr>
              <w:rFonts w:cs="Times"/>
              <w:color w:val="000000" w:themeColor="text1"/>
            </w:rPr>
            <w:fldChar w:fldCharType="end"/>
          </w:r>
        </w:sdtContent>
      </w:sdt>
      <w:r w:rsidR="00FF516A" w:rsidRPr="006C2CED">
        <w:rPr>
          <w:rFonts w:cs="Times"/>
          <w:color w:val="000000" w:themeColor="text1"/>
        </w:rPr>
        <w:t>.</w:t>
      </w:r>
    </w:p>
    <w:p w:rsidR="00A871B6" w:rsidRPr="006C2CED" w:rsidRDefault="002A7D77" w:rsidP="00BD78C8">
      <w:pPr>
        <w:pStyle w:val="NormalWeb"/>
        <w:spacing w:line="480" w:lineRule="auto"/>
        <w:jc w:val="both"/>
        <w:rPr>
          <w:rFonts w:asciiTheme="minorHAnsi" w:hAnsiTheme="minorHAnsi"/>
        </w:rPr>
      </w:pPr>
      <w:r w:rsidRPr="006C2CED">
        <w:rPr>
          <w:rFonts w:asciiTheme="minorHAnsi" w:hAnsiTheme="minorHAnsi" w:cs="Times"/>
          <w:color w:val="000000" w:themeColor="text1"/>
        </w:rPr>
        <w:t xml:space="preserve">In order to put the students in group </w:t>
      </w:r>
      <w:r w:rsidR="005C0C8C" w:rsidRPr="006C2CED">
        <w:rPr>
          <w:rFonts w:asciiTheme="minorHAnsi" w:hAnsiTheme="minorHAnsi" w:cs="Times"/>
          <w:color w:val="000000" w:themeColor="text1"/>
        </w:rPr>
        <w:t>the student</w:t>
      </w:r>
      <w:r w:rsidRPr="006C2CED">
        <w:rPr>
          <w:rFonts w:asciiTheme="minorHAnsi" w:hAnsiTheme="minorHAnsi" w:cs="Times"/>
          <w:color w:val="000000" w:themeColor="text1"/>
        </w:rPr>
        <w:t xml:space="preserve">-teacher done a question and answer session using the pupils to answer simply with hands up/down approach. </w:t>
      </w:r>
      <w:r w:rsidR="005C0C8C" w:rsidRPr="006C2CED">
        <w:rPr>
          <w:rFonts w:asciiTheme="minorHAnsi" w:hAnsiTheme="minorHAnsi" w:cs="Times"/>
          <w:color w:val="000000" w:themeColor="text1"/>
        </w:rPr>
        <w:t xml:space="preserve">The aim of this was to engage the pupils current level of knowledge and also group them with high/low level ability so they can support each the within the group work. Within most groups this worked, and the support network mentioned above provided a positive working environment. Research supports such a task. Where </w:t>
      </w:r>
      <w:r w:rsidR="005C0C8C" w:rsidRPr="006C2CED">
        <w:rPr>
          <w:rFonts w:asciiTheme="minorHAnsi" w:hAnsiTheme="minorHAnsi"/>
        </w:rPr>
        <w:t xml:space="preserve">teachers might also see the scope for diverse ability groups as a supplementary source of struggle, subsequently it frequently means assigning </w:t>
      </w:r>
      <w:proofErr w:type="gramStart"/>
      <w:r w:rsidR="005C0C8C" w:rsidRPr="006C2CED">
        <w:rPr>
          <w:rFonts w:asciiTheme="minorHAnsi" w:hAnsiTheme="minorHAnsi"/>
        </w:rPr>
        <w:t>a</w:t>
      </w:r>
      <w:proofErr w:type="gramEnd"/>
      <w:r w:rsidR="005C0C8C" w:rsidRPr="006C2CED">
        <w:rPr>
          <w:rFonts w:asciiTheme="minorHAnsi" w:hAnsiTheme="minorHAnsi"/>
        </w:rPr>
        <w:t xml:space="preserve"> </w:t>
      </w:r>
      <w:r w:rsidR="00BD78C8" w:rsidRPr="006C2CED">
        <w:rPr>
          <w:rFonts w:asciiTheme="minorHAnsi" w:hAnsiTheme="minorHAnsi"/>
        </w:rPr>
        <w:t>unruly</w:t>
      </w:r>
      <w:r w:rsidR="005C0C8C" w:rsidRPr="006C2CED">
        <w:rPr>
          <w:rFonts w:asciiTheme="minorHAnsi" w:hAnsiTheme="minorHAnsi"/>
        </w:rPr>
        <w:t xml:space="preserve"> pupil amid others who work well together with potential problematical concerns.</w:t>
      </w:r>
      <w:r w:rsidR="006C2CED">
        <w:rPr>
          <w:rFonts w:asciiTheme="minorHAnsi" w:hAnsiTheme="minorHAnsi"/>
        </w:rPr>
        <w:t xml:space="preserve"> </w:t>
      </w:r>
      <w:r w:rsidR="005C0C8C" w:rsidRPr="006C2CED">
        <w:rPr>
          <w:rFonts w:asciiTheme="minorHAnsi" w:hAnsiTheme="minorHAnsi"/>
        </w:rPr>
        <w:t xml:space="preserve">However, </w:t>
      </w:r>
      <w:r w:rsidR="005C0C8C" w:rsidRPr="006C2CED">
        <w:rPr>
          <w:rFonts w:asciiTheme="minorHAnsi" w:hAnsiTheme="minorHAnsi"/>
        </w:rPr>
        <w:lastRenderedPageBreak/>
        <w:t xml:space="preserve">Putnam, </w:t>
      </w:r>
      <w:proofErr w:type="spellStart"/>
      <w:r w:rsidR="005C0C8C" w:rsidRPr="006C2CED">
        <w:rPr>
          <w:rFonts w:asciiTheme="minorHAnsi" w:hAnsiTheme="minorHAnsi"/>
        </w:rPr>
        <w:t>Mar</w:t>
      </w:r>
      <w:r w:rsidR="000A501B" w:rsidRPr="006C2CED">
        <w:rPr>
          <w:rFonts w:asciiTheme="minorHAnsi" w:hAnsiTheme="minorHAnsi"/>
        </w:rPr>
        <w:t>kovchick</w:t>
      </w:r>
      <w:proofErr w:type="spellEnd"/>
      <w:r w:rsidR="000A501B" w:rsidRPr="006C2CED">
        <w:rPr>
          <w:rFonts w:asciiTheme="minorHAnsi" w:hAnsiTheme="minorHAnsi"/>
        </w:rPr>
        <w:t>, Johnson, and Johnson</w:t>
      </w:r>
      <w:sdt>
        <w:sdtPr>
          <w:rPr>
            <w:rFonts w:asciiTheme="minorHAnsi" w:hAnsiTheme="minorHAnsi"/>
          </w:rPr>
          <w:id w:val="357175806"/>
          <w:citation/>
        </w:sdtPr>
        <w:sdtEndPr/>
        <w:sdtContent>
          <w:r w:rsidR="000A501B" w:rsidRPr="006C2CED">
            <w:rPr>
              <w:rFonts w:asciiTheme="minorHAnsi" w:hAnsiTheme="minorHAnsi"/>
            </w:rPr>
            <w:fldChar w:fldCharType="begin"/>
          </w:r>
          <w:r w:rsidR="000A501B" w:rsidRPr="006C2CED">
            <w:rPr>
              <w:rFonts w:asciiTheme="minorHAnsi" w:hAnsiTheme="minorHAnsi"/>
              <w:lang w:val="en-US"/>
            </w:rPr>
            <w:instrText xml:space="preserve">CITATION Put96 \n  \t  \l 1033 </w:instrText>
          </w:r>
          <w:r w:rsidR="000A501B" w:rsidRPr="006C2CED">
            <w:rPr>
              <w:rFonts w:asciiTheme="minorHAnsi" w:hAnsiTheme="minorHAnsi"/>
            </w:rPr>
            <w:fldChar w:fldCharType="separate"/>
          </w:r>
          <w:r w:rsidR="000A501B" w:rsidRPr="006C2CED">
            <w:rPr>
              <w:rFonts w:asciiTheme="minorHAnsi" w:hAnsiTheme="minorHAnsi"/>
              <w:noProof/>
              <w:lang w:val="en-US"/>
            </w:rPr>
            <w:t xml:space="preserve"> (1996)</w:t>
          </w:r>
          <w:r w:rsidR="000A501B" w:rsidRPr="006C2CED">
            <w:rPr>
              <w:rFonts w:asciiTheme="minorHAnsi" w:hAnsiTheme="minorHAnsi"/>
            </w:rPr>
            <w:fldChar w:fldCharType="end"/>
          </w:r>
        </w:sdtContent>
      </w:sdt>
      <w:r w:rsidR="005C0C8C" w:rsidRPr="006C2CED">
        <w:rPr>
          <w:rFonts w:asciiTheme="minorHAnsi" w:hAnsiTheme="minorHAnsi"/>
        </w:rPr>
        <w:t xml:space="preserve"> </w:t>
      </w:r>
      <w:r w:rsidR="00BD78C8" w:rsidRPr="006C2CED">
        <w:rPr>
          <w:rFonts w:asciiTheme="minorHAnsi" w:hAnsiTheme="minorHAnsi"/>
        </w:rPr>
        <w:t>discovered that when such pupils</w:t>
      </w:r>
      <w:r w:rsidR="005C0C8C" w:rsidRPr="006C2CED">
        <w:rPr>
          <w:rFonts w:asciiTheme="minorHAnsi" w:hAnsiTheme="minorHAnsi"/>
        </w:rPr>
        <w:t xml:space="preserve"> are </w:t>
      </w:r>
      <w:r w:rsidR="00BD78C8" w:rsidRPr="006C2CED">
        <w:rPr>
          <w:rFonts w:asciiTheme="minorHAnsi" w:hAnsiTheme="minorHAnsi"/>
        </w:rPr>
        <w:t>assigned</w:t>
      </w:r>
      <w:r w:rsidR="005C0C8C" w:rsidRPr="006C2CED">
        <w:rPr>
          <w:rFonts w:asciiTheme="minorHAnsi" w:hAnsiTheme="minorHAnsi"/>
        </w:rPr>
        <w:t xml:space="preserve"> with others there a</w:t>
      </w:r>
      <w:r w:rsidR="00BD78C8" w:rsidRPr="006C2CED">
        <w:rPr>
          <w:rFonts w:asciiTheme="minorHAnsi" w:hAnsiTheme="minorHAnsi"/>
        </w:rPr>
        <w:t>re positive socialising outcomes.</w:t>
      </w:r>
    </w:p>
    <w:p w:rsidR="007416DD" w:rsidRPr="006C2CED" w:rsidRDefault="007416DD" w:rsidP="000F7B34">
      <w:pPr>
        <w:spacing w:line="480" w:lineRule="auto"/>
        <w:jc w:val="both"/>
        <w:rPr>
          <w:b/>
          <w:lang w:val="en-US"/>
        </w:rPr>
      </w:pPr>
      <w:r w:rsidRPr="006C2CED">
        <w:rPr>
          <w:b/>
          <w:lang w:val="en-US"/>
        </w:rPr>
        <w:t xml:space="preserve">Conclusion </w:t>
      </w:r>
    </w:p>
    <w:p w:rsidR="006828C8" w:rsidRPr="006C2CED" w:rsidRDefault="006828C8" w:rsidP="006828C8">
      <w:pPr>
        <w:pStyle w:val="NormalWeb"/>
        <w:spacing w:line="480" w:lineRule="auto"/>
        <w:jc w:val="both"/>
        <w:rPr>
          <w:rFonts w:asciiTheme="minorHAnsi" w:hAnsiTheme="minorHAnsi"/>
        </w:rPr>
      </w:pPr>
      <w:r w:rsidRPr="006C2CED">
        <w:rPr>
          <w:rFonts w:asciiTheme="minorHAnsi" w:hAnsiTheme="minorHAnsi"/>
          <w:lang w:val="en-US"/>
        </w:rPr>
        <w:t xml:space="preserve">The author suggests that utilizing personality tests in an attempt to be more efficient and effective in grouping may, or research needs more thorough understanding here.  </w:t>
      </w:r>
      <w:r w:rsidRPr="006C2CED">
        <w:rPr>
          <w:rFonts w:asciiTheme="minorHAnsi" w:hAnsiTheme="minorHAnsi"/>
        </w:rPr>
        <w:t xml:space="preserve">This is supported with evidence that advocates that different personality types retort contrarily to the groups. Webb </w:t>
      </w:r>
      <w:sdt>
        <w:sdtPr>
          <w:rPr>
            <w:rFonts w:asciiTheme="minorHAnsi" w:hAnsiTheme="minorHAnsi"/>
          </w:rPr>
          <w:id w:val="2125109827"/>
          <w:citation/>
        </w:sdtPr>
        <w:sdtContent>
          <w:r w:rsidR="003E3292" w:rsidRPr="006C2CED">
            <w:rPr>
              <w:rFonts w:asciiTheme="minorHAnsi" w:hAnsiTheme="minorHAnsi"/>
            </w:rPr>
            <w:fldChar w:fldCharType="begin"/>
          </w:r>
          <w:r w:rsidR="003E3292" w:rsidRPr="006C2CED">
            <w:rPr>
              <w:rFonts w:asciiTheme="minorHAnsi" w:hAnsiTheme="minorHAnsi"/>
              <w:lang w:val="en-US"/>
            </w:rPr>
            <w:instrText xml:space="preserve">CITATION Pee89 \n  \t  \l 1033 </w:instrText>
          </w:r>
          <w:r w:rsidR="003E3292" w:rsidRPr="006C2CED">
            <w:rPr>
              <w:rFonts w:asciiTheme="minorHAnsi" w:hAnsiTheme="minorHAnsi"/>
            </w:rPr>
            <w:fldChar w:fldCharType="separate"/>
          </w:r>
          <w:r w:rsidR="003E3292" w:rsidRPr="006C2CED">
            <w:rPr>
              <w:rFonts w:asciiTheme="minorHAnsi" w:hAnsiTheme="minorHAnsi"/>
              <w:noProof/>
              <w:lang w:val="en-US"/>
            </w:rPr>
            <w:t>(1989)</w:t>
          </w:r>
          <w:r w:rsidR="003E3292" w:rsidRPr="006C2CED">
            <w:rPr>
              <w:rFonts w:asciiTheme="minorHAnsi" w:hAnsiTheme="minorHAnsi"/>
            </w:rPr>
            <w:fldChar w:fldCharType="end"/>
          </w:r>
        </w:sdtContent>
      </w:sdt>
      <w:r w:rsidRPr="006C2CED">
        <w:rPr>
          <w:rFonts w:asciiTheme="minorHAnsi" w:hAnsiTheme="minorHAnsi"/>
        </w:rPr>
        <w:t xml:space="preserve">for example unearthed that introverts were more prone to disavow </w:t>
      </w:r>
      <w:bookmarkStart w:id="0" w:name="_GoBack"/>
      <w:bookmarkEnd w:id="0"/>
      <w:r w:rsidRPr="006C2CED">
        <w:rPr>
          <w:rFonts w:asciiTheme="minorHAnsi" w:hAnsiTheme="minorHAnsi"/>
        </w:rPr>
        <w:t xml:space="preserve">from groups and in </w:t>
      </w:r>
      <w:proofErr w:type="spellStart"/>
      <w:r w:rsidRPr="006C2CED">
        <w:rPr>
          <w:rFonts w:asciiTheme="minorHAnsi" w:hAnsiTheme="minorHAnsi"/>
        </w:rPr>
        <w:t>Kutnick</w:t>
      </w:r>
      <w:proofErr w:type="spellEnd"/>
      <w:r w:rsidRPr="006C2CED">
        <w:rPr>
          <w:rFonts w:asciiTheme="minorHAnsi" w:hAnsiTheme="minorHAnsi"/>
        </w:rPr>
        <w:t xml:space="preserve"> et </w:t>
      </w:r>
      <w:proofErr w:type="spellStart"/>
      <w:r w:rsidRPr="006C2CED">
        <w:rPr>
          <w:rFonts w:asciiTheme="minorHAnsi" w:hAnsiTheme="minorHAnsi"/>
        </w:rPr>
        <w:t>al</w:t>
      </w:r>
      <w:r w:rsidR="003E3292" w:rsidRPr="006C2CED">
        <w:rPr>
          <w:rFonts w:asciiTheme="minorHAnsi" w:hAnsiTheme="minorHAnsi"/>
        </w:rPr>
        <w:t>’s</w:t>
      </w:r>
      <w:proofErr w:type="spellEnd"/>
      <w:r w:rsidR="003E3292" w:rsidRPr="006C2CED">
        <w:rPr>
          <w:rFonts w:asciiTheme="minorHAnsi" w:hAnsiTheme="minorHAnsi"/>
        </w:rPr>
        <w:t xml:space="preserve"> </w:t>
      </w:r>
      <w:sdt>
        <w:sdtPr>
          <w:rPr>
            <w:rFonts w:asciiTheme="minorHAnsi" w:hAnsiTheme="minorHAnsi"/>
          </w:rPr>
          <w:id w:val="2136132674"/>
          <w:citation/>
        </w:sdtPr>
        <w:sdtContent>
          <w:r w:rsidR="003E3292" w:rsidRPr="006C2CED">
            <w:rPr>
              <w:rFonts w:asciiTheme="minorHAnsi" w:hAnsiTheme="minorHAnsi"/>
            </w:rPr>
            <w:fldChar w:fldCharType="begin"/>
          </w:r>
          <w:r w:rsidR="003E3292" w:rsidRPr="006C2CED">
            <w:rPr>
              <w:rFonts w:asciiTheme="minorHAnsi" w:hAnsiTheme="minorHAnsi"/>
              <w:lang w:val="en-US"/>
            </w:rPr>
            <w:instrText xml:space="preserve">CITATION Kut07 \n  \t  \l 1033 </w:instrText>
          </w:r>
          <w:r w:rsidR="003E3292" w:rsidRPr="006C2CED">
            <w:rPr>
              <w:rFonts w:asciiTheme="minorHAnsi" w:hAnsiTheme="minorHAnsi"/>
            </w:rPr>
            <w:fldChar w:fldCharType="separate"/>
          </w:r>
          <w:r w:rsidR="003E3292" w:rsidRPr="006C2CED">
            <w:rPr>
              <w:rFonts w:asciiTheme="minorHAnsi" w:hAnsiTheme="minorHAnsi"/>
              <w:noProof/>
              <w:lang w:val="en-US"/>
            </w:rPr>
            <w:t>(2007)</w:t>
          </w:r>
          <w:r w:rsidR="003E3292" w:rsidRPr="006C2CED">
            <w:rPr>
              <w:rFonts w:asciiTheme="minorHAnsi" w:hAnsiTheme="minorHAnsi"/>
            </w:rPr>
            <w:fldChar w:fldCharType="end"/>
          </w:r>
        </w:sdtContent>
      </w:sdt>
      <w:r w:rsidRPr="006C2CED">
        <w:rPr>
          <w:rFonts w:asciiTheme="minorHAnsi" w:hAnsiTheme="minorHAnsi"/>
        </w:rPr>
        <w:t xml:space="preserve">research many educators stated that they did not comprehend what to do with the ‘loners’ who removed themselves from group activity entirely.  Furthermore, </w:t>
      </w:r>
      <w:proofErr w:type="spellStart"/>
      <w:r w:rsidR="003E3292" w:rsidRPr="006C2CED">
        <w:rPr>
          <w:rFonts w:asciiTheme="minorHAnsi" w:hAnsiTheme="minorHAnsi"/>
        </w:rPr>
        <w:t>Entwistle</w:t>
      </w:r>
      <w:proofErr w:type="spellEnd"/>
      <w:r w:rsidR="003E3292" w:rsidRPr="006C2CED">
        <w:rPr>
          <w:rFonts w:asciiTheme="minorHAnsi" w:hAnsiTheme="minorHAnsi"/>
        </w:rPr>
        <w:t xml:space="preserve"> </w:t>
      </w:r>
      <w:sdt>
        <w:sdtPr>
          <w:rPr>
            <w:rFonts w:asciiTheme="minorHAnsi" w:hAnsiTheme="minorHAnsi"/>
          </w:rPr>
          <w:id w:val="1229187807"/>
          <w:citation/>
        </w:sdtPr>
        <w:sdtContent>
          <w:r w:rsidR="003E3292" w:rsidRPr="006C2CED">
            <w:rPr>
              <w:rFonts w:asciiTheme="minorHAnsi" w:hAnsiTheme="minorHAnsi"/>
            </w:rPr>
            <w:fldChar w:fldCharType="begin"/>
          </w:r>
          <w:r w:rsidR="003E3292" w:rsidRPr="006C2CED">
            <w:rPr>
              <w:rFonts w:asciiTheme="minorHAnsi" w:hAnsiTheme="minorHAnsi"/>
              <w:lang w:val="en-US"/>
            </w:rPr>
            <w:instrText xml:space="preserve">CITATION Ent98 \n  \t  \l 1033 </w:instrText>
          </w:r>
          <w:r w:rsidR="003E3292" w:rsidRPr="006C2CED">
            <w:rPr>
              <w:rFonts w:asciiTheme="minorHAnsi" w:hAnsiTheme="minorHAnsi"/>
            </w:rPr>
            <w:fldChar w:fldCharType="separate"/>
          </w:r>
          <w:r w:rsidR="003E3292" w:rsidRPr="006C2CED">
            <w:rPr>
              <w:rFonts w:asciiTheme="minorHAnsi" w:hAnsiTheme="minorHAnsi"/>
              <w:noProof/>
              <w:lang w:val="en-US"/>
            </w:rPr>
            <w:t>(1998)</w:t>
          </w:r>
          <w:r w:rsidR="003E3292" w:rsidRPr="006C2CED">
            <w:rPr>
              <w:rFonts w:asciiTheme="minorHAnsi" w:hAnsiTheme="minorHAnsi"/>
            </w:rPr>
            <w:fldChar w:fldCharType="end"/>
          </w:r>
        </w:sdtContent>
      </w:sdt>
      <w:r w:rsidRPr="006C2CED">
        <w:rPr>
          <w:rFonts w:asciiTheme="minorHAnsi" w:hAnsiTheme="minorHAnsi"/>
        </w:rPr>
        <w:t xml:space="preserve"> shares that anxious </w:t>
      </w:r>
      <w:r w:rsidR="00802A6F" w:rsidRPr="006C2CED">
        <w:rPr>
          <w:rFonts w:asciiTheme="minorHAnsi" w:hAnsiTheme="minorHAnsi"/>
        </w:rPr>
        <w:t>pupils gather new knowledge in</w:t>
      </w:r>
      <w:r w:rsidRPr="006C2CED">
        <w:rPr>
          <w:rFonts w:asciiTheme="minorHAnsi" w:hAnsiTheme="minorHAnsi"/>
        </w:rPr>
        <w:t xml:space="preserve"> whole-class direct instruction</w:t>
      </w:r>
      <w:r w:rsidR="00802A6F" w:rsidRPr="006C2CED">
        <w:rPr>
          <w:rFonts w:asciiTheme="minorHAnsi" w:hAnsiTheme="minorHAnsi"/>
        </w:rPr>
        <w:t xml:space="preserve"> setting. Thus, </w:t>
      </w:r>
      <w:r w:rsidRPr="006C2CED">
        <w:rPr>
          <w:rFonts w:asciiTheme="minorHAnsi" w:hAnsiTheme="minorHAnsi"/>
        </w:rPr>
        <w:t xml:space="preserve">open-ended problem solving’ </w:t>
      </w:r>
      <w:r w:rsidR="00802A6F" w:rsidRPr="006C2CED">
        <w:rPr>
          <w:rFonts w:asciiTheme="minorHAnsi" w:hAnsiTheme="minorHAnsi"/>
        </w:rPr>
        <w:t>methodology which scholars</w:t>
      </w:r>
      <w:r w:rsidR="003E3292" w:rsidRPr="006C2CED">
        <w:rPr>
          <w:rFonts w:asciiTheme="minorHAnsi" w:hAnsiTheme="minorHAnsi"/>
        </w:rPr>
        <w:t xml:space="preserve"> such as Sharan and Sharan </w:t>
      </w:r>
      <w:sdt>
        <w:sdtPr>
          <w:rPr>
            <w:rFonts w:asciiTheme="minorHAnsi" w:hAnsiTheme="minorHAnsi"/>
          </w:rPr>
          <w:id w:val="-1666154768"/>
          <w:citation/>
        </w:sdtPr>
        <w:sdtContent>
          <w:r w:rsidR="003E3292" w:rsidRPr="006C2CED">
            <w:rPr>
              <w:rFonts w:asciiTheme="minorHAnsi" w:hAnsiTheme="minorHAnsi"/>
            </w:rPr>
            <w:fldChar w:fldCharType="begin"/>
          </w:r>
          <w:r w:rsidR="003E3292" w:rsidRPr="006C2CED">
            <w:rPr>
              <w:rFonts w:asciiTheme="minorHAnsi" w:hAnsiTheme="minorHAnsi"/>
              <w:lang w:val="en-US"/>
            </w:rPr>
            <w:instrText xml:space="preserve">CITATION Sha92 \n  \t  \l 1033 </w:instrText>
          </w:r>
          <w:r w:rsidR="003E3292" w:rsidRPr="006C2CED">
            <w:rPr>
              <w:rFonts w:asciiTheme="minorHAnsi" w:hAnsiTheme="minorHAnsi"/>
            </w:rPr>
            <w:fldChar w:fldCharType="separate"/>
          </w:r>
          <w:r w:rsidR="003E3292" w:rsidRPr="006C2CED">
            <w:rPr>
              <w:rFonts w:asciiTheme="minorHAnsi" w:hAnsiTheme="minorHAnsi"/>
              <w:noProof/>
              <w:lang w:val="en-US"/>
            </w:rPr>
            <w:t>(1992)</w:t>
          </w:r>
          <w:r w:rsidR="003E3292" w:rsidRPr="006C2CED">
            <w:rPr>
              <w:rFonts w:asciiTheme="minorHAnsi" w:hAnsiTheme="minorHAnsi"/>
            </w:rPr>
            <w:fldChar w:fldCharType="end"/>
          </w:r>
        </w:sdtContent>
      </w:sdt>
      <w:r w:rsidRPr="006C2CED">
        <w:rPr>
          <w:rFonts w:asciiTheme="minorHAnsi" w:hAnsiTheme="minorHAnsi"/>
        </w:rPr>
        <w:t xml:space="preserve">claim </w:t>
      </w:r>
      <w:r w:rsidR="00802A6F" w:rsidRPr="006C2CED">
        <w:rPr>
          <w:rFonts w:asciiTheme="minorHAnsi" w:hAnsiTheme="minorHAnsi"/>
        </w:rPr>
        <w:t>expedites</w:t>
      </w:r>
      <w:r w:rsidRPr="006C2CED">
        <w:rPr>
          <w:rFonts w:asciiTheme="minorHAnsi" w:hAnsiTheme="minorHAnsi"/>
        </w:rPr>
        <w:t xml:space="preserve"> </w:t>
      </w:r>
      <w:r w:rsidR="00802A6F" w:rsidRPr="006C2CED">
        <w:rPr>
          <w:rFonts w:asciiTheme="minorHAnsi" w:hAnsiTheme="minorHAnsi"/>
        </w:rPr>
        <w:t>collaboration</w:t>
      </w:r>
      <w:r w:rsidRPr="006C2CED">
        <w:rPr>
          <w:rFonts w:asciiTheme="minorHAnsi" w:hAnsiTheme="minorHAnsi"/>
        </w:rPr>
        <w:t xml:space="preserve"> within groups may not be so </w:t>
      </w:r>
      <w:r w:rsidR="00802A6F" w:rsidRPr="006C2CED">
        <w:rPr>
          <w:rFonts w:asciiTheme="minorHAnsi" w:hAnsiTheme="minorHAnsi"/>
        </w:rPr>
        <w:t>suitable for these individuals</w:t>
      </w:r>
      <w:r w:rsidRPr="006C2CED">
        <w:rPr>
          <w:rFonts w:asciiTheme="minorHAnsi" w:hAnsiTheme="minorHAnsi"/>
        </w:rPr>
        <w:t xml:space="preserve">. </w:t>
      </w:r>
    </w:p>
    <w:p w:rsidR="00CF6BBA" w:rsidRPr="006C2CED" w:rsidRDefault="00D83D9A" w:rsidP="00CF6BBA">
      <w:pPr>
        <w:pStyle w:val="Body"/>
        <w:spacing w:line="480" w:lineRule="auto"/>
        <w:jc w:val="both"/>
        <w:rPr>
          <w:rFonts w:asciiTheme="minorHAnsi" w:hAnsiTheme="minorHAnsi"/>
          <w:sz w:val="24"/>
          <w:szCs w:val="24"/>
        </w:rPr>
      </w:pPr>
      <w:r w:rsidRPr="006C2CED">
        <w:rPr>
          <w:rFonts w:asciiTheme="minorHAnsi" w:hAnsiTheme="minorHAnsi"/>
          <w:sz w:val="24"/>
          <w:szCs w:val="24"/>
        </w:rPr>
        <w:t xml:space="preserve">The author </w:t>
      </w:r>
      <w:r w:rsidR="00200767" w:rsidRPr="006C2CED">
        <w:rPr>
          <w:rFonts w:asciiTheme="minorHAnsi" w:hAnsiTheme="minorHAnsi"/>
          <w:sz w:val="24"/>
          <w:szCs w:val="24"/>
        </w:rPr>
        <w:t xml:space="preserve">utilised </w:t>
      </w:r>
      <w:r w:rsidR="00CF6BBA" w:rsidRPr="006C2CED">
        <w:rPr>
          <w:rFonts w:asciiTheme="minorHAnsi" w:hAnsiTheme="minorHAnsi"/>
          <w:sz w:val="24"/>
          <w:szCs w:val="24"/>
        </w:rPr>
        <w:t>mentor for</w:t>
      </w:r>
      <w:r w:rsidRPr="006C2CED">
        <w:rPr>
          <w:rFonts w:asciiTheme="minorHAnsi" w:hAnsiTheme="minorHAnsi"/>
          <w:sz w:val="24"/>
          <w:szCs w:val="24"/>
        </w:rPr>
        <w:t xml:space="preserve"> the planning sates of the teach and stated successes in doing so but also shared that research needs to clarify the role of the mentor. </w:t>
      </w:r>
      <w:r w:rsidR="00CF6BBA" w:rsidRPr="006C2CED">
        <w:rPr>
          <w:rFonts w:asciiTheme="minorHAnsi" w:hAnsiTheme="minorHAnsi"/>
          <w:sz w:val="24"/>
          <w:szCs w:val="24"/>
        </w:rPr>
        <w:t>A number of different mentoring models have been developed, as of consequence of the preceding notions, allied with confusion the role of the mentor and the mentor concept itself (Andrews &amp; Wallis, 1999).  Models that have been adopted in the nursing field include, peer, team mentoring, one to one traditional instructive and E-mentoring, the model adopted would depend on recourses available, the i</w:t>
      </w:r>
      <w:r w:rsidR="003E3292" w:rsidRPr="006C2CED">
        <w:rPr>
          <w:rFonts w:asciiTheme="minorHAnsi" w:hAnsiTheme="minorHAnsi"/>
          <w:sz w:val="24"/>
          <w:szCs w:val="24"/>
        </w:rPr>
        <w:t xml:space="preserve">ntended outcome and priorities </w:t>
      </w:r>
      <w:sdt>
        <w:sdtPr>
          <w:rPr>
            <w:rFonts w:asciiTheme="minorHAnsi" w:hAnsiTheme="minorHAnsi"/>
            <w:sz w:val="24"/>
            <w:szCs w:val="24"/>
          </w:rPr>
          <w:id w:val="-1199705664"/>
          <w:citation/>
        </w:sdtPr>
        <w:sdtContent>
          <w:r w:rsidR="003E3292" w:rsidRPr="006C2CED">
            <w:rPr>
              <w:rFonts w:asciiTheme="minorHAnsi" w:hAnsiTheme="minorHAnsi"/>
              <w:sz w:val="24"/>
              <w:szCs w:val="24"/>
            </w:rPr>
            <w:fldChar w:fldCharType="begin"/>
          </w:r>
          <w:r w:rsidR="003E3292" w:rsidRPr="006C2CED">
            <w:rPr>
              <w:rFonts w:asciiTheme="minorHAnsi" w:hAnsiTheme="minorHAnsi"/>
              <w:sz w:val="24"/>
              <w:szCs w:val="24"/>
            </w:rPr>
            <w:instrText xml:space="preserve"> CITATION Byr04 \l 1033 </w:instrText>
          </w:r>
          <w:r w:rsidR="003E3292" w:rsidRPr="006C2CED">
            <w:rPr>
              <w:rFonts w:asciiTheme="minorHAnsi" w:hAnsiTheme="minorHAnsi"/>
              <w:sz w:val="24"/>
              <w:szCs w:val="24"/>
            </w:rPr>
            <w:fldChar w:fldCharType="separate"/>
          </w:r>
          <w:r w:rsidR="003E3292" w:rsidRPr="006C2CED">
            <w:rPr>
              <w:rFonts w:asciiTheme="minorHAnsi" w:hAnsiTheme="minorHAnsi"/>
              <w:noProof/>
              <w:sz w:val="24"/>
              <w:szCs w:val="24"/>
            </w:rPr>
            <w:t>(Byrne &amp; Keefe, 2004)</w:t>
          </w:r>
          <w:r w:rsidR="003E3292" w:rsidRPr="006C2CED">
            <w:rPr>
              <w:rFonts w:asciiTheme="minorHAnsi" w:hAnsiTheme="minorHAnsi"/>
              <w:sz w:val="24"/>
              <w:szCs w:val="24"/>
            </w:rPr>
            <w:fldChar w:fldCharType="end"/>
          </w:r>
        </w:sdtContent>
      </w:sdt>
      <w:r w:rsidR="00CF6BBA" w:rsidRPr="006C2CED">
        <w:rPr>
          <w:rFonts w:asciiTheme="minorHAnsi" w:hAnsiTheme="minorHAnsi"/>
          <w:sz w:val="24"/>
          <w:szCs w:val="24"/>
        </w:rPr>
        <w:t xml:space="preserve"> </w:t>
      </w:r>
    </w:p>
    <w:p w:rsidR="00C946D4" w:rsidRPr="006828C8" w:rsidRDefault="00C946D4" w:rsidP="006828C8">
      <w:pPr>
        <w:pStyle w:val="NormalWeb"/>
        <w:spacing w:line="480" w:lineRule="auto"/>
        <w:jc w:val="both"/>
        <w:rPr>
          <w:rFonts w:asciiTheme="minorHAnsi" w:hAnsiTheme="minorHAnsi"/>
        </w:rPr>
      </w:pPr>
    </w:p>
    <w:p w:rsidR="00364AC1" w:rsidRDefault="006828C8" w:rsidP="00651E33">
      <w:pPr>
        <w:spacing w:line="480" w:lineRule="auto"/>
        <w:jc w:val="both"/>
        <w:rPr>
          <w:lang w:val="en-US"/>
        </w:rPr>
      </w:pPr>
      <w:r>
        <w:rPr>
          <w:lang w:val="en-US"/>
        </w:rPr>
        <w:lastRenderedPageBreak/>
        <w:t>T</w:t>
      </w:r>
      <w:r w:rsidR="00B50C90">
        <w:rPr>
          <w:lang w:val="en-US"/>
        </w:rPr>
        <w:t xml:space="preserve">o elucidate the outcomes and highlight implications for further research, the author suggests that in the reflection phase </w:t>
      </w:r>
      <w:r w:rsidR="00B50C90">
        <w:rPr>
          <w:color w:val="000000" w:themeColor="text1"/>
          <w:lang w:val="en-US"/>
        </w:rPr>
        <w:t xml:space="preserve">to </w:t>
      </w:r>
      <w:r>
        <w:rPr>
          <w:color w:val="000000" w:themeColor="text1"/>
          <w:lang w:val="en-US"/>
        </w:rPr>
        <w:t>utilize</w:t>
      </w:r>
      <w:r w:rsidR="00B50C90" w:rsidRPr="00F5754C">
        <w:rPr>
          <w:color w:val="000000" w:themeColor="text1"/>
          <w:lang w:val="en-US"/>
        </w:rPr>
        <w:t xml:space="preserve"> video reflection to support development teaching through exploration here </w:t>
      </w:r>
      <w:sdt>
        <w:sdtPr>
          <w:rPr>
            <w:color w:val="000000" w:themeColor="text1"/>
            <w:lang w:val="en-US"/>
          </w:rPr>
          <w:id w:val="1821766186"/>
          <w:citation/>
        </w:sdtPr>
        <w:sdtEndPr/>
        <w:sdtContent>
          <w:r w:rsidR="00B50C90" w:rsidRPr="00F5754C">
            <w:rPr>
              <w:color w:val="000000" w:themeColor="text1"/>
              <w:lang w:val="en-US"/>
            </w:rPr>
            <w:fldChar w:fldCharType="begin"/>
          </w:r>
          <w:r w:rsidR="00B50C90" w:rsidRPr="00F5754C">
            <w:rPr>
              <w:color w:val="000000" w:themeColor="text1"/>
              <w:lang w:val="en-US"/>
            </w:rPr>
            <w:instrText xml:space="preserve"> CITATION And95 \l 1033 </w:instrText>
          </w:r>
          <w:r w:rsidR="00B50C90" w:rsidRPr="00F5754C">
            <w:rPr>
              <w:color w:val="000000" w:themeColor="text1"/>
              <w:lang w:val="en-US"/>
            </w:rPr>
            <w:fldChar w:fldCharType="separate"/>
          </w:r>
          <w:r w:rsidR="00B50C90" w:rsidRPr="00F5754C">
            <w:rPr>
              <w:noProof/>
              <w:color w:val="000000" w:themeColor="text1"/>
              <w:lang w:val="en-US"/>
            </w:rPr>
            <w:t>(Anderson &amp; Freiberg, 1995)</w:t>
          </w:r>
          <w:r w:rsidR="00B50C90" w:rsidRPr="00F5754C">
            <w:rPr>
              <w:color w:val="000000" w:themeColor="text1"/>
              <w:lang w:val="en-US"/>
            </w:rPr>
            <w:fldChar w:fldCharType="end"/>
          </w:r>
        </w:sdtContent>
      </w:sdt>
      <w:r w:rsidR="00B50C90" w:rsidRPr="00F5754C">
        <w:rPr>
          <w:color w:val="000000" w:themeColor="text1"/>
          <w:lang w:val="en-US"/>
        </w:rPr>
        <w:t>, this can have a positive effect on develo</w:t>
      </w:r>
      <w:r w:rsidR="00B50C90">
        <w:rPr>
          <w:color w:val="000000" w:themeColor="text1"/>
          <w:lang w:val="en-US"/>
        </w:rPr>
        <w:t xml:space="preserve">pment, where the </w:t>
      </w:r>
      <w:r w:rsidR="00BA3A25">
        <w:rPr>
          <w:color w:val="000000" w:themeColor="text1"/>
          <w:lang w:val="en-US"/>
        </w:rPr>
        <w:t xml:space="preserve">student and more significant other or fellow </w:t>
      </w:r>
      <w:r w:rsidR="00BA3A25" w:rsidRPr="00F35E03">
        <w:rPr>
          <w:i/>
          <w:color w:val="000000" w:themeColor="text1"/>
          <w:lang w:val="en-US"/>
        </w:rPr>
        <w:t>peer</w:t>
      </w:r>
      <w:r w:rsidR="00BA3A25">
        <w:rPr>
          <w:color w:val="000000" w:themeColor="text1"/>
          <w:lang w:val="en-US"/>
        </w:rPr>
        <w:t xml:space="preserve"> </w:t>
      </w:r>
      <w:r w:rsidR="00B50C90" w:rsidRPr="00F5754C">
        <w:rPr>
          <w:color w:val="000000" w:themeColor="text1"/>
          <w:lang w:val="en-US"/>
        </w:rPr>
        <w:t xml:space="preserve"> can look back and </w:t>
      </w:r>
      <w:r w:rsidR="00BA3A25" w:rsidRPr="00F5754C">
        <w:rPr>
          <w:color w:val="000000" w:themeColor="text1"/>
          <w:lang w:val="en-US"/>
        </w:rPr>
        <w:t>evaluate</w:t>
      </w:r>
      <w:r w:rsidR="00B50C90" w:rsidRPr="00F5754C">
        <w:rPr>
          <w:color w:val="000000" w:themeColor="text1"/>
          <w:lang w:val="en-US"/>
        </w:rPr>
        <w:t xml:space="preserve">.  This will allow for </w:t>
      </w:r>
      <w:r w:rsidR="00BA3A25" w:rsidRPr="00F5754C">
        <w:rPr>
          <w:color w:val="000000" w:themeColor="text1"/>
          <w:lang w:val="en-US"/>
        </w:rPr>
        <w:t>feelings</w:t>
      </w:r>
      <w:r w:rsidR="00B50C90" w:rsidRPr="00F5754C">
        <w:rPr>
          <w:color w:val="000000" w:themeColor="text1"/>
          <w:lang w:val="en-US"/>
        </w:rPr>
        <w:t xml:space="preserve"> to be taken out of </w:t>
      </w:r>
      <w:r w:rsidR="00BA3A25" w:rsidRPr="00F5754C">
        <w:rPr>
          <w:color w:val="000000" w:themeColor="text1"/>
          <w:lang w:val="en-US"/>
        </w:rPr>
        <w:t>reckoning</w:t>
      </w:r>
      <w:r w:rsidR="00B50C90" w:rsidRPr="00F5754C">
        <w:rPr>
          <w:color w:val="000000" w:themeColor="text1"/>
          <w:lang w:val="en-US"/>
        </w:rPr>
        <w:t xml:space="preserve"> as the student teacher will not be in the </w:t>
      </w:r>
      <w:r w:rsidR="00BA3A25" w:rsidRPr="00F5754C">
        <w:rPr>
          <w:color w:val="000000" w:themeColor="text1"/>
          <w:lang w:val="en-US"/>
        </w:rPr>
        <w:t>torridness</w:t>
      </w:r>
      <w:r w:rsidR="00B50C90" w:rsidRPr="00F5754C">
        <w:rPr>
          <w:color w:val="000000" w:themeColor="text1"/>
          <w:lang w:val="en-US"/>
        </w:rPr>
        <w:t xml:space="preserve"> of the moment.</w:t>
      </w:r>
    </w:p>
    <w:p w:rsidR="004658BA" w:rsidRDefault="004658BA" w:rsidP="00651E33">
      <w:pPr>
        <w:spacing w:line="480" w:lineRule="auto"/>
        <w:jc w:val="both"/>
        <w:rPr>
          <w:lang w:val="en-US"/>
        </w:rPr>
      </w:pPr>
    </w:p>
    <w:p w:rsidR="00F74E5F" w:rsidRDefault="00F74E5F" w:rsidP="00651E33">
      <w:pPr>
        <w:spacing w:line="480" w:lineRule="auto"/>
        <w:jc w:val="both"/>
        <w:rPr>
          <w:lang w:val="en-US"/>
        </w:rPr>
      </w:pPr>
    </w:p>
    <w:p w:rsidR="004658BA" w:rsidRDefault="004658BA" w:rsidP="00651E33">
      <w:pPr>
        <w:spacing w:line="480" w:lineRule="auto"/>
        <w:jc w:val="both"/>
        <w:rPr>
          <w:lang w:val="en-US"/>
        </w:rPr>
      </w:pPr>
    </w:p>
    <w:p w:rsidR="00B30AFF" w:rsidRDefault="00B30AFF" w:rsidP="00651E33">
      <w:pPr>
        <w:spacing w:line="480" w:lineRule="auto"/>
        <w:jc w:val="both"/>
        <w:rPr>
          <w:lang w:val="en-US"/>
        </w:rPr>
      </w:pPr>
    </w:p>
    <w:p w:rsidR="00B30AFF" w:rsidRDefault="00B30AFF" w:rsidP="00651E33">
      <w:pPr>
        <w:spacing w:line="480" w:lineRule="auto"/>
        <w:jc w:val="both"/>
        <w:rPr>
          <w:lang w:val="en-US"/>
        </w:rPr>
      </w:pPr>
    </w:p>
    <w:p w:rsidR="00B30AFF" w:rsidRDefault="00B30AFF" w:rsidP="00651E33">
      <w:pPr>
        <w:spacing w:line="480" w:lineRule="auto"/>
        <w:jc w:val="both"/>
        <w:rPr>
          <w:lang w:val="en-US"/>
        </w:rPr>
      </w:pPr>
    </w:p>
    <w:p w:rsidR="00B30AFF" w:rsidRDefault="00B30AFF" w:rsidP="00651E33">
      <w:pPr>
        <w:spacing w:line="480" w:lineRule="auto"/>
        <w:jc w:val="both"/>
        <w:rPr>
          <w:lang w:val="en-US"/>
        </w:rPr>
      </w:pPr>
    </w:p>
    <w:p w:rsidR="00B30AFF" w:rsidRDefault="00B30AFF" w:rsidP="00651E33">
      <w:pPr>
        <w:spacing w:line="480" w:lineRule="auto"/>
        <w:jc w:val="both"/>
        <w:rPr>
          <w:lang w:val="en-US"/>
        </w:rPr>
      </w:pPr>
    </w:p>
    <w:p w:rsidR="00B30AFF" w:rsidRDefault="00B30AFF" w:rsidP="00651E33">
      <w:pPr>
        <w:spacing w:line="480" w:lineRule="auto"/>
        <w:jc w:val="both"/>
        <w:rPr>
          <w:lang w:val="en-US"/>
        </w:rPr>
      </w:pPr>
    </w:p>
    <w:p w:rsidR="00B30AFF" w:rsidRDefault="00B30AFF" w:rsidP="00651E33">
      <w:pPr>
        <w:spacing w:line="480" w:lineRule="auto"/>
        <w:jc w:val="both"/>
        <w:rPr>
          <w:lang w:val="en-US"/>
        </w:rPr>
      </w:pPr>
    </w:p>
    <w:p w:rsidR="00B30AFF" w:rsidRDefault="00B30AFF" w:rsidP="00651E33">
      <w:pPr>
        <w:spacing w:line="480" w:lineRule="auto"/>
        <w:jc w:val="both"/>
        <w:rPr>
          <w:lang w:val="en-US"/>
        </w:rPr>
      </w:pPr>
    </w:p>
    <w:p w:rsidR="00B30AFF" w:rsidRDefault="00B30AFF" w:rsidP="00651E33">
      <w:pPr>
        <w:spacing w:line="480" w:lineRule="auto"/>
        <w:jc w:val="both"/>
        <w:rPr>
          <w:lang w:val="en-US"/>
        </w:rPr>
      </w:pPr>
    </w:p>
    <w:p w:rsidR="00B30AFF" w:rsidRDefault="00B30AFF" w:rsidP="00651E33">
      <w:pPr>
        <w:spacing w:line="480" w:lineRule="auto"/>
        <w:jc w:val="both"/>
        <w:rPr>
          <w:lang w:val="en-US"/>
        </w:rPr>
      </w:pPr>
    </w:p>
    <w:p w:rsidR="00B30AFF" w:rsidRDefault="00B30AFF" w:rsidP="00651E33">
      <w:pPr>
        <w:spacing w:line="480" w:lineRule="auto"/>
        <w:jc w:val="both"/>
        <w:rPr>
          <w:lang w:val="en-US"/>
        </w:rPr>
      </w:pPr>
    </w:p>
    <w:p w:rsidR="00B30AFF" w:rsidRDefault="00B30AFF" w:rsidP="00651E33">
      <w:pPr>
        <w:spacing w:line="480" w:lineRule="auto"/>
        <w:jc w:val="both"/>
        <w:rPr>
          <w:lang w:val="en-US"/>
        </w:rPr>
      </w:pPr>
    </w:p>
    <w:p w:rsidR="00B30AFF" w:rsidRDefault="00B30AFF" w:rsidP="00651E33">
      <w:pPr>
        <w:spacing w:line="480" w:lineRule="auto"/>
        <w:jc w:val="both"/>
        <w:rPr>
          <w:lang w:val="en-US"/>
        </w:rPr>
      </w:pPr>
    </w:p>
    <w:p w:rsidR="00B30AFF" w:rsidRDefault="00B30AFF" w:rsidP="00651E33">
      <w:pPr>
        <w:spacing w:line="480" w:lineRule="auto"/>
        <w:jc w:val="both"/>
        <w:rPr>
          <w:lang w:val="en-US"/>
        </w:rPr>
      </w:pPr>
    </w:p>
    <w:p w:rsidR="00B30AFF" w:rsidRDefault="00B30AFF" w:rsidP="00651E33">
      <w:pPr>
        <w:spacing w:line="480" w:lineRule="auto"/>
        <w:jc w:val="both"/>
        <w:rPr>
          <w:lang w:val="en-US"/>
        </w:rPr>
      </w:pPr>
    </w:p>
    <w:sdt>
      <w:sdtPr>
        <w:id w:val="-1229994801"/>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rsidR="00B30AFF" w:rsidRPr="00B30AFF" w:rsidRDefault="00B30AFF">
          <w:pPr>
            <w:pStyle w:val="Heading1"/>
            <w:rPr>
              <w:color w:val="000000" w:themeColor="text1"/>
            </w:rPr>
          </w:pPr>
          <w:r w:rsidRPr="00B30AFF">
            <w:rPr>
              <w:color w:val="000000" w:themeColor="text1"/>
            </w:rPr>
            <w:t>Bibliography</w:t>
          </w:r>
        </w:p>
        <w:sdt>
          <w:sdtPr>
            <w:id w:val="111145805"/>
            <w:bibliography/>
          </w:sdtPr>
          <w:sdtContent>
            <w:p w:rsidR="00B30AFF" w:rsidRDefault="00B30AFF" w:rsidP="00B30AFF">
              <w:pPr>
                <w:pStyle w:val="Bibliography"/>
                <w:ind w:left="720" w:hanging="720"/>
                <w:rPr>
                  <w:noProof/>
                  <w:lang w:val="en-US"/>
                </w:rPr>
              </w:pPr>
              <w:r>
                <w:fldChar w:fldCharType="begin"/>
              </w:r>
              <w:r>
                <w:instrText xml:space="preserve"> BIBLIOGRAPHY </w:instrText>
              </w:r>
              <w:r>
                <w:fldChar w:fldCharType="separate"/>
              </w:r>
              <w:r>
                <w:rPr>
                  <w:noProof/>
                  <w:lang w:val="en-US"/>
                </w:rPr>
                <w:t xml:space="preserve">Alleman, E. C. (1984). Enriching mentoring relationships. </w:t>
              </w:r>
              <w:r>
                <w:rPr>
                  <w:i/>
                  <w:iCs/>
                  <w:noProof/>
                  <w:lang w:val="en-US"/>
                </w:rPr>
                <w:t>The Personnel and Guidance Journal</w:t>
              </w:r>
              <w:r>
                <w:rPr>
                  <w:noProof/>
                  <w:lang w:val="en-US"/>
                </w:rPr>
                <w:t>, 329-332.</w:t>
              </w:r>
            </w:p>
            <w:p w:rsidR="00B30AFF" w:rsidRDefault="00B30AFF" w:rsidP="00B30AFF">
              <w:pPr>
                <w:pStyle w:val="Bibliography"/>
                <w:ind w:left="720" w:hanging="720"/>
                <w:rPr>
                  <w:noProof/>
                  <w:lang w:val="en-US"/>
                </w:rPr>
              </w:pPr>
              <w:r>
                <w:rPr>
                  <w:noProof/>
                  <w:lang w:val="en-US"/>
                </w:rPr>
                <w:t xml:space="preserve">Anderson, J. B., &amp; Freiberg, H. J. (1995). Using self-assessment as a reflective tool to enhance the student teaching experience. </w:t>
              </w:r>
              <w:r>
                <w:rPr>
                  <w:i/>
                  <w:iCs/>
                  <w:noProof/>
                  <w:lang w:val="en-US"/>
                </w:rPr>
                <w:t>Teacher Education Quarterly</w:t>
              </w:r>
              <w:r>
                <w:rPr>
                  <w:noProof/>
                  <w:lang w:val="en-US"/>
                </w:rPr>
                <w:t>, 77-91.</w:t>
              </w:r>
            </w:p>
            <w:p w:rsidR="00B30AFF" w:rsidRDefault="00B30AFF" w:rsidP="00B30AFF">
              <w:pPr>
                <w:pStyle w:val="Bibliography"/>
                <w:ind w:left="720" w:hanging="720"/>
                <w:rPr>
                  <w:noProof/>
                  <w:lang w:val="en-US"/>
                </w:rPr>
              </w:pPr>
              <w:r>
                <w:rPr>
                  <w:noProof/>
                  <w:lang w:val="en-US"/>
                </w:rPr>
                <w:t xml:space="preserve">Andrews, M., &amp; Wallis, M. (1999). Mentorship in nursing: a literature review. </w:t>
              </w:r>
              <w:r>
                <w:rPr>
                  <w:i/>
                  <w:iCs/>
                  <w:noProof/>
                  <w:lang w:val="en-US"/>
                </w:rPr>
                <w:t xml:space="preserve">Journal of Midwifery and Womens Health </w:t>
              </w:r>
              <w:r>
                <w:rPr>
                  <w:noProof/>
                  <w:lang w:val="en-US"/>
                </w:rPr>
                <w:t>, 201-207.</w:t>
              </w:r>
            </w:p>
            <w:p w:rsidR="00B30AFF" w:rsidRDefault="00B30AFF" w:rsidP="00B30AFF">
              <w:pPr>
                <w:pStyle w:val="Bibliography"/>
                <w:ind w:left="720" w:hanging="720"/>
                <w:rPr>
                  <w:noProof/>
                  <w:lang w:val="en-US"/>
                </w:rPr>
              </w:pPr>
              <w:r>
                <w:rPr>
                  <w:noProof/>
                  <w:lang w:val="en-US"/>
                </w:rPr>
                <w:t xml:space="preserve">Baines, E., Blatchford, P., &amp; Webster, R. (2014). The challenges of implementing group work in primary school classrooms and including pupils with special educational needs. </w:t>
              </w:r>
              <w:r>
                <w:rPr>
                  <w:i/>
                  <w:iCs/>
                  <w:noProof/>
                  <w:lang w:val="en-US"/>
                </w:rPr>
                <w:t>International Journal of Primary, Elementary and Early Years Education</w:t>
              </w:r>
              <w:r>
                <w:rPr>
                  <w:noProof/>
                  <w:lang w:val="en-US"/>
                </w:rPr>
                <w:t>, 43:1, 15-29.</w:t>
              </w:r>
            </w:p>
            <w:p w:rsidR="00B30AFF" w:rsidRDefault="00B30AFF" w:rsidP="00B30AFF">
              <w:pPr>
                <w:pStyle w:val="Bibliography"/>
                <w:ind w:left="720" w:hanging="720"/>
                <w:rPr>
                  <w:noProof/>
                  <w:lang w:val="en-US"/>
                </w:rPr>
              </w:pPr>
              <w:r>
                <w:rPr>
                  <w:noProof/>
                  <w:lang w:val="en-US"/>
                </w:rPr>
                <w:t xml:space="preserve">Bloom, G. A., Bush, N. D., Schinke, R., &amp; Salmela, J. H. (1998). The importance of mentoring in the development of coaches and athletes. </w:t>
              </w:r>
              <w:r>
                <w:rPr>
                  <w:i/>
                  <w:iCs/>
                  <w:noProof/>
                  <w:lang w:val="en-US"/>
                </w:rPr>
                <w:t>International Journal of Sport Psychology</w:t>
              </w:r>
              <w:r>
                <w:rPr>
                  <w:noProof/>
                  <w:lang w:val="en-US"/>
                </w:rPr>
                <w:t>, 29, 267-281.</w:t>
              </w:r>
            </w:p>
            <w:p w:rsidR="00B30AFF" w:rsidRDefault="00B30AFF" w:rsidP="00B30AFF">
              <w:pPr>
                <w:pStyle w:val="Bibliography"/>
                <w:ind w:left="720" w:hanging="720"/>
                <w:rPr>
                  <w:noProof/>
                  <w:lang w:val="en-US"/>
                </w:rPr>
              </w:pPr>
              <w:r>
                <w:rPr>
                  <w:noProof/>
                  <w:lang w:val="en-US"/>
                </w:rPr>
                <w:t xml:space="preserve">Bradley, B. H., Postlewaite, B. E., Klotz, A. C., &amp; Brown, K. G. (2013). Ready to Rumble: How Team Personality Composition and Task Conflict Interact to Improve Performance. </w:t>
              </w:r>
              <w:r>
                <w:rPr>
                  <w:i/>
                  <w:iCs/>
                  <w:noProof/>
                  <w:lang w:val="en-US"/>
                </w:rPr>
                <w:t>Journal of Applied Psychology</w:t>
              </w:r>
              <w:r>
                <w:rPr>
                  <w:noProof/>
                  <w:lang w:val="en-US"/>
                </w:rPr>
                <w:t>, 98-105.</w:t>
              </w:r>
            </w:p>
            <w:p w:rsidR="00B30AFF" w:rsidRDefault="00B30AFF" w:rsidP="00B30AFF">
              <w:pPr>
                <w:pStyle w:val="Bibliography"/>
                <w:ind w:left="720" w:hanging="720"/>
                <w:rPr>
                  <w:noProof/>
                  <w:lang w:val="en-US"/>
                </w:rPr>
              </w:pPr>
              <w:r>
                <w:rPr>
                  <w:noProof/>
                  <w:lang w:val="en-US"/>
                </w:rPr>
                <w:t xml:space="preserve">Bulman, C., &amp; Schutz, S. (20013). </w:t>
              </w:r>
              <w:r>
                <w:rPr>
                  <w:i/>
                  <w:iCs/>
                  <w:noProof/>
                  <w:lang w:val="en-US"/>
                </w:rPr>
                <w:t>Reflective Practice in Nursing 5th ed.</w:t>
              </w:r>
              <w:r>
                <w:rPr>
                  <w:noProof/>
                  <w:lang w:val="en-US"/>
                </w:rPr>
                <w:t xml:space="preserve"> Oxford: Wiley-Blackwell.</w:t>
              </w:r>
            </w:p>
            <w:p w:rsidR="00B30AFF" w:rsidRDefault="00B30AFF" w:rsidP="00B30AFF">
              <w:pPr>
                <w:pStyle w:val="Bibliography"/>
                <w:ind w:left="720" w:hanging="720"/>
                <w:rPr>
                  <w:noProof/>
                  <w:lang w:val="en-US"/>
                </w:rPr>
              </w:pPr>
              <w:r>
                <w:rPr>
                  <w:noProof/>
                  <w:lang w:val="en-US"/>
                </w:rPr>
                <w:t xml:space="preserve">Byrne, M. W., &amp; Keefe, M. R. (2004). Building Research Competence in Nursing Through Mentoring. </w:t>
              </w:r>
              <w:r>
                <w:rPr>
                  <w:i/>
                  <w:iCs/>
                  <w:noProof/>
                  <w:lang w:val="en-US"/>
                </w:rPr>
                <w:t>Journal of Nursing Scholarship</w:t>
              </w:r>
              <w:r>
                <w:rPr>
                  <w:noProof/>
                  <w:lang w:val="en-US"/>
                </w:rPr>
                <w:t>, 212-124.</w:t>
              </w:r>
            </w:p>
            <w:p w:rsidR="00B30AFF" w:rsidRDefault="00B30AFF" w:rsidP="00B30AFF">
              <w:pPr>
                <w:pStyle w:val="Bibliography"/>
                <w:ind w:left="720" w:hanging="720"/>
                <w:rPr>
                  <w:noProof/>
                  <w:lang w:val="en-US"/>
                </w:rPr>
              </w:pPr>
              <w:r>
                <w:rPr>
                  <w:noProof/>
                  <w:lang w:val="en-US"/>
                </w:rPr>
                <w:t xml:space="preserve">Entwistle, N. J. (1998). upporting students’ frameworks for conceptual understanding: Knowledge objects and their implications. In R. C, </w:t>
              </w:r>
              <w:r>
                <w:rPr>
                  <w:i/>
                  <w:iCs/>
                  <w:noProof/>
                  <w:lang w:val="en-US"/>
                </w:rPr>
                <w:t>Improving student learning: improving students as learners</w:t>
              </w:r>
              <w:r>
                <w:rPr>
                  <w:noProof/>
                  <w:lang w:val="en-US"/>
                </w:rPr>
                <w:t xml:space="preserve"> (pp. 213-218). Oxford: Oxford Brookes University.</w:t>
              </w:r>
            </w:p>
            <w:p w:rsidR="00B30AFF" w:rsidRDefault="00B30AFF" w:rsidP="00B30AFF">
              <w:pPr>
                <w:pStyle w:val="Bibliography"/>
                <w:ind w:left="720" w:hanging="720"/>
                <w:rPr>
                  <w:noProof/>
                  <w:lang w:val="en-US"/>
                </w:rPr>
              </w:pPr>
              <w:r>
                <w:rPr>
                  <w:noProof/>
                  <w:lang w:val="en-US"/>
                </w:rPr>
                <w:t xml:space="preserve">Eraut, M. (1994). </w:t>
              </w:r>
              <w:r>
                <w:rPr>
                  <w:i/>
                  <w:iCs/>
                  <w:noProof/>
                  <w:lang w:val="en-US"/>
                </w:rPr>
                <w:t>Enhancing Teacher Competency of Graduate Teacher Trainees through Metacognitive Intervention Strategies.</w:t>
              </w:r>
              <w:r>
                <w:rPr>
                  <w:noProof/>
                  <w:lang w:val="en-US"/>
                </w:rPr>
                <w:t xml:space="preserve"> London: The Falmer Press.</w:t>
              </w:r>
            </w:p>
            <w:p w:rsidR="00B30AFF" w:rsidRDefault="00B30AFF" w:rsidP="00B30AFF">
              <w:pPr>
                <w:pStyle w:val="Bibliography"/>
                <w:ind w:left="720" w:hanging="720"/>
                <w:rPr>
                  <w:noProof/>
                  <w:lang w:val="en-US"/>
                </w:rPr>
              </w:pPr>
              <w:r>
                <w:rPr>
                  <w:noProof/>
                  <w:lang w:val="en-US"/>
                </w:rPr>
                <w:t xml:space="preserve">Fletcher, S. J. (2000). </w:t>
              </w:r>
              <w:r>
                <w:rPr>
                  <w:i/>
                  <w:iCs/>
                  <w:noProof/>
                  <w:lang w:val="en-US"/>
                </w:rPr>
                <w:t>Mentoring In Schools.</w:t>
              </w:r>
              <w:r>
                <w:rPr>
                  <w:noProof/>
                  <w:lang w:val="en-US"/>
                </w:rPr>
                <w:t xml:space="preserve"> London: Wiley.</w:t>
              </w:r>
            </w:p>
            <w:p w:rsidR="00B30AFF" w:rsidRDefault="00B30AFF" w:rsidP="00B30AFF">
              <w:pPr>
                <w:pStyle w:val="Bibliography"/>
                <w:ind w:left="720" w:hanging="720"/>
                <w:rPr>
                  <w:noProof/>
                  <w:lang w:val="en-US"/>
                </w:rPr>
              </w:pPr>
              <w:r>
                <w:rPr>
                  <w:noProof/>
                  <w:lang w:val="en-US"/>
                </w:rPr>
                <w:t xml:space="preserve">Freire, P. (1994). </w:t>
              </w:r>
              <w:r>
                <w:rPr>
                  <w:i/>
                  <w:iCs/>
                  <w:noProof/>
                  <w:lang w:val="en-US"/>
                </w:rPr>
                <w:t>Pedagogy of Hope.</w:t>
              </w:r>
              <w:r>
                <w:rPr>
                  <w:noProof/>
                  <w:lang w:val="en-US"/>
                </w:rPr>
                <w:t xml:space="preserve"> New York: Continuum.</w:t>
              </w:r>
            </w:p>
            <w:p w:rsidR="00B30AFF" w:rsidRDefault="00B30AFF" w:rsidP="00B30AFF">
              <w:pPr>
                <w:pStyle w:val="Bibliography"/>
                <w:ind w:left="720" w:hanging="720"/>
                <w:rPr>
                  <w:noProof/>
                  <w:lang w:val="en-US"/>
                </w:rPr>
              </w:pPr>
              <w:r>
                <w:rPr>
                  <w:noProof/>
                  <w:lang w:val="en-US"/>
                </w:rPr>
                <w:t xml:space="preserve">Gibbs, G. (1988). </w:t>
              </w:r>
              <w:r>
                <w:rPr>
                  <w:i/>
                  <w:iCs/>
                  <w:noProof/>
                  <w:lang w:val="en-US"/>
                </w:rPr>
                <w:t>Learning by doing: a guide to teaching and learning methods.</w:t>
              </w:r>
              <w:r>
                <w:rPr>
                  <w:noProof/>
                  <w:lang w:val="en-US"/>
                </w:rPr>
                <w:t xml:space="preserve"> Oxford: Further Education Unit, Oxford Polyetechnic.</w:t>
              </w:r>
            </w:p>
            <w:p w:rsidR="00B30AFF" w:rsidRDefault="00B30AFF" w:rsidP="00B30AFF">
              <w:pPr>
                <w:pStyle w:val="Bibliography"/>
                <w:ind w:left="720" w:hanging="720"/>
                <w:rPr>
                  <w:noProof/>
                  <w:lang w:val="en-US"/>
                </w:rPr>
              </w:pPr>
              <w:r>
                <w:rPr>
                  <w:noProof/>
                  <w:lang w:val="en-US"/>
                </w:rPr>
                <w:t xml:space="preserve">Illeris, K. (2015). Transformative Learning in Higher Education. </w:t>
              </w:r>
              <w:r>
                <w:rPr>
                  <w:i/>
                  <w:iCs/>
                  <w:noProof/>
                  <w:lang w:val="en-US"/>
                </w:rPr>
                <w:t>Journal of Transformative Learning</w:t>
              </w:r>
              <w:r>
                <w:rPr>
                  <w:noProof/>
                  <w:lang w:val="en-US"/>
                </w:rPr>
                <w:t>, 3(1), 46-51.</w:t>
              </w:r>
            </w:p>
            <w:p w:rsidR="00B30AFF" w:rsidRDefault="00B30AFF" w:rsidP="00B30AFF">
              <w:pPr>
                <w:pStyle w:val="Bibliography"/>
                <w:ind w:left="720" w:hanging="720"/>
                <w:rPr>
                  <w:noProof/>
                  <w:lang w:val="en-US"/>
                </w:rPr>
              </w:pPr>
              <w:r>
                <w:rPr>
                  <w:noProof/>
                  <w:lang w:val="en-US"/>
                </w:rPr>
                <w:t xml:space="preserve">Jasper, M. (2003). Beginning Reflective Practice. </w:t>
              </w:r>
              <w:r>
                <w:rPr>
                  <w:i/>
                  <w:iCs/>
                  <w:noProof/>
                  <w:lang w:val="en-US"/>
                </w:rPr>
                <w:t>British Journal of Anaesthetic and Recovery Nursing</w:t>
              </w:r>
              <w:r>
                <w:rPr>
                  <w:noProof/>
                  <w:lang w:val="en-US"/>
                </w:rPr>
                <w:t>, 4: 217-245.</w:t>
              </w:r>
            </w:p>
            <w:p w:rsidR="00B30AFF" w:rsidRDefault="00B30AFF" w:rsidP="00B30AFF">
              <w:pPr>
                <w:pStyle w:val="Bibliography"/>
                <w:ind w:left="720" w:hanging="720"/>
                <w:rPr>
                  <w:noProof/>
                  <w:lang w:val="en-US"/>
                </w:rPr>
              </w:pPr>
              <w:r>
                <w:rPr>
                  <w:noProof/>
                  <w:lang w:val="en-US"/>
                </w:rPr>
                <w:t xml:space="preserve">Jones, J. (2009). Mentoring in the Milky Way – reviewing the constellations of relationships. </w:t>
              </w:r>
              <w:r>
                <w:rPr>
                  <w:i/>
                  <w:iCs/>
                  <w:noProof/>
                  <w:lang w:val="en-US"/>
                </w:rPr>
                <w:t>The International Journal of Mentoring and Coaching</w:t>
              </w:r>
              <w:r>
                <w:rPr>
                  <w:noProof/>
                  <w:lang w:val="en-US"/>
                </w:rPr>
                <w:t>, 7, 2, 3-24.</w:t>
              </w:r>
            </w:p>
            <w:p w:rsidR="00B30AFF" w:rsidRDefault="00B30AFF" w:rsidP="00B30AFF">
              <w:pPr>
                <w:pStyle w:val="Bibliography"/>
                <w:ind w:left="720" w:hanging="720"/>
                <w:rPr>
                  <w:noProof/>
                  <w:lang w:val="en-US"/>
                </w:rPr>
              </w:pPr>
              <w:r>
                <w:rPr>
                  <w:noProof/>
                  <w:lang w:val="en-US"/>
                </w:rPr>
                <w:t xml:space="preserve">Jones, R. L., Harris, R., &amp; Miles, A. (2009). Mentoring in sports coaching: A review of the literature. </w:t>
              </w:r>
              <w:r>
                <w:rPr>
                  <w:i/>
                  <w:iCs/>
                  <w:noProof/>
                  <w:lang w:val="en-US"/>
                </w:rPr>
                <w:t>Physical Education and Sport Pedagogy</w:t>
              </w:r>
              <w:r>
                <w:rPr>
                  <w:noProof/>
                  <w:lang w:val="en-US"/>
                </w:rPr>
                <w:t>, 14(3), 267-284.</w:t>
              </w:r>
            </w:p>
            <w:p w:rsidR="00B30AFF" w:rsidRDefault="00B30AFF" w:rsidP="00B30AFF">
              <w:pPr>
                <w:pStyle w:val="Bibliography"/>
                <w:ind w:left="720" w:hanging="720"/>
                <w:rPr>
                  <w:noProof/>
                  <w:lang w:val="en-US"/>
                </w:rPr>
              </w:pPr>
              <w:r>
                <w:rPr>
                  <w:noProof/>
                  <w:lang w:val="en-US"/>
                </w:rPr>
                <w:t xml:space="preserve">Jules, M., &amp; Vassel, N. A. (2009). Delivering a learning disability education programme in India. </w:t>
              </w:r>
              <w:r>
                <w:rPr>
                  <w:i/>
                  <w:iCs/>
                  <w:noProof/>
                  <w:lang w:val="en-US"/>
                </w:rPr>
                <w:t>Learning Disability and Practice</w:t>
              </w:r>
              <w:r>
                <w:rPr>
                  <w:noProof/>
                  <w:lang w:val="en-US"/>
                </w:rPr>
                <w:t>, 12, 9,21-25.</w:t>
              </w:r>
            </w:p>
            <w:p w:rsidR="00B30AFF" w:rsidRDefault="00B30AFF" w:rsidP="00B30AFF">
              <w:pPr>
                <w:pStyle w:val="Bibliography"/>
                <w:ind w:left="720" w:hanging="720"/>
                <w:rPr>
                  <w:noProof/>
                  <w:lang w:val="en-US"/>
                </w:rPr>
              </w:pPr>
              <w:r>
                <w:rPr>
                  <w:noProof/>
                  <w:lang w:val="en-US"/>
                </w:rPr>
                <w:t xml:space="preserve">Knowles, M. (1984). </w:t>
              </w:r>
              <w:r>
                <w:rPr>
                  <w:i/>
                  <w:iCs/>
                  <w:noProof/>
                  <w:lang w:val="en-US"/>
                </w:rPr>
                <w:t>The Adult Learner: A Neglected Species (3rd Ed.).</w:t>
              </w:r>
              <w:r>
                <w:rPr>
                  <w:noProof/>
                  <w:lang w:val="en-US"/>
                </w:rPr>
                <w:t xml:space="preserve"> Houston: TX: Gulf Publishing.</w:t>
              </w:r>
            </w:p>
            <w:p w:rsidR="00B30AFF" w:rsidRDefault="00B30AFF" w:rsidP="00B30AFF">
              <w:pPr>
                <w:pStyle w:val="Bibliography"/>
                <w:ind w:left="720" w:hanging="720"/>
                <w:rPr>
                  <w:noProof/>
                  <w:lang w:val="en-US"/>
                </w:rPr>
              </w:pPr>
              <w:r>
                <w:rPr>
                  <w:noProof/>
                  <w:lang w:val="en-US"/>
                </w:rPr>
                <w:t xml:space="preserve">Kolb, D. (1984). </w:t>
              </w:r>
              <w:r>
                <w:rPr>
                  <w:i/>
                  <w:iCs/>
                  <w:noProof/>
                  <w:lang w:val="en-US"/>
                </w:rPr>
                <w:t>Experiential Learning: Experience as the Source of Learning and Development.</w:t>
              </w:r>
              <w:r>
                <w:rPr>
                  <w:noProof/>
                  <w:lang w:val="en-US"/>
                </w:rPr>
                <w:t xml:space="preserve"> New Jersey: Englwood Cliffs: Prentice- Hall.</w:t>
              </w:r>
            </w:p>
            <w:p w:rsidR="00B30AFF" w:rsidRDefault="00B30AFF" w:rsidP="00B30AFF">
              <w:pPr>
                <w:pStyle w:val="Bibliography"/>
                <w:ind w:left="720" w:hanging="720"/>
                <w:rPr>
                  <w:noProof/>
                  <w:lang w:val="en-US"/>
                </w:rPr>
              </w:pPr>
              <w:r>
                <w:rPr>
                  <w:noProof/>
                  <w:lang w:val="en-US"/>
                </w:rPr>
                <w:t xml:space="preserve">Kutnick, P., Blatchford, P., &amp; Baines, E. (2007). Pupil grouping for learning in classrooms: Results from the UK SPRinG Study. </w:t>
              </w:r>
              <w:r>
                <w:rPr>
                  <w:i/>
                  <w:iCs/>
                  <w:noProof/>
                  <w:lang w:val="en-US"/>
                </w:rPr>
                <w:t>International Perspectives on Effective Groupwork</w:t>
              </w:r>
              <w:r>
                <w:rPr>
                  <w:noProof/>
                  <w:lang w:val="en-US"/>
                </w:rPr>
                <w:t>, 101-112.</w:t>
              </w:r>
            </w:p>
            <w:p w:rsidR="00B30AFF" w:rsidRDefault="00B30AFF" w:rsidP="00B30AFF">
              <w:pPr>
                <w:pStyle w:val="Bibliography"/>
                <w:ind w:left="720" w:hanging="720"/>
                <w:rPr>
                  <w:noProof/>
                  <w:lang w:val="en-US"/>
                </w:rPr>
              </w:pPr>
              <w:r>
                <w:rPr>
                  <w:noProof/>
                  <w:lang w:val="en-US"/>
                </w:rPr>
                <w:lastRenderedPageBreak/>
                <w:t xml:space="preserve">Lewin, K. (1952). </w:t>
              </w:r>
              <w:r>
                <w:rPr>
                  <w:i/>
                  <w:iCs/>
                  <w:noProof/>
                  <w:lang w:val="en-US"/>
                </w:rPr>
                <w:t>Field theory in social science: Selected theoretical papers by Kurt Lewin.</w:t>
              </w:r>
              <w:r>
                <w:rPr>
                  <w:noProof/>
                  <w:lang w:val="en-US"/>
                </w:rPr>
                <w:t xml:space="preserve"> London: Tavistock.</w:t>
              </w:r>
            </w:p>
            <w:p w:rsidR="00B30AFF" w:rsidRDefault="00B30AFF" w:rsidP="00B30AFF">
              <w:pPr>
                <w:pStyle w:val="Bibliography"/>
                <w:ind w:left="720" w:hanging="720"/>
                <w:rPr>
                  <w:noProof/>
                  <w:lang w:val="en-US"/>
                </w:rPr>
              </w:pPr>
              <w:r>
                <w:rPr>
                  <w:noProof/>
                  <w:lang w:val="en-US"/>
                </w:rPr>
                <w:t xml:space="preserve">Merriam, S. B. (1984). Mentors and protégés: A critical review of the literature. </w:t>
              </w:r>
              <w:r>
                <w:rPr>
                  <w:i/>
                  <w:iCs/>
                  <w:noProof/>
                  <w:lang w:val="en-US"/>
                </w:rPr>
                <w:t>Adult Education Quarterly</w:t>
              </w:r>
              <w:r>
                <w:rPr>
                  <w:noProof/>
                  <w:lang w:val="en-US"/>
                </w:rPr>
                <w:t>, 33, 161-173.</w:t>
              </w:r>
            </w:p>
            <w:p w:rsidR="00B30AFF" w:rsidRDefault="00B30AFF" w:rsidP="00B30AFF">
              <w:pPr>
                <w:pStyle w:val="Bibliography"/>
                <w:ind w:left="720" w:hanging="720"/>
                <w:rPr>
                  <w:noProof/>
                  <w:lang w:val="en-US"/>
                </w:rPr>
              </w:pPr>
              <w:r>
                <w:rPr>
                  <w:noProof/>
                  <w:lang w:val="en-US"/>
                </w:rPr>
                <w:t xml:space="preserve">Mikulinger, M., &amp; Shaver, P. R. (2007). </w:t>
              </w:r>
              <w:r>
                <w:rPr>
                  <w:i/>
                  <w:iCs/>
                  <w:noProof/>
                  <w:lang w:val="en-US"/>
                </w:rPr>
                <w:t>Attachment in Adulthood, structure, dynamics and change.</w:t>
              </w:r>
              <w:r>
                <w:rPr>
                  <w:noProof/>
                  <w:lang w:val="en-US"/>
                </w:rPr>
                <w:t xml:space="preserve"> New York: The Guildford Press.</w:t>
              </w:r>
            </w:p>
            <w:p w:rsidR="00B30AFF" w:rsidRDefault="00B30AFF" w:rsidP="00B30AFF">
              <w:pPr>
                <w:pStyle w:val="Bibliography"/>
                <w:ind w:left="720" w:hanging="720"/>
                <w:rPr>
                  <w:noProof/>
                  <w:lang w:val="en-US"/>
                </w:rPr>
              </w:pPr>
              <w:r>
                <w:rPr>
                  <w:noProof/>
                  <w:lang w:val="en-US"/>
                </w:rPr>
                <w:t xml:space="preserve">Mosley, J. (2006). </w:t>
              </w:r>
              <w:r>
                <w:rPr>
                  <w:i/>
                  <w:iCs/>
                  <w:noProof/>
                  <w:lang w:val="en-US"/>
                </w:rPr>
                <w:t>Step-by-Step Guide to Circle Time for SEAL .</w:t>
              </w:r>
              <w:r>
                <w:rPr>
                  <w:noProof/>
                  <w:lang w:val="en-US"/>
                </w:rPr>
                <w:t xml:space="preserve"> Trowbridge: Positive press.</w:t>
              </w:r>
            </w:p>
            <w:p w:rsidR="00B30AFF" w:rsidRDefault="00B30AFF" w:rsidP="00B30AFF">
              <w:pPr>
                <w:pStyle w:val="Bibliography"/>
                <w:ind w:left="720" w:hanging="720"/>
                <w:rPr>
                  <w:noProof/>
                  <w:lang w:val="en-US"/>
                </w:rPr>
              </w:pPr>
              <w:r>
                <w:rPr>
                  <w:noProof/>
                  <w:lang w:val="en-US"/>
                </w:rPr>
                <w:t xml:space="preserve">Peer Interaction and Learning in Small Groups. (1989). </w:t>
              </w:r>
              <w:r>
                <w:rPr>
                  <w:i/>
                  <w:iCs/>
                  <w:noProof/>
                  <w:lang w:val="en-US"/>
                </w:rPr>
                <w:t>International Journal of educational Research</w:t>
              </w:r>
              <w:r>
                <w:rPr>
                  <w:noProof/>
                  <w:lang w:val="en-US"/>
                </w:rPr>
                <w:t>, 21-39.</w:t>
              </w:r>
            </w:p>
            <w:p w:rsidR="00B30AFF" w:rsidRDefault="00B30AFF" w:rsidP="00B30AFF">
              <w:pPr>
                <w:pStyle w:val="Bibliography"/>
                <w:ind w:left="720" w:hanging="720"/>
                <w:rPr>
                  <w:noProof/>
                  <w:lang w:val="en-US"/>
                </w:rPr>
              </w:pPr>
              <w:r>
                <w:rPr>
                  <w:noProof/>
                  <w:lang w:val="en-US"/>
                </w:rPr>
                <w:t xml:space="preserve">Pfaff, E., &amp; Huddleston, P. (2003). Does It Matter if I Hate Teamwork? What Impacts Student Attitudes toward Teamwork. </w:t>
              </w:r>
              <w:r>
                <w:rPr>
                  <w:i/>
                  <w:iCs/>
                  <w:noProof/>
                  <w:lang w:val="en-US"/>
                </w:rPr>
                <w:t xml:space="preserve">Journal of Marketing Education </w:t>
              </w:r>
              <w:r>
                <w:rPr>
                  <w:noProof/>
                  <w:lang w:val="en-US"/>
                </w:rPr>
                <w:t>, 37-45.</w:t>
              </w:r>
            </w:p>
            <w:p w:rsidR="00B30AFF" w:rsidRDefault="00B30AFF" w:rsidP="00B30AFF">
              <w:pPr>
                <w:pStyle w:val="Bibliography"/>
                <w:ind w:left="720" w:hanging="720"/>
                <w:rPr>
                  <w:noProof/>
                  <w:lang w:val="en-US"/>
                </w:rPr>
              </w:pPr>
              <w:r>
                <w:rPr>
                  <w:noProof/>
                  <w:lang w:val="en-US"/>
                </w:rPr>
                <w:t xml:space="preserve">Putnam, J., Markovchick, K., Johnson, D. W., &amp; Johnson, R. T. (1996). Cooperative learning and peer acceptance of students with learning disabilities. </w:t>
              </w:r>
              <w:r>
                <w:rPr>
                  <w:i/>
                  <w:iCs/>
                  <w:noProof/>
                  <w:lang w:val="en-US"/>
                </w:rPr>
                <w:t>Journal of Social Psychology</w:t>
              </w:r>
              <w:r>
                <w:rPr>
                  <w:noProof/>
                  <w:lang w:val="en-US"/>
                </w:rPr>
                <w:t>, 741-752.</w:t>
              </w:r>
            </w:p>
            <w:p w:rsidR="00B30AFF" w:rsidRDefault="00B30AFF" w:rsidP="00B30AFF">
              <w:pPr>
                <w:pStyle w:val="Bibliography"/>
                <w:ind w:left="720" w:hanging="720"/>
                <w:rPr>
                  <w:noProof/>
                  <w:lang w:val="en-US"/>
                </w:rPr>
              </w:pPr>
              <w:r>
                <w:rPr>
                  <w:noProof/>
                  <w:lang w:val="en-US"/>
                </w:rPr>
                <w:t xml:space="preserve">Race, P. (2015). </w:t>
              </w:r>
              <w:r>
                <w:rPr>
                  <w:i/>
                  <w:iCs/>
                  <w:noProof/>
                  <w:lang w:val="en-US"/>
                </w:rPr>
                <w:t>Making Learning Happen.</w:t>
              </w:r>
              <w:r>
                <w:rPr>
                  <w:noProof/>
                  <w:lang w:val="en-US"/>
                </w:rPr>
                <w:t xml:space="preserve"> London: Sage.</w:t>
              </w:r>
            </w:p>
            <w:p w:rsidR="00B30AFF" w:rsidRDefault="00B30AFF" w:rsidP="00B30AFF">
              <w:pPr>
                <w:pStyle w:val="Bibliography"/>
                <w:ind w:left="720" w:hanging="720"/>
                <w:rPr>
                  <w:noProof/>
                  <w:lang w:val="en-US"/>
                </w:rPr>
              </w:pPr>
              <w:r>
                <w:rPr>
                  <w:noProof/>
                  <w:lang w:val="en-US"/>
                </w:rPr>
                <w:t xml:space="preserve">Rom, E. &amp;. (2003). ttachment the- ory and group processes: The association between attachment style and group-related representa- tions, goals, memories, and functioning. </w:t>
              </w:r>
              <w:r>
                <w:rPr>
                  <w:i/>
                  <w:iCs/>
                  <w:noProof/>
                  <w:lang w:val="en-US"/>
                </w:rPr>
                <w:t>ournal of Personality and Social Psychology</w:t>
              </w:r>
              <w:r>
                <w:rPr>
                  <w:noProof/>
                  <w:lang w:val="en-US"/>
                </w:rPr>
                <w:t>, 1020-1225.</w:t>
              </w:r>
            </w:p>
            <w:p w:rsidR="00B30AFF" w:rsidRDefault="00B30AFF" w:rsidP="00B30AFF">
              <w:pPr>
                <w:pStyle w:val="Bibliography"/>
                <w:ind w:left="720" w:hanging="720"/>
                <w:rPr>
                  <w:noProof/>
                  <w:lang w:val="en-US"/>
                </w:rPr>
              </w:pPr>
              <w:r>
                <w:rPr>
                  <w:noProof/>
                  <w:lang w:val="en-US"/>
                </w:rPr>
                <w:t xml:space="preserve">Sharan, Y. (1992). </w:t>
              </w:r>
              <w:r>
                <w:rPr>
                  <w:i/>
                  <w:iCs/>
                  <w:noProof/>
                  <w:lang w:val="en-US"/>
                </w:rPr>
                <w:t>Expanding Cooperative Learning Through Group Investigation.</w:t>
              </w:r>
              <w:r>
                <w:rPr>
                  <w:noProof/>
                  <w:lang w:val="en-US"/>
                </w:rPr>
                <w:t xml:space="preserve"> New York: Teachers College Press.</w:t>
              </w:r>
            </w:p>
            <w:p w:rsidR="00B30AFF" w:rsidRDefault="00B30AFF" w:rsidP="00B30AFF">
              <w:pPr>
                <w:pStyle w:val="Bibliography"/>
                <w:ind w:left="720" w:hanging="720"/>
                <w:rPr>
                  <w:noProof/>
                  <w:lang w:val="en-US"/>
                </w:rPr>
              </w:pPr>
              <w:r>
                <w:rPr>
                  <w:noProof/>
                  <w:lang w:val="en-US"/>
                </w:rPr>
                <w:t xml:space="preserve">Taylor, P., &amp; Pettit, J. (2001). Learning and Teaching participation through action research. </w:t>
              </w:r>
              <w:r>
                <w:rPr>
                  <w:i/>
                  <w:iCs/>
                  <w:noProof/>
                  <w:lang w:val="en-US"/>
                </w:rPr>
                <w:t>SAGE</w:t>
              </w:r>
              <w:r>
                <w:rPr>
                  <w:noProof/>
                  <w:lang w:val="en-US"/>
                </w:rPr>
                <w:t>, 231-247.</w:t>
              </w:r>
            </w:p>
            <w:p w:rsidR="00B30AFF" w:rsidRDefault="00B30AFF" w:rsidP="00B30AFF">
              <w:pPr>
                <w:pStyle w:val="Bibliography"/>
                <w:ind w:left="720" w:hanging="720"/>
                <w:rPr>
                  <w:noProof/>
                  <w:lang w:val="en-US"/>
                </w:rPr>
              </w:pPr>
              <w:r>
                <w:rPr>
                  <w:noProof/>
                  <w:lang w:val="en-US"/>
                </w:rPr>
                <w:t xml:space="preserve">Theobald, K., &amp; Mitchell, M. (2002). Mentoring: improving transition to practice. </w:t>
              </w:r>
              <w:r>
                <w:rPr>
                  <w:i/>
                  <w:iCs/>
                  <w:noProof/>
                  <w:lang w:val="en-US"/>
                </w:rPr>
                <w:t>Australian Journal of Advanced Nursing</w:t>
              </w:r>
              <w:r>
                <w:rPr>
                  <w:noProof/>
                  <w:lang w:val="en-US"/>
                </w:rPr>
                <w:t>, (1), 27-33.</w:t>
              </w:r>
            </w:p>
            <w:p w:rsidR="00B30AFF" w:rsidRDefault="00B30AFF" w:rsidP="00B30AFF">
              <w:pPr>
                <w:pStyle w:val="Bibliography"/>
                <w:ind w:left="720" w:hanging="720"/>
                <w:rPr>
                  <w:noProof/>
                  <w:lang w:val="en-US"/>
                </w:rPr>
              </w:pPr>
              <w:r>
                <w:rPr>
                  <w:noProof/>
                  <w:lang w:val="en-US"/>
                </w:rPr>
                <w:t xml:space="preserve">Webb, D. (2010). Paulo Freire and ' the need for a kind of education in hope'. </w:t>
              </w:r>
              <w:r>
                <w:rPr>
                  <w:i/>
                  <w:iCs/>
                  <w:noProof/>
                  <w:lang w:val="en-US"/>
                </w:rPr>
                <w:t>Cambridge Journal of Education</w:t>
              </w:r>
              <w:r>
                <w:rPr>
                  <w:noProof/>
                  <w:lang w:val="en-US"/>
                </w:rPr>
                <w:t>, 327-339.</w:t>
              </w:r>
            </w:p>
            <w:p w:rsidR="00B30AFF" w:rsidRDefault="00B30AFF" w:rsidP="00B30AFF">
              <w:pPr>
                <w:pStyle w:val="Bibliography"/>
                <w:ind w:left="720" w:hanging="720"/>
                <w:rPr>
                  <w:noProof/>
                  <w:lang w:val="en-US"/>
                </w:rPr>
              </w:pPr>
              <w:r>
                <w:rPr>
                  <w:noProof/>
                  <w:lang w:val="en-US"/>
                </w:rPr>
                <w:t xml:space="preserve">Wenger, E. (1998). Communities of practice: Learning, meaning and idendtity. </w:t>
              </w:r>
              <w:r>
                <w:rPr>
                  <w:i/>
                  <w:iCs/>
                  <w:noProof/>
                  <w:lang w:val="en-US"/>
                </w:rPr>
                <w:t>Journal of Mathematics Teacher Eductaion</w:t>
              </w:r>
              <w:r>
                <w:rPr>
                  <w:noProof/>
                  <w:lang w:val="en-US"/>
                </w:rPr>
                <w:t>, 185-194.</w:t>
              </w:r>
            </w:p>
            <w:p w:rsidR="00B30AFF" w:rsidRDefault="00B30AFF" w:rsidP="00B30AFF">
              <w:r>
                <w:rPr>
                  <w:b/>
                  <w:bCs/>
                  <w:noProof/>
                </w:rPr>
                <w:fldChar w:fldCharType="end"/>
              </w:r>
            </w:p>
          </w:sdtContent>
        </w:sdt>
      </w:sdtContent>
    </w:sdt>
    <w:p w:rsidR="00B30AFF" w:rsidRPr="00E1500B" w:rsidRDefault="00B30AFF" w:rsidP="00651E33">
      <w:pPr>
        <w:spacing w:line="480" w:lineRule="auto"/>
        <w:jc w:val="both"/>
        <w:rPr>
          <w:lang w:val="en-US"/>
        </w:rPr>
      </w:pPr>
    </w:p>
    <w:sectPr w:rsidR="00B30AFF" w:rsidRPr="00E1500B" w:rsidSect="00FF1FEA">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86D50" w:rsidRDefault="00086D50" w:rsidP="00E1500B">
      <w:r>
        <w:separator/>
      </w:r>
    </w:p>
  </w:endnote>
  <w:endnote w:type="continuationSeparator" w:id="0">
    <w:p w:rsidR="00086D50" w:rsidRDefault="00086D50" w:rsidP="00E150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2000500000000000000"/>
    <w:charset w:val="00"/>
    <w:family w:val="auto"/>
    <w:pitch w:val="variable"/>
    <w:sig w:usb0="00000003" w:usb1="00000000" w:usb2="00000000" w:usb3="00000000" w:csb0="0000000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86D50" w:rsidRDefault="00086D50" w:rsidP="00E1500B">
      <w:r>
        <w:separator/>
      </w:r>
    </w:p>
  </w:footnote>
  <w:footnote w:type="continuationSeparator" w:id="0">
    <w:p w:rsidR="00086D50" w:rsidRDefault="00086D50" w:rsidP="00E150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1500B" w:rsidRPr="00E1500B" w:rsidRDefault="00FF516A" w:rsidP="00FF516A">
    <w:pPr>
      <w:pStyle w:val="Header"/>
      <w:jc w:val="center"/>
      <w:rPr>
        <w:lang w:val="en-US"/>
      </w:rPr>
    </w:pPr>
    <w:r>
      <w:rPr>
        <w:lang w:val="en-US"/>
      </w:rPr>
      <w:t>Matthew Clement</w:t>
    </w:r>
    <w:r w:rsidRPr="00FF516A">
      <w:rPr>
        <w:lang w:val="en-US"/>
      </w:rPr>
      <w:ptab w:relativeTo="margin" w:alignment="center" w:leader="none"/>
    </w:r>
    <w:r>
      <w:rPr>
        <w:lang w:val="en-US"/>
      </w:rPr>
      <w:t xml:space="preserve">        </w:t>
    </w:r>
    <w:r>
      <w:rPr>
        <w:lang w:val="en-US"/>
      </w:rPr>
      <w:t>P0750349</w:t>
    </w:r>
    <w:r>
      <w:rPr>
        <w:lang w:val="en-US"/>
      </w:rPr>
      <w:t xml:space="preserve">                           Effective Teaching, Learning and Assessment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00B"/>
    <w:rsid w:val="00006256"/>
    <w:rsid w:val="00027955"/>
    <w:rsid w:val="000323BA"/>
    <w:rsid w:val="000325AA"/>
    <w:rsid w:val="00033B24"/>
    <w:rsid w:val="000711A3"/>
    <w:rsid w:val="00086D50"/>
    <w:rsid w:val="000A501B"/>
    <w:rsid w:val="000D6CF0"/>
    <w:rsid w:val="000F52F9"/>
    <w:rsid w:val="000F7B34"/>
    <w:rsid w:val="001201B4"/>
    <w:rsid w:val="0012468E"/>
    <w:rsid w:val="001A00DE"/>
    <w:rsid w:val="001E1A1F"/>
    <w:rsid w:val="001F17BE"/>
    <w:rsid w:val="00200767"/>
    <w:rsid w:val="0021518F"/>
    <w:rsid w:val="00263D62"/>
    <w:rsid w:val="002A7D77"/>
    <w:rsid w:val="002F13CA"/>
    <w:rsid w:val="002F5ACB"/>
    <w:rsid w:val="0035636C"/>
    <w:rsid w:val="00364AC1"/>
    <w:rsid w:val="003663BC"/>
    <w:rsid w:val="003E19BE"/>
    <w:rsid w:val="003E3292"/>
    <w:rsid w:val="0040578B"/>
    <w:rsid w:val="00427FBC"/>
    <w:rsid w:val="004658BA"/>
    <w:rsid w:val="004A4999"/>
    <w:rsid w:val="004C0669"/>
    <w:rsid w:val="004C3CD0"/>
    <w:rsid w:val="00512966"/>
    <w:rsid w:val="00562D49"/>
    <w:rsid w:val="00580E51"/>
    <w:rsid w:val="005C0C8C"/>
    <w:rsid w:val="00600A6A"/>
    <w:rsid w:val="006450EB"/>
    <w:rsid w:val="00651E33"/>
    <w:rsid w:val="0065456B"/>
    <w:rsid w:val="00665A06"/>
    <w:rsid w:val="006828C8"/>
    <w:rsid w:val="006972CD"/>
    <w:rsid w:val="006A46DD"/>
    <w:rsid w:val="006B4A8E"/>
    <w:rsid w:val="006C1B76"/>
    <w:rsid w:val="006C2CED"/>
    <w:rsid w:val="007044E4"/>
    <w:rsid w:val="007416DD"/>
    <w:rsid w:val="007B5C3C"/>
    <w:rsid w:val="007C14B9"/>
    <w:rsid w:val="007E107C"/>
    <w:rsid w:val="00802A6F"/>
    <w:rsid w:val="008056E1"/>
    <w:rsid w:val="0081043B"/>
    <w:rsid w:val="008536BF"/>
    <w:rsid w:val="008C04D9"/>
    <w:rsid w:val="008C1576"/>
    <w:rsid w:val="00912715"/>
    <w:rsid w:val="00987770"/>
    <w:rsid w:val="009B1006"/>
    <w:rsid w:val="009B6E1E"/>
    <w:rsid w:val="009E6D4A"/>
    <w:rsid w:val="009F70F0"/>
    <w:rsid w:val="00A34755"/>
    <w:rsid w:val="00A35C58"/>
    <w:rsid w:val="00A7605F"/>
    <w:rsid w:val="00A871B6"/>
    <w:rsid w:val="00AB4370"/>
    <w:rsid w:val="00AB6332"/>
    <w:rsid w:val="00AE4FA1"/>
    <w:rsid w:val="00B00126"/>
    <w:rsid w:val="00B30AFF"/>
    <w:rsid w:val="00B50C90"/>
    <w:rsid w:val="00BA3A25"/>
    <w:rsid w:val="00BB40B2"/>
    <w:rsid w:val="00BC5C30"/>
    <w:rsid w:val="00BD78C8"/>
    <w:rsid w:val="00BE6430"/>
    <w:rsid w:val="00BF35D2"/>
    <w:rsid w:val="00C45121"/>
    <w:rsid w:val="00C64FF2"/>
    <w:rsid w:val="00C946D4"/>
    <w:rsid w:val="00CE1C8C"/>
    <w:rsid w:val="00CF6BBA"/>
    <w:rsid w:val="00D83D9A"/>
    <w:rsid w:val="00DA62C0"/>
    <w:rsid w:val="00DE7A75"/>
    <w:rsid w:val="00E1500B"/>
    <w:rsid w:val="00E33954"/>
    <w:rsid w:val="00E351C9"/>
    <w:rsid w:val="00E47349"/>
    <w:rsid w:val="00E93A45"/>
    <w:rsid w:val="00EB4413"/>
    <w:rsid w:val="00EE7C15"/>
    <w:rsid w:val="00F35E03"/>
    <w:rsid w:val="00F74E5F"/>
    <w:rsid w:val="00F96E83"/>
    <w:rsid w:val="00FC0212"/>
    <w:rsid w:val="00FC5199"/>
    <w:rsid w:val="00FE2B04"/>
    <w:rsid w:val="00FF1FEA"/>
    <w:rsid w:val="00FF51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A265"/>
  <w14:defaultImageDpi w14:val="32767"/>
  <w15:chartTrackingRefBased/>
  <w15:docId w15:val="{CA26B15E-81BA-5442-83A7-49F943F9B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B6332"/>
  </w:style>
  <w:style w:type="paragraph" w:styleId="Heading1">
    <w:name w:val="heading 1"/>
    <w:basedOn w:val="Normal"/>
    <w:next w:val="Normal"/>
    <w:link w:val="Heading1Char"/>
    <w:uiPriority w:val="9"/>
    <w:qFormat/>
    <w:rsid w:val="00B30AF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500B"/>
    <w:pPr>
      <w:tabs>
        <w:tab w:val="center" w:pos="4513"/>
        <w:tab w:val="right" w:pos="9026"/>
      </w:tabs>
    </w:pPr>
  </w:style>
  <w:style w:type="character" w:customStyle="1" w:styleId="HeaderChar">
    <w:name w:val="Header Char"/>
    <w:basedOn w:val="DefaultParagraphFont"/>
    <w:link w:val="Header"/>
    <w:uiPriority w:val="99"/>
    <w:rsid w:val="00E1500B"/>
  </w:style>
  <w:style w:type="paragraph" w:styleId="Footer">
    <w:name w:val="footer"/>
    <w:basedOn w:val="Normal"/>
    <w:link w:val="FooterChar"/>
    <w:uiPriority w:val="99"/>
    <w:unhideWhenUsed/>
    <w:rsid w:val="00E1500B"/>
    <w:pPr>
      <w:tabs>
        <w:tab w:val="center" w:pos="4513"/>
        <w:tab w:val="right" w:pos="9026"/>
      </w:tabs>
    </w:pPr>
  </w:style>
  <w:style w:type="character" w:customStyle="1" w:styleId="FooterChar">
    <w:name w:val="Footer Char"/>
    <w:basedOn w:val="DefaultParagraphFont"/>
    <w:link w:val="Footer"/>
    <w:uiPriority w:val="99"/>
    <w:rsid w:val="00E1500B"/>
  </w:style>
  <w:style w:type="paragraph" w:styleId="NormalWeb">
    <w:name w:val="Normal (Web)"/>
    <w:basedOn w:val="Normal"/>
    <w:uiPriority w:val="99"/>
    <w:unhideWhenUsed/>
    <w:rsid w:val="005C0C8C"/>
    <w:pPr>
      <w:spacing w:before="100" w:beforeAutospacing="1" w:after="100" w:afterAutospacing="1"/>
    </w:pPr>
    <w:rPr>
      <w:rFonts w:ascii="Times New Roman" w:eastAsia="Times New Roman" w:hAnsi="Times New Roman" w:cs="Times New Roman"/>
      <w:lang w:eastAsia="en-GB"/>
    </w:rPr>
  </w:style>
  <w:style w:type="paragraph" w:customStyle="1" w:styleId="Body">
    <w:name w:val="Body"/>
    <w:rsid w:val="00CF6BBA"/>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eastAsia="en-GB"/>
    </w:rPr>
  </w:style>
  <w:style w:type="character" w:customStyle="1" w:styleId="Heading1Char">
    <w:name w:val="Heading 1 Char"/>
    <w:basedOn w:val="DefaultParagraphFont"/>
    <w:link w:val="Heading1"/>
    <w:uiPriority w:val="9"/>
    <w:rsid w:val="00B30AFF"/>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B30A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80122">
      <w:bodyDiv w:val="1"/>
      <w:marLeft w:val="0"/>
      <w:marRight w:val="0"/>
      <w:marTop w:val="0"/>
      <w:marBottom w:val="0"/>
      <w:divBdr>
        <w:top w:val="none" w:sz="0" w:space="0" w:color="auto"/>
        <w:left w:val="none" w:sz="0" w:space="0" w:color="auto"/>
        <w:bottom w:val="none" w:sz="0" w:space="0" w:color="auto"/>
        <w:right w:val="none" w:sz="0" w:space="0" w:color="auto"/>
      </w:divBdr>
    </w:div>
    <w:div w:id="25564135">
      <w:bodyDiv w:val="1"/>
      <w:marLeft w:val="0"/>
      <w:marRight w:val="0"/>
      <w:marTop w:val="0"/>
      <w:marBottom w:val="0"/>
      <w:divBdr>
        <w:top w:val="none" w:sz="0" w:space="0" w:color="auto"/>
        <w:left w:val="none" w:sz="0" w:space="0" w:color="auto"/>
        <w:bottom w:val="none" w:sz="0" w:space="0" w:color="auto"/>
        <w:right w:val="none" w:sz="0" w:space="0" w:color="auto"/>
      </w:divBdr>
    </w:div>
    <w:div w:id="49351069">
      <w:bodyDiv w:val="1"/>
      <w:marLeft w:val="0"/>
      <w:marRight w:val="0"/>
      <w:marTop w:val="0"/>
      <w:marBottom w:val="0"/>
      <w:divBdr>
        <w:top w:val="none" w:sz="0" w:space="0" w:color="auto"/>
        <w:left w:val="none" w:sz="0" w:space="0" w:color="auto"/>
        <w:bottom w:val="none" w:sz="0" w:space="0" w:color="auto"/>
        <w:right w:val="none" w:sz="0" w:space="0" w:color="auto"/>
      </w:divBdr>
    </w:div>
    <w:div w:id="167404253">
      <w:bodyDiv w:val="1"/>
      <w:marLeft w:val="0"/>
      <w:marRight w:val="0"/>
      <w:marTop w:val="0"/>
      <w:marBottom w:val="0"/>
      <w:divBdr>
        <w:top w:val="none" w:sz="0" w:space="0" w:color="auto"/>
        <w:left w:val="none" w:sz="0" w:space="0" w:color="auto"/>
        <w:bottom w:val="none" w:sz="0" w:space="0" w:color="auto"/>
        <w:right w:val="none" w:sz="0" w:space="0" w:color="auto"/>
      </w:divBdr>
    </w:div>
    <w:div w:id="180361540">
      <w:bodyDiv w:val="1"/>
      <w:marLeft w:val="0"/>
      <w:marRight w:val="0"/>
      <w:marTop w:val="0"/>
      <w:marBottom w:val="0"/>
      <w:divBdr>
        <w:top w:val="none" w:sz="0" w:space="0" w:color="auto"/>
        <w:left w:val="none" w:sz="0" w:space="0" w:color="auto"/>
        <w:bottom w:val="none" w:sz="0" w:space="0" w:color="auto"/>
        <w:right w:val="none" w:sz="0" w:space="0" w:color="auto"/>
      </w:divBdr>
    </w:div>
    <w:div w:id="280377727">
      <w:bodyDiv w:val="1"/>
      <w:marLeft w:val="0"/>
      <w:marRight w:val="0"/>
      <w:marTop w:val="0"/>
      <w:marBottom w:val="0"/>
      <w:divBdr>
        <w:top w:val="none" w:sz="0" w:space="0" w:color="auto"/>
        <w:left w:val="none" w:sz="0" w:space="0" w:color="auto"/>
        <w:bottom w:val="none" w:sz="0" w:space="0" w:color="auto"/>
        <w:right w:val="none" w:sz="0" w:space="0" w:color="auto"/>
      </w:divBdr>
    </w:div>
    <w:div w:id="306974854">
      <w:bodyDiv w:val="1"/>
      <w:marLeft w:val="0"/>
      <w:marRight w:val="0"/>
      <w:marTop w:val="0"/>
      <w:marBottom w:val="0"/>
      <w:divBdr>
        <w:top w:val="none" w:sz="0" w:space="0" w:color="auto"/>
        <w:left w:val="none" w:sz="0" w:space="0" w:color="auto"/>
        <w:bottom w:val="none" w:sz="0" w:space="0" w:color="auto"/>
        <w:right w:val="none" w:sz="0" w:space="0" w:color="auto"/>
      </w:divBdr>
    </w:div>
    <w:div w:id="320936136">
      <w:bodyDiv w:val="1"/>
      <w:marLeft w:val="0"/>
      <w:marRight w:val="0"/>
      <w:marTop w:val="0"/>
      <w:marBottom w:val="0"/>
      <w:divBdr>
        <w:top w:val="none" w:sz="0" w:space="0" w:color="auto"/>
        <w:left w:val="none" w:sz="0" w:space="0" w:color="auto"/>
        <w:bottom w:val="none" w:sz="0" w:space="0" w:color="auto"/>
        <w:right w:val="none" w:sz="0" w:space="0" w:color="auto"/>
      </w:divBdr>
    </w:div>
    <w:div w:id="333149470">
      <w:bodyDiv w:val="1"/>
      <w:marLeft w:val="0"/>
      <w:marRight w:val="0"/>
      <w:marTop w:val="0"/>
      <w:marBottom w:val="0"/>
      <w:divBdr>
        <w:top w:val="none" w:sz="0" w:space="0" w:color="auto"/>
        <w:left w:val="none" w:sz="0" w:space="0" w:color="auto"/>
        <w:bottom w:val="none" w:sz="0" w:space="0" w:color="auto"/>
        <w:right w:val="none" w:sz="0" w:space="0" w:color="auto"/>
      </w:divBdr>
    </w:div>
    <w:div w:id="334043213">
      <w:bodyDiv w:val="1"/>
      <w:marLeft w:val="0"/>
      <w:marRight w:val="0"/>
      <w:marTop w:val="0"/>
      <w:marBottom w:val="0"/>
      <w:divBdr>
        <w:top w:val="none" w:sz="0" w:space="0" w:color="auto"/>
        <w:left w:val="none" w:sz="0" w:space="0" w:color="auto"/>
        <w:bottom w:val="none" w:sz="0" w:space="0" w:color="auto"/>
        <w:right w:val="none" w:sz="0" w:space="0" w:color="auto"/>
      </w:divBdr>
    </w:div>
    <w:div w:id="335156837">
      <w:bodyDiv w:val="1"/>
      <w:marLeft w:val="0"/>
      <w:marRight w:val="0"/>
      <w:marTop w:val="0"/>
      <w:marBottom w:val="0"/>
      <w:divBdr>
        <w:top w:val="none" w:sz="0" w:space="0" w:color="auto"/>
        <w:left w:val="none" w:sz="0" w:space="0" w:color="auto"/>
        <w:bottom w:val="none" w:sz="0" w:space="0" w:color="auto"/>
        <w:right w:val="none" w:sz="0" w:space="0" w:color="auto"/>
      </w:divBdr>
    </w:div>
    <w:div w:id="344401726">
      <w:bodyDiv w:val="1"/>
      <w:marLeft w:val="0"/>
      <w:marRight w:val="0"/>
      <w:marTop w:val="0"/>
      <w:marBottom w:val="0"/>
      <w:divBdr>
        <w:top w:val="none" w:sz="0" w:space="0" w:color="auto"/>
        <w:left w:val="none" w:sz="0" w:space="0" w:color="auto"/>
        <w:bottom w:val="none" w:sz="0" w:space="0" w:color="auto"/>
        <w:right w:val="none" w:sz="0" w:space="0" w:color="auto"/>
      </w:divBdr>
    </w:div>
    <w:div w:id="564222622">
      <w:bodyDiv w:val="1"/>
      <w:marLeft w:val="0"/>
      <w:marRight w:val="0"/>
      <w:marTop w:val="0"/>
      <w:marBottom w:val="0"/>
      <w:divBdr>
        <w:top w:val="none" w:sz="0" w:space="0" w:color="auto"/>
        <w:left w:val="none" w:sz="0" w:space="0" w:color="auto"/>
        <w:bottom w:val="none" w:sz="0" w:space="0" w:color="auto"/>
        <w:right w:val="none" w:sz="0" w:space="0" w:color="auto"/>
      </w:divBdr>
    </w:div>
    <w:div w:id="598292387">
      <w:bodyDiv w:val="1"/>
      <w:marLeft w:val="0"/>
      <w:marRight w:val="0"/>
      <w:marTop w:val="0"/>
      <w:marBottom w:val="0"/>
      <w:divBdr>
        <w:top w:val="none" w:sz="0" w:space="0" w:color="auto"/>
        <w:left w:val="none" w:sz="0" w:space="0" w:color="auto"/>
        <w:bottom w:val="none" w:sz="0" w:space="0" w:color="auto"/>
        <w:right w:val="none" w:sz="0" w:space="0" w:color="auto"/>
      </w:divBdr>
    </w:div>
    <w:div w:id="616790536">
      <w:bodyDiv w:val="1"/>
      <w:marLeft w:val="0"/>
      <w:marRight w:val="0"/>
      <w:marTop w:val="0"/>
      <w:marBottom w:val="0"/>
      <w:divBdr>
        <w:top w:val="none" w:sz="0" w:space="0" w:color="auto"/>
        <w:left w:val="none" w:sz="0" w:space="0" w:color="auto"/>
        <w:bottom w:val="none" w:sz="0" w:space="0" w:color="auto"/>
        <w:right w:val="none" w:sz="0" w:space="0" w:color="auto"/>
      </w:divBdr>
    </w:div>
    <w:div w:id="625891465">
      <w:bodyDiv w:val="1"/>
      <w:marLeft w:val="0"/>
      <w:marRight w:val="0"/>
      <w:marTop w:val="0"/>
      <w:marBottom w:val="0"/>
      <w:divBdr>
        <w:top w:val="none" w:sz="0" w:space="0" w:color="auto"/>
        <w:left w:val="none" w:sz="0" w:space="0" w:color="auto"/>
        <w:bottom w:val="none" w:sz="0" w:space="0" w:color="auto"/>
        <w:right w:val="none" w:sz="0" w:space="0" w:color="auto"/>
      </w:divBdr>
    </w:div>
    <w:div w:id="643856611">
      <w:bodyDiv w:val="1"/>
      <w:marLeft w:val="0"/>
      <w:marRight w:val="0"/>
      <w:marTop w:val="0"/>
      <w:marBottom w:val="0"/>
      <w:divBdr>
        <w:top w:val="none" w:sz="0" w:space="0" w:color="auto"/>
        <w:left w:val="none" w:sz="0" w:space="0" w:color="auto"/>
        <w:bottom w:val="none" w:sz="0" w:space="0" w:color="auto"/>
        <w:right w:val="none" w:sz="0" w:space="0" w:color="auto"/>
      </w:divBdr>
    </w:div>
    <w:div w:id="676687925">
      <w:bodyDiv w:val="1"/>
      <w:marLeft w:val="0"/>
      <w:marRight w:val="0"/>
      <w:marTop w:val="0"/>
      <w:marBottom w:val="0"/>
      <w:divBdr>
        <w:top w:val="none" w:sz="0" w:space="0" w:color="auto"/>
        <w:left w:val="none" w:sz="0" w:space="0" w:color="auto"/>
        <w:bottom w:val="none" w:sz="0" w:space="0" w:color="auto"/>
        <w:right w:val="none" w:sz="0" w:space="0" w:color="auto"/>
      </w:divBdr>
    </w:div>
    <w:div w:id="693384081">
      <w:bodyDiv w:val="1"/>
      <w:marLeft w:val="0"/>
      <w:marRight w:val="0"/>
      <w:marTop w:val="0"/>
      <w:marBottom w:val="0"/>
      <w:divBdr>
        <w:top w:val="none" w:sz="0" w:space="0" w:color="auto"/>
        <w:left w:val="none" w:sz="0" w:space="0" w:color="auto"/>
        <w:bottom w:val="none" w:sz="0" w:space="0" w:color="auto"/>
        <w:right w:val="none" w:sz="0" w:space="0" w:color="auto"/>
      </w:divBdr>
    </w:div>
    <w:div w:id="714357424">
      <w:bodyDiv w:val="1"/>
      <w:marLeft w:val="0"/>
      <w:marRight w:val="0"/>
      <w:marTop w:val="0"/>
      <w:marBottom w:val="0"/>
      <w:divBdr>
        <w:top w:val="none" w:sz="0" w:space="0" w:color="auto"/>
        <w:left w:val="none" w:sz="0" w:space="0" w:color="auto"/>
        <w:bottom w:val="none" w:sz="0" w:space="0" w:color="auto"/>
        <w:right w:val="none" w:sz="0" w:space="0" w:color="auto"/>
      </w:divBdr>
    </w:div>
    <w:div w:id="722605118">
      <w:bodyDiv w:val="1"/>
      <w:marLeft w:val="0"/>
      <w:marRight w:val="0"/>
      <w:marTop w:val="0"/>
      <w:marBottom w:val="0"/>
      <w:divBdr>
        <w:top w:val="none" w:sz="0" w:space="0" w:color="auto"/>
        <w:left w:val="none" w:sz="0" w:space="0" w:color="auto"/>
        <w:bottom w:val="none" w:sz="0" w:space="0" w:color="auto"/>
        <w:right w:val="none" w:sz="0" w:space="0" w:color="auto"/>
      </w:divBdr>
    </w:div>
    <w:div w:id="741636606">
      <w:bodyDiv w:val="1"/>
      <w:marLeft w:val="0"/>
      <w:marRight w:val="0"/>
      <w:marTop w:val="0"/>
      <w:marBottom w:val="0"/>
      <w:divBdr>
        <w:top w:val="none" w:sz="0" w:space="0" w:color="auto"/>
        <w:left w:val="none" w:sz="0" w:space="0" w:color="auto"/>
        <w:bottom w:val="none" w:sz="0" w:space="0" w:color="auto"/>
        <w:right w:val="none" w:sz="0" w:space="0" w:color="auto"/>
      </w:divBdr>
    </w:div>
    <w:div w:id="778336117">
      <w:bodyDiv w:val="1"/>
      <w:marLeft w:val="0"/>
      <w:marRight w:val="0"/>
      <w:marTop w:val="0"/>
      <w:marBottom w:val="0"/>
      <w:divBdr>
        <w:top w:val="none" w:sz="0" w:space="0" w:color="auto"/>
        <w:left w:val="none" w:sz="0" w:space="0" w:color="auto"/>
        <w:bottom w:val="none" w:sz="0" w:space="0" w:color="auto"/>
        <w:right w:val="none" w:sz="0" w:space="0" w:color="auto"/>
      </w:divBdr>
    </w:div>
    <w:div w:id="830213780">
      <w:bodyDiv w:val="1"/>
      <w:marLeft w:val="0"/>
      <w:marRight w:val="0"/>
      <w:marTop w:val="0"/>
      <w:marBottom w:val="0"/>
      <w:divBdr>
        <w:top w:val="none" w:sz="0" w:space="0" w:color="auto"/>
        <w:left w:val="none" w:sz="0" w:space="0" w:color="auto"/>
        <w:bottom w:val="none" w:sz="0" w:space="0" w:color="auto"/>
        <w:right w:val="none" w:sz="0" w:space="0" w:color="auto"/>
      </w:divBdr>
    </w:div>
    <w:div w:id="849292972">
      <w:bodyDiv w:val="1"/>
      <w:marLeft w:val="0"/>
      <w:marRight w:val="0"/>
      <w:marTop w:val="0"/>
      <w:marBottom w:val="0"/>
      <w:divBdr>
        <w:top w:val="none" w:sz="0" w:space="0" w:color="auto"/>
        <w:left w:val="none" w:sz="0" w:space="0" w:color="auto"/>
        <w:bottom w:val="none" w:sz="0" w:space="0" w:color="auto"/>
        <w:right w:val="none" w:sz="0" w:space="0" w:color="auto"/>
      </w:divBdr>
    </w:div>
    <w:div w:id="878664682">
      <w:bodyDiv w:val="1"/>
      <w:marLeft w:val="0"/>
      <w:marRight w:val="0"/>
      <w:marTop w:val="0"/>
      <w:marBottom w:val="0"/>
      <w:divBdr>
        <w:top w:val="none" w:sz="0" w:space="0" w:color="auto"/>
        <w:left w:val="none" w:sz="0" w:space="0" w:color="auto"/>
        <w:bottom w:val="none" w:sz="0" w:space="0" w:color="auto"/>
        <w:right w:val="none" w:sz="0" w:space="0" w:color="auto"/>
      </w:divBdr>
    </w:div>
    <w:div w:id="892739158">
      <w:bodyDiv w:val="1"/>
      <w:marLeft w:val="0"/>
      <w:marRight w:val="0"/>
      <w:marTop w:val="0"/>
      <w:marBottom w:val="0"/>
      <w:divBdr>
        <w:top w:val="none" w:sz="0" w:space="0" w:color="auto"/>
        <w:left w:val="none" w:sz="0" w:space="0" w:color="auto"/>
        <w:bottom w:val="none" w:sz="0" w:space="0" w:color="auto"/>
        <w:right w:val="none" w:sz="0" w:space="0" w:color="auto"/>
      </w:divBdr>
    </w:div>
    <w:div w:id="914704469">
      <w:bodyDiv w:val="1"/>
      <w:marLeft w:val="0"/>
      <w:marRight w:val="0"/>
      <w:marTop w:val="0"/>
      <w:marBottom w:val="0"/>
      <w:divBdr>
        <w:top w:val="none" w:sz="0" w:space="0" w:color="auto"/>
        <w:left w:val="none" w:sz="0" w:space="0" w:color="auto"/>
        <w:bottom w:val="none" w:sz="0" w:space="0" w:color="auto"/>
        <w:right w:val="none" w:sz="0" w:space="0" w:color="auto"/>
      </w:divBdr>
    </w:div>
    <w:div w:id="953943614">
      <w:bodyDiv w:val="1"/>
      <w:marLeft w:val="0"/>
      <w:marRight w:val="0"/>
      <w:marTop w:val="0"/>
      <w:marBottom w:val="0"/>
      <w:divBdr>
        <w:top w:val="none" w:sz="0" w:space="0" w:color="auto"/>
        <w:left w:val="none" w:sz="0" w:space="0" w:color="auto"/>
        <w:bottom w:val="none" w:sz="0" w:space="0" w:color="auto"/>
        <w:right w:val="none" w:sz="0" w:space="0" w:color="auto"/>
      </w:divBdr>
    </w:div>
    <w:div w:id="969285453">
      <w:bodyDiv w:val="1"/>
      <w:marLeft w:val="0"/>
      <w:marRight w:val="0"/>
      <w:marTop w:val="0"/>
      <w:marBottom w:val="0"/>
      <w:divBdr>
        <w:top w:val="none" w:sz="0" w:space="0" w:color="auto"/>
        <w:left w:val="none" w:sz="0" w:space="0" w:color="auto"/>
        <w:bottom w:val="none" w:sz="0" w:space="0" w:color="auto"/>
        <w:right w:val="none" w:sz="0" w:space="0" w:color="auto"/>
      </w:divBdr>
    </w:div>
    <w:div w:id="986084358">
      <w:bodyDiv w:val="1"/>
      <w:marLeft w:val="0"/>
      <w:marRight w:val="0"/>
      <w:marTop w:val="0"/>
      <w:marBottom w:val="0"/>
      <w:divBdr>
        <w:top w:val="none" w:sz="0" w:space="0" w:color="auto"/>
        <w:left w:val="none" w:sz="0" w:space="0" w:color="auto"/>
        <w:bottom w:val="none" w:sz="0" w:space="0" w:color="auto"/>
        <w:right w:val="none" w:sz="0" w:space="0" w:color="auto"/>
      </w:divBdr>
    </w:div>
    <w:div w:id="1031372495">
      <w:bodyDiv w:val="1"/>
      <w:marLeft w:val="0"/>
      <w:marRight w:val="0"/>
      <w:marTop w:val="0"/>
      <w:marBottom w:val="0"/>
      <w:divBdr>
        <w:top w:val="none" w:sz="0" w:space="0" w:color="auto"/>
        <w:left w:val="none" w:sz="0" w:space="0" w:color="auto"/>
        <w:bottom w:val="none" w:sz="0" w:space="0" w:color="auto"/>
        <w:right w:val="none" w:sz="0" w:space="0" w:color="auto"/>
      </w:divBdr>
    </w:div>
    <w:div w:id="1038166165">
      <w:bodyDiv w:val="1"/>
      <w:marLeft w:val="0"/>
      <w:marRight w:val="0"/>
      <w:marTop w:val="0"/>
      <w:marBottom w:val="0"/>
      <w:divBdr>
        <w:top w:val="none" w:sz="0" w:space="0" w:color="auto"/>
        <w:left w:val="none" w:sz="0" w:space="0" w:color="auto"/>
        <w:bottom w:val="none" w:sz="0" w:space="0" w:color="auto"/>
        <w:right w:val="none" w:sz="0" w:space="0" w:color="auto"/>
      </w:divBdr>
    </w:div>
    <w:div w:id="1067142446">
      <w:bodyDiv w:val="1"/>
      <w:marLeft w:val="0"/>
      <w:marRight w:val="0"/>
      <w:marTop w:val="0"/>
      <w:marBottom w:val="0"/>
      <w:divBdr>
        <w:top w:val="none" w:sz="0" w:space="0" w:color="auto"/>
        <w:left w:val="none" w:sz="0" w:space="0" w:color="auto"/>
        <w:bottom w:val="none" w:sz="0" w:space="0" w:color="auto"/>
        <w:right w:val="none" w:sz="0" w:space="0" w:color="auto"/>
      </w:divBdr>
    </w:div>
    <w:div w:id="1119954587">
      <w:bodyDiv w:val="1"/>
      <w:marLeft w:val="0"/>
      <w:marRight w:val="0"/>
      <w:marTop w:val="0"/>
      <w:marBottom w:val="0"/>
      <w:divBdr>
        <w:top w:val="none" w:sz="0" w:space="0" w:color="auto"/>
        <w:left w:val="none" w:sz="0" w:space="0" w:color="auto"/>
        <w:bottom w:val="none" w:sz="0" w:space="0" w:color="auto"/>
        <w:right w:val="none" w:sz="0" w:space="0" w:color="auto"/>
      </w:divBdr>
    </w:div>
    <w:div w:id="1131821881">
      <w:bodyDiv w:val="1"/>
      <w:marLeft w:val="0"/>
      <w:marRight w:val="0"/>
      <w:marTop w:val="0"/>
      <w:marBottom w:val="0"/>
      <w:divBdr>
        <w:top w:val="none" w:sz="0" w:space="0" w:color="auto"/>
        <w:left w:val="none" w:sz="0" w:space="0" w:color="auto"/>
        <w:bottom w:val="none" w:sz="0" w:space="0" w:color="auto"/>
        <w:right w:val="none" w:sz="0" w:space="0" w:color="auto"/>
      </w:divBdr>
    </w:div>
    <w:div w:id="1181168264">
      <w:bodyDiv w:val="1"/>
      <w:marLeft w:val="0"/>
      <w:marRight w:val="0"/>
      <w:marTop w:val="0"/>
      <w:marBottom w:val="0"/>
      <w:divBdr>
        <w:top w:val="none" w:sz="0" w:space="0" w:color="auto"/>
        <w:left w:val="none" w:sz="0" w:space="0" w:color="auto"/>
        <w:bottom w:val="none" w:sz="0" w:space="0" w:color="auto"/>
        <w:right w:val="none" w:sz="0" w:space="0" w:color="auto"/>
      </w:divBdr>
    </w:div>
    <w:div w:id="1243876221">
      <w:bodyDiv w:val="1"/>
      <w:marLeft w:val="0"/>
      <w:marRight w:val="0"/>
      <w:marTop w:val="0"/>
      <w:marBottom w:val="0"/>
      <w:divBdr>
        <w:top w:val="none" w:sz="0" w:space="0" w:color="auto"/>
        <w:left w:val="none" w:sz="0" w:space="0" w:color="auto"/>
        <w:bottom w:val="none" w:sz="0" w:space="0" w:color="auto"/>
        <w:right w:val="none" w:sz="0" w:space="0" w:color="auto"/>
      </w:divBdr>
    </w:div>
    <w:div w:id="1248732087">
      <w:bodyDiv w:val="1"/>
      <w:marLeft w:val="0"/>
      <w:marRight w:val="0"/>
      <w:marTop w:val="0"/>
      <w:marBottom w:val="0"/>
      <w:divBdr>
        <w:top w:val="none" w:sz="0" w:space="0" w:color="auto"/>
        <w:left w:val="none" w:sz="0" w:space="0" w:color="auto"/>
        <w:bottom w:val="none" w:sz="0" w:space="0" w:color="auto"/>
        <w:right w:val="none" w:sz="0" w:space="0" w:color="auto"/>
      </w:divBdr>
    </w:div>
    <w:div w:id="1300722842">
      <w:bodyDiv w:val="1"/>
      <w:marLeft w:val="0"/>
      <w:marRight w:val="0"/>
      <w:marTop w:val="0"/>
      <w:marBottom w:val="0"/>
      <w:divBdr>
        <w:top w:val="none" w:sz="0" w:space="0" w:color="auto"/>
        <w:left w:val="none" w:sz="0" w:space="0" w:color="auto"/>
        <w:bottom w:val="none" w:sz="0" w:space="0" w:color="auto"/>
        <w:right w:val="none" w:sz="0" w:space="0" w:color="auto"/>
      </w:divBdr>
    </w:div>
    <w:div w:id="1331324967">
      <w:bodyDiv w:val="1"/>
      <w:marLeft w:val="0"/>
      <w:marRight w:val="0"/>
      <w:marTop w:val="0"/>
      <w:marBottom w:val="0"/>
      <w:divBdr>
        <w:top w:val="none" w:sz="0" w:space="0" w:color="auto"/>
        <w:left w:val="none" w:sz="0" w:space="0" w:color="auto"/>
        <w:bottom w:val="none" w:sz="0" w:space="0" w:color="auto"/>
        <w:right w:val="none" w:sz="0" w:space="0" w:color="auto"/>
      </w:divBdr>
      <w:divsChild>
        <w:div w:id="936520405">
          <w:marLeft w:val="0"/>
          <w:marRight w:val="0"/>
          <w:marTop w:val="0"/>
          <w:marBottom w:val="0"/>
          <w:divBdr>
            <w:top w:val="none" w:sz="0" w:space="0" w:color="auto"/>
            <w:left w:val="none" w:sz="0" w:space="0" w:color="auto"/>
            <w:bottom w:val="none" w:sz="0" w:space="0" w:color="auto"/>
            <w:right w:val="none" w:sz="0" w:space="0" w:color="auto"/>
          </w:divBdr>
          <w:divsChild>
            <w:div w:id="1776900190">
              <w:marLeft w:val="0"/>
              <w:marRight w:val="0"/>
              <w:marTop w:val="0"/>
              <w:marBottom w:val="0"/>
              <w:divBdr>
                <w:top w:val="none" w:sz="0" w:space="0" w:color="auto"/>
                <w:left w:val="none" w:sz="0" w:space="0" w:color="auto"/>
                <w:bottom w:val="none" w:sz="0" w:space="0" w:color="auto"/>
                <w:right w:val="none" w:sz="0" w:space="0" w:color="auto"/>
              </w:divBdr>
              <w:divsChild>
                <w:div w:id="1983386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760782">
      <w:bodyDiv w:val="1"/>
      <w:marLeft w:val="0"/>
      <w:marRight w:val="0"/>
      <w:marTop w:val="0"/>
      <w:marBottom w:val="0"/>
      <w:divBdr>
        <w:top w:val="none" w:sz="0" w:space="0" w:color="auto"/>
        <w:left w:val="none" w:sz="0" w:space="0" w:color="auto"/>
        <w:bottom w:val="none" w:sz="0" w:space="0" w:color="auto"/>
        <w:right w:val="none" w:sz="0" w:space="0" w:color="auto"/>
      </w:divBdr>
    </w:div>
    <w:div w:id="1486166697">
      <w:bodyDiv w:val="1"/>
      <w:marLeft w:val="0"/>
      <w:marRight w:val="0"/>
      <w:marTop w:val="0"/>
      <w:marBottom w:val="0"/>
      <w:divBdr>
        <w:top w:val="none" w:sz="0" w:space="0" w:color="auto"/>
        <w:left w:val="none" w:sz="0" w:space="0" w:color="auto"/>
        <w:bottom w:val="none" w:sz="0" w:space="0" w:color="auto"/>
        <w:right w:val="none" w:sz="0" w:space="0" w:color="auto"/>
      </w:divBdr>
    </w:div>
    <w:div w:id="1498305964">
      <w:bodyDiv w:val="1"/>
      <w:marLeft w:val="0"/>
      <w:marRight w:val="0"/>
      <w:marTop w:val="0"/>
      <w:marBottom w:val="0"/>
      <w:divBdr>
        <w:top w:val="none" w:sz="0" w:space="0" w:color="auto"/>
        <w:left w:val="none" w:sz="0" w:space="0" w:color="auto"/>
        <w:bottom w:val="none" w:sz="0" w:space="0" w:color="auto"/>
        <w:right w:val="none" w:sz="0" w:space="0" w:color="auto"/>
      </w:divBdr>
    </w:div>
    <w:div w:id="1524126009">
      <w:bodyDiv w:val="1"/>
      <w:marLeft w:val="0"/>
      <w:marRight w:val="0"/>
      <w:marTop w:val="0"/>
      <w:marBottom w:val="0"/>
      <w:divBdr>
        <w:top w:val="none" w:sz="0" w:space="0" w:color="auto"/>
        <w:left w:val="none" w:sz="0" w:space="0" w:color="auto"/>
        <w:bottom w:val="none" w:sz="0" w:space="0" w:color="auto"/>
        <w:right w:val="none" w:sz="0" w:space="0" w:color="auto"/>
      </w:divBdr>
      <w:divsChild>
        <w:div w:id="77488097">
          <w:marLeft w:val="0"/>
          <w:marRight w:val="0"/>
          <w:marTop w:val="0"/>
          <w:marBottom w:val="0"/>
          <w:divBdr>
            <w:top w:val="none" w:sz="0" w:space="0" w:color="auto"/>
            <w:left w:val="none" w:sz="0" w:space="0" w:color="auto"/>
            <w:bottom w:val="none" w:sz="0" w:space="0" w:color="auto"/>
            <w:right w:val="none" w:sz="0" w:space="0" w:color="auto"/>
          </w:divBdr>
          <w:divsChild>
            <w:div w:id="1396975952">
              <w:marLeft w:val="0"/>
              <w:marRight w:val="0"/>
              <w:marTop w:val="0"/>
              <w:marBottom w:val="0"/>
              <w:divBdr>
                <w:top w:val="none" w:sz="0" w:space="0" w:color="auto"/>
                <w:left w:val="none" w:sz="0" w:space="0" w:color="auto"/>
                <w:bottom w:val="none" w:sz="0" w:space="0" w:color="auto"/>
                <w:right w:val="none" w:sz="0" w:space="0" w:color="auto"/>
              </w:divBdr>
              <w:divsChild>
                <w:div w:id="1862276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2691183">
      <w:bodyDiv w:val="1"/>
      <w:marLeft w:val="0"/>
      <w:marRight w:val="0"/>
      <w:marTop w:val="0"/>
      <w:marBottom w:val="0"/>
      <w:divBdr>
        <w:top w:val="none" w:sz="0" w:space="0" w:color="auto"/>
        <w:left w:val="none" w:sz="0" w:space="0" w:color="auto"/>
        <w:bottom w:val="none" w:sz="0" w:space="0" w:color="auto"/>
        <w:right w:val="none" w:sz="0" w:space="0" w:color="auto"/>
      </w:divBdr>
    </w:div>
    <w:div w:id="1536623807">
      <w:bodyDiv w:val="1"/>
      <w:marLeft w:val="0"/>
      <w:marRight w:val="0"/>
      <w:marTop w:val="0"/>
      <w:marBottom w:val="0"/>
      <w:divBdr>
        <w:top w:val="none" w:sz="0" w:space="0" w:color="auto"/>
        <w:left w:val="none" w:sz="0" w:space="0" w:color="auto"/>
        <w:bottom w:val="none" w:sz="0" w:space="0" w:color="auto"/>
        <w:right w:val="none" w:sz="0" w:space="0" w:color="auto"/>
      </w:divBdr>
    </w:div>
    <w:div w:id="1549297324">
      <w:bodyDiv w:val="1"/>
      <w:marLeft w:val="0"/>
      <w:marRight w:val="0"/>
      <w:marTop w:val="0"/>
      <w:marBottom w:val="0"/>
      <w:divBdr>
        <w:top w:val="none" w:sz="0" w:space="0" w:color="auto"/>
        <w:left w:val="none" w:sz="0" w:space="0" w:color="auto"/>
        <w:bottom w:val="none" w:sz="0" w:space="0" w:color="auto"/>
        <w:right w:val="none" w:sz="0" w:space="0" w:color="auto"/>
      </w:divBdr>
    </w:div>
    <w:div w:id="1756198327">
      <w:bodyDiv w:val="1"/>
      <w:marLeft w:val="0"/>
      <w:marRight w:val="0"/>
      <w:marTop w:val="0"/>
      <w:marBottom w:val="0"/>
      <w:divBdr>
        <w:top w:val="none" w:sz="0" w:space="0" w:color="auto"/>
        <w:left w:val="none" w:sz="0" w:space="0" w:color="auto"/>
        <w:bottom w:val="none" w:sz="0" w:space="0" w:color="auto"/>
        <w:right w:val="none" w:sz="0" w:space="0" w:color="auto"/>
      </w:divBdr>
    </w:div>
    <w:div w:id="1841039963">
      <w:bodyDiv w:val="1"/>
      <w:marLeft w:val="0"/>
      <w:marRight w:val="0"/>
      <w:marTop w:val="0"/>
      <w:marBottom w:val="0"/>
      <w:divBdr>
        <w:top w:val="none" w:sz="0" w:space="0" w:color="auto"/>
        <w:left w:val="none" w:sz="0" w:space="0" w:color="auto"/>
        <w:bottom w:val="none" w:sz="0" w:space="0" w:color="auto"/>
        <w:right w:val="none" w:sz="0" w:space="0" w:color="auto"/>
      </w:divBdr>
    </w:div>
    <w:div w:id="1887523251">
      <w:bodyDiv w:val="1"/>
      <w:marLeft w:val="0"/>
      <w:marRight w:val="0"/>
      <w:marTop w:val="0"/>
      <w:marBottom w:val="0"/>
      <w:divBdr>
        <w:top w:val="none" w:sz="0" w:space="0" w:color="auto"/>
        <w:left w:val="none" w:sz="0" w:space="0" w:color="auto"/>
        <w:bottom w:val="none" w:sz="0" w:space="0" w:color="auto"/>
        <w:right w:val="none" w:sz="0" w:space="0" w:color="auto"/>
      </w:divBdr>
    </w:div>
    <w:div w:id="1896965095">
      <w:bodyDiv w:val="1"/>
      <w:marLeft w:val="0"/>
      <w:marRight w:val="0"/>
      <w:marTop w:val="0"/>
      <w:marBottom w:val="0"/>
      <w:divBdr>
        <w:top w:val="none" w:sz="0" w:space="0" w:color="auto"/>
        <w:left w:val="none" w:sz="0" w:space="0" w:color="auto"/>
        <w:bottom w:val="none" w:sz="0" w:space="0" w:color="auto"/>
        <w:right w:val="none" w:sz="0" w:space="0" w:color="auto"/>
      </w:divBdr>
    </w:div>
    <w:div w:id="1939367034">
      <w:bodyDiv w:val="1"/>
      <w:marLeft w:val="0"/>
      <w:marRight w:val="0"/>
      <w:marTop w:val="0"/>
      <w:marBottom w:val="0"/>
      <w:divBdr>
        <w:top w:val="none" w:sz="0" w:space="0" w:color="auto"/>
        <w:left w:val="none" w:sz="0" w:space="0" w:color="auto"/>
        <w:bottom w:val="none" w:sz="0" w:space="0" w:color="auto"/>
        <w:right w:val="none" w:sz="0" w:space="0" w:color="auto"/>
      </w:divBdr>
    </w:div>
    <w:div w:id="1978996090">
      <w:bodyDiv w:val="1"/>
      <w:marLeft w:val="0"/>
      <w:marRight w:val="0"/>
      <w:marTop w:val="0"/>
      <w:marBottom w:val="0"/>
      <w:divBdr>
        <w:top w:val="none" w:sz="0" w:space="0" w:color="auto"/>
        <w:left w:val="none" w:sz="0" w:space="0" w:color="auto"/>
        <w:bottom w:val="none" w:sz="0" w:space="0" w:color="auto"/>
        <w:right w:val="none" w:sz="0" w:space="0" w:color="auto"/>
      </w:divBdr>
    </w:div>
    <w:div w:id="1989937519">
      <w:bodyDiv w:val="1"/>
      <w:marLeft w:val="0"/>
      <w:marRight w:val="0"/>
      <w:marTop w:val="0"/>
      <w:marBottom w:val="0"/>
      <w:divBdr>
        <w:top w:val="none" w:sz="0" w:space="0" w:color="auto"/>
        <w:left w:val="none" w:sz="0" w:space="0" w:color="auto"/>
        <w:bottom w:val="none" w:sz="0" w:space="0" w:color="auto"/>
        <w:right w:val="none" w:sz="0" w:space="0" w:color="auto"/>
      </w:divBdr>
    </w:div>
    <w:div w:id="2020429229">
      <w:bodyDiv w:val="1"/>
      <w:marLeft w:val="0"/>
      <w:marRight w:val="0"/>
      <w:marTop w:val="0"/>
      <w:marBottom w:val="0"/>
      <w:divBdr>
        <w:top w:val="none" w:sz="0" w:space="0" w:color="auto"/>
        <w:left w:val="none" w:sz="0" w:space="0" w:color="auto"/>
        <w:bottom w:val="none" w:sz="0" w:space="0" w:color="auto"/>
        <w:right w:val="none" w:sz="0" w:space="0" w:color="auto"/>
      </w:divBdr>
    </w:div>
    <w:div w:id="2094549699">
      <w:bodyDiv w:val="1"/>
      <w:marLeft w:val="0"/>
      <w:marRight w:val="0"/>
      <w:marTop w:val="0"/>
      <w:marBottom w:val="0"/>
      <w:divBdr>
        <w:top w:val="none" w:sz="0" w:space="0" w:color="auto"/>
        <w:left w:val="none" w:sz="0" w:space="0" w:color="auto"/>
        <w:bottom w:val="none" w:sz="0" w:space="0" w:color="auto"/>
        <w:right w:val="none" w:sz="0" w:space="0" w:color="auto"/>
      </w:divBdr>
    </w:div>
    <w:div w:id="2117672509">
      <w:bodyDiv w:val="1"/>
      <w:marLeft w:val="0"/>
      <w:marRight w:val="0"/>
      <w:marTop w:val="0"/>
      <w:marBottom w:val="0"/>
      <w:divBdr>
        <w:top w:val="none" w:sz="0" w:space="0" w:color="auto"/>
        <w:left w:val="none" w:sz="0" w:space="0" w:color="auto"/>
        <w:bottom w:val="none" w:sz="0" w:space="0" w:color="auto"/>
        <w:right w:val="none" w:sz="0" w:space="0" w:color="auto"/>
      </w:divBdr>
    </w:div>
    <w:div w:id="2124880082">
      <w:bodyDiv w:val="1"/>
      <w:marLeft w:val="0"/>
      <w:marRight w:val="0"/>
      <w:marTop w:val="0"/>
      <w:marBottom w:val="0"/>
      <w:divBdr>
        <w:top w:val="none" w:sz="0" w:space="0" w:color="auto"/>
        <w:left w:val="none" w:sz="0" w:space="0" w:color="auto"/>
        <w:bottom w:val="none" w:sz="0" w:space="0" w:color="auto"/>
        <w:right w:val="none" w:sz="0" w:space="0" w:color="auto"/>
      </w:divBdr>
    </w:div>
    <w:div w:id="2141875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2000500000000000000"/>
    <w:charset w:val="00"/>
    <w:family w:val="auto"/>
    <w:pitch w:val="variable"/>
    <w:sig w:usb0="00000003" w:usb1="00000000" w:usb2="00000000" w:usb3="00000000" w:csb0="00000007"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003"/>
    <w:rsid w:val="000934B6"/>
    <w:rsid w:val="002420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D35F3B23B248941A277C8EE703D74F1">
    <w:name w:val="FD35F3B23B248941A277C8EE703D74F1"/>
    <w:rsid w:val="0024200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
  <b:Source>
    <b:Tag>Era94</b:Tag>
    <b:SourceType>Book</b:SourceType>
    <b:Guid>{48D0E1E6-3D01-774D-8CD3-09C4D4024FFE}</b:Guid>
    <b:Title>Enhancing Teacher Competency of Graduate Teacher Trainees through Metacognitive Intervention Strategies</b:Title>
    <b:Year>1994</b:Year>
    <b:Author>
      <b:Author>
        <b:NameList>
          <b:Person>
            <b:Last>Eraut</b:Last>
            <b:First>M</b:First>
          </b:Person>
        </b:NameList>
      </b:Author>
    </b:Author>
    <b:City>London</b:City>
    <b:Publisher>The Falmer Press</b:Publisher>
    <b:RefOrder>9</b:RefOrder>
  </b:Source>
  <b:Source>
    <b:Tag>Web10</b:Tag>
    <b:SourceType>JournalArticle</b:SourceType>
    <b:Guid>{AC090F76-3F93-9742-833E-A31DEC8D6A5C}</b:Guid>
    <b:Title>Paulo Freire and ' the need for a kind of education in hope'</b:Title>
    <b:Year>2010</b:Year>
    <b:Author>
      <b:Author>
        <b:NameList>
          <b:Person>
            <b:Last>Webb</b:Last>
            <b:First>D</b:First>
          </b:Person>
        </b:NameList>
      </b:Author>
    </b:Author>
    <b:JournalName>Cambridge Journal of Education</b:JournalName>
    <b:Pages>327-339</b:Pages>
    <b:RefOrder>10</b:RefOrder>
  </b:Source>
  <b:Source>
    <b:Tag>Tay01</b:Tag>
    <b:SourceType>JournalArticle</b:SourceType>
    <b:Guid>{CE47D5DD-161B-AD4A-9A20-81F8EF6887AD}</b:Guid>
    <b:Title>Learning and Teaching participation through action research</b:Title>
    <b:JournalName>SAGE</b:JournalName>
    <b:Year>2001</b:Year>
    <b:Pages>231-247</b:Pages>
    <b:Author>
      <b:Author>
        <b:NameList>
          <b:Person>
            <b:Last>Taylor</b:Last>
            <b:First>P</b:First>
          </b:Person>
          <b:Person>
            <b:Last>Pettit</b:Last>
            <b:First>J</b:First>
          </b:Person>
        </b:NameList>
      </b:Author>
    </b:Author>
    <b:RefOrder>12</b:RefOrder>
  </b:Source>
  <b:Source>
    <b:Tag>Wen98</b:Tag>
    <b:SourceType>JournalArticle</b:SourceType>
    <b:Guid>{A033A3BA-E707-B94E-B430-9C6DE6041B68}</b:Guid>
    <b:Title>Communities of practice: Learning, meaning and idendtity</b:Title>
    <b:Year>1998</b:Year>
    <b:Author>
      <b:Author>
        <b:NameList>
          <b:Person>
            <b:Last>Wenger</b:Last>
            <b:First>E</b:First>
          </b:Person>
        </b:NameList>
      </b:Author>
    </b:Author>
    <b:JournalName>Journal of Mathematics Teacher Eductaion</b:JournalName>
    <b:Pages>185-194</b:Pages>
    <b:RefOrder>17</b:RefOrder>
  </b:Source>
  <b:Source>
    <b:Tag>And95</b:Tag>
    <b:SourceType>JournalArticle</b:SourceType>
    <b:Guid>{54FF16A1-34AE-F34A-8809-E0E75FEC7DAA}</b:Guid>
    <b:Title>Using self-assessment as a reflective tool to enhance the student teaching experience</b:Title>
    <b:JournalName>Teacher Education Quarterly</b:JournalName>
    <b:Year>1995</b:Year>
    <b:Pages>77-91</b:Pages>
    <b:Author>
      <b:Author>
        <b:NameList>
          <b:Person>
            <b:Last>Anderson</b:Last>
            <b:Middle>B</b:Middle>
            <b:First>J</b:First>
          </b:Person>
          <b:Person>
            <b:Last>Freiberg</b:Last>
            <b:Middle>J</b:Middle>
            <b:First>H</b:First>
          </b:Person>
        </b:NameList>
      </b:Author>
    </b:Author>
    <b:RefOrder>35</b:RefOrder>
  </b:Source>
  <b:Source>
    <b:Tag>Mos06</b:Tag>
    <b:SourceType>Book</b:SourceType>
    <b:Guid>{FCC721CB-9E56-1A48-89ED-F1C3D0C28661}</b:Guid>
    <b:Title>Step-by-Step Guide to Circle Time for SEAL </b:Title>
    <b:Year>2006</b:Year>
    <b:City>Trowbridge</b:City>
    <b:Publisher>Positive press</b:Publisher>
    <b:Author>
      <b:Author>
        <b:NameList>
          <b:Person>
            <b:Last>Mosley</b:Last>
            <b:First>J</b:First>
          </b:Person>
        </b:NameList>
      </b:Author>
    </b:Author>
    <b:RefOrder>1</b:RefOrder>
  </b:Source>
  <b:Source>
    <b:Tag>Ill15</b:Tag>
    <b:SourceType>JournalArticle</b:SourceType>
    <b:Guid>{5E99FE52-B4FE-3D4D-81EC-26383FBA06A4}</b:Guid>
    <b:Title>Transformative Learning in Higher Education</b:Title>
    <b:Year>2015</b:Year>
    <b:JournalName>Journal of Transformative Learning</b:JournalName>
    <b:Pages>3(1), 46-51</b:Pages>
    <b:Author>
      <b:Author>
        <b:NameList>
          <b:Person>
            <b:Last>Illeris</b:Last>
            <b:First>K</b:First>
          </b:Person>
        </b:NameList>
      </b:Author>
    </b:Author>
    <b:RefOrder>2</b:RefOrder>
  </b:Source>
  <b:Source>
    <b:Tag>Rac15</b:Tag>
    <b:SourceType>Book</b:SourceType>
    <b:Guid>{754A810D-C91C-1047-9F1D-30E85225CDFA}</b:Guid>
    <b:Title>Making Learning Happen</b:Title>
    <b:Year>2015</b:Year>
    <b:Author>
      <b:Author>
        <b:NameList>
          <b:Person>
            <b:Last>Race</b:Last>
            <b:First>P</b:First>
          </b:Person>
        </b:NameList>
      </b:Author>
    </b:Author>
    <b:City>London</b:City>
    <b:Publisher>Sage</b:Publisher>
    <b:RefOrder>3</b:RefOrder>
  </b:Source>
  <b:Source>
    <b:Tag>Lew52</b:Tag>
    <b:SourceType>Book</b:SourceType>
    <b:Guid>{CFD05EC5-7F78-964B-A007-36775473AF9B}</b:Guid>
    <b:Title>Field theory in social science: Selected theoretical papers by Kurt Lewin</b:Title>
    <b:City>London</b:City>
    <b:Publisher>Tavistock</b:Publisher>
    <b:Year>1952</b:Year>
    <b:Author>
      <b:Author>
        <b:NameList>
          <b:Person>
            <b:Last>Lewin</b:Last>
            <b:First>K</b:First>
          </b:Person>
        </b:NameList>
      </b:Author>
    </b:Author>
    <b:RefOrder>4</b:RefOrder>
  </b:Source>
  <b:Source>
    <b:Tag>Kol84</b:Tag>
    <b:SourceType>Book</b:SourceType>
    <b:Guid>{3800364B-06EE-DB4F-BEB2-F46F47CCB26B}</b:Guid>
    <b:Title>Experiential Learning: Experience as the Source of Learning and Development</b:Title>
    <b:City>New Jersey: Englwood Cliffs</b:City>
    <b:Publisher>Prentice- Hall</b:Publisher>
    <b:Year>1984</b:Year>
    <b:Author>
      <b:Author>
        <b:NameList>
          <b:Person>
            <b:Last>Kolb</b:Last>
            <b:First>D</b:First>
          </b:Person>
        </b:NameList>
      </b:Author>
    </b:Author>
    <b:RefOrder>5</b:RefOrder>
  </b:Source>
  <b:Source>
    <b:Tag>Bai14</b:Tag>
    <b:SourceType>JournalArticle</b:SourceType>
    <b:Guid>{1254B772-5C23-9745-A041-85DF76B61E55}</b:Guid>
    <b:Title>The challenges of implementing group work in primary school classrooms and including pupils with special educational needs</b:Title>
    <b:Year>2014</b:Year>
    <b:JournalName>International Journal of Primary, Elementary and Early Years Education</b:JournalName>
    <b:Pages>43:1, 15-29</b:Pages>
    <b:Author>
      <b:Author>
        <b:NameList>
          <b:Person>
            <b:Last>Baines</b:Last>
            <b:First>E</b:First>
          </b:Person>
          <b:Person>
            <b:Last>Blatchford</b:Last>
            <b:First>P</b:First>
          </b:Person>
          <b:Person>
            <b:Last>Webster</b:Last>
            <b:First>R</b:First>
          </b:Person>
        </b:NameList>
      </b:Author>
    </b:Author>
    <b:RefOrder>6</b:RefOrder>
  </b:Source>
  <b:Source>
    <b:Tag>Kno84</b:Tag>
    <b:SourceType>Book</b:SourceType>
    <b:Guid>{10623863-2543-5F4E-8369-DC4E4102DCB9}</b:Guid>
    <b:Title>The Adult Learner: A Neglected Species (3rd Ed.)</b:Title>
    <b:Year>1984</b:Year>
    <b:Author>
      <b:Author>
        <b:NameList>
          <b:Person>
            <b:Last>Knowles</b:Last>
            <b:First>M</b:First>
          </b:Person>
        </b:NameList>
      </b:Author>
    </b:Author>
    <b:City>Houston: TX</b:City>
    <b:Publisher>Gulf Publishing</b:Publisher>
    <b:RefOrder>7</b:RefOrder>
  </b:Source>
  <b:Source>
    <b:Tag>Gib881</b:Tag>
    <b:SourceType>Book</b:SourceType>
    <b:Guid>{6B8BE9E4-0F33-9B4E-9D49-D1190AEE87D3}</b:Guid>
    <b:Title>Learning by doing: a guide to teaching and learning methods</b:Title>
    <b:City>Oxford</b:City>
    <b:Publisher>Further Education Unit, Oxford Polyetechnic</b:Publisher>
    <b:Year>1988</b:Year>
    <b:Author>
      <b:Author>
        <b:NameList>
          <b:Person>
            <b:Last>Gibbs</b:Last>
            <b:First>G</b:First>
          </b:Person>
        </b:NameList>
      </b:Author>
    </b:Author>
    <b:RefOrder>8</b:RefOrder>
  </b:Source>
  <b:Source>
    <b:Tag>Freum</b:Tag>
    <b:SourceType>Book</b:SourceType>
    <b:Guid>{9CC880E9-FF6A-DE4C-9CA3-9A0D98B9D2F8}</b:Guid>
    <b:Title>Pedagogy of Hope</b:Title>
    <b:City>New York</b:City>
    <b:Publisher>Continuum</b:Publisher>
    <b:Year>1994</b:Year>
    <b:Author>
      <b:Author>
        <b:NameList>
          <b:Person>
            <b:Last>Freire</b:Last>
            <b:First>P</b:First>
          </b:Person>
        </b:NameList>
      </b:Author>
    </b:Author>
    <b:RefOrder>11</b:RefOrder>
  </b:Source>
  <b:Source>
    <b:Tag>Blo98</b:Tag>
    <b:SourceType>JournalArticle</b:SourceType>
    <b:Guid>{BC638D99-87DA-DB4F-BA96-57B29768DA55}</b:Guid>
    <b:Title>The importance of mentoring in the development of coaches and athletes</b:Title>
    <b:Year>1998</b:Year>
    <b:JournalName>International Journal of Sport Psychology</b:JournalName>
    <b:Pages>29, 267-281</b:Pages>
    <b:Author>
      <b:Author>
        <b:NameList>
          <b:Person>
            <b:Last>Bloom</b:Last>
            <b:Middle>A</b:Middle>
            <b:First>G</b:First>
          </b:Person>
          <b:Person>
            <b:Last>Bush</b:Last>
            <b:Middle>D</b:Middle>
            <b:First>N</b:First>
          </b:Person>
          <b:Person>
            <b:Last>Schinke</b:Last>
            <b:First>R</b:First>
          </b:Person>
          <b:Person>
            <b:Last>Salmela</b:Last>
            <b:Middle>H</b:Middle>
            <b:First>J</b:First>
          </b:Person>
        </b:NameList>
      </b:Author>
    </b:Author>
    <b:RefOrder>13</b:RefOrder>
  </b:Source>
  <b:Source>
    <b:Tag>Jas031</b:Tag>
    <b:SourceType>JournalArticle</b:SourceType>
    <b:Guid>{53CD8CBC-18FC-4349-BEC0-A98EC6F005A6}</b:Guid>
    <b:Title>Beginning Reflective Practice</b:Title>
    <b:JournalName>British Journal of Anaesthetic and Recovery Nursing</b:JournalName>
    <b:Year>2003</b:Year>
    <b:Pages>4: 217-245</b:Pages>
    <b:Author>
      <b:Author>
        <b:NameList>
          <b:Person>
            <b:Last>Jasper</b:Last>
            <b:First>M</b:First>
          </b:Person>
        </b:NameList>
      </b:Author>
    </b:Author>
    <b:RefOrder>14</b:RefOrder>
  </b:Source>
  <b:Source>
    <b:Tag>Jul09</b:Tag>
    <b:SourceType>JournalArticle</b:SourceType>
    <b:Guid>{51B7AE2C-BA98-284C-856B-0C0B7C3FE63B}</b:Guid>
    <b:Title>Delivering a learning disability education programme in India</b:Title>
    <b:JournalName>Learning Disability and Practice</b:JournalName>
    <b:Year>2009</b:Year>
    <b:Pages>12, 9,21-25</b:Pages>
    <b:Author>
      <b:Author>
        <b:NameList>
          <b:Person>
            <b:Last>Jules</b:Last>
            <b:First>M</b:First>
          </b:Person>
          <b:Person>
            <b:Last>Vassel</b:Last>
            <b:Middle>A</b:Middle>
            <b:First>N</b:First>
          </b:Person>
        </b:NameList>
      </b:Author>
    </b:Author>
    <b:RefOrder>15</b:RefOrder>
  </b:Source>
  <b:Source>
    <b:Tag>Bul13</b:Tag>
    <b:SourceType>Book</b:SourceType>
    <b:Guid>{C0855F11-4936-DD48-8758-6B4B73606464}</b:Guid>
    <b:Title>Reflective Practice in Nursing 5th ed</b:Title>
    <b:City>Oxford</b:City>
    <b:Publisher>Wiley-Blackwell</b:Publisher>
    <b:Year>20013</b:Year>
    <b:Author>
      <b:Author>
        <b:NameList>
          <b:Person>
            <b:Last>Bulman</b:Last>
            <b:First>C</b:First>
          </b:Person>
          <b:Person>
            <b:Last>Schutz</b:Last>
            <b:First>S</b:First>
          </b:Person>
        </b:NameList>
      </b:Author>
    </b:Author>
    <b:RefOrder>16</b:RefOrder>
  </b:Source>
  <b:Source>
    <b:Tag>Jon09</b:Tag>
    <b:SourceType>JournalArticle</b:SourceType>
    <b:Guid>{8A4844CF-9992-C743-AFD7-F61D30B17888}</b:Guid>
    <b:Title>Mentoring in sports coaching: A review of the literature</b:Title>
    <b:Year>2009</b:Year>
    <b:Author>
      <b:Author>
        <b:NameList>
          <b:Person>
            <b:Last>Jones</b:Last>
            <b:Middle>L</b:Middle>
            <b:First>R</b:First>
          </b:Person>
          <b:Person>
            <b:Last>Harris</b:Last>
            <b:First>R</b:First>
          </b:Person>
          <b:Person>
            <b:Last>Miles</b:Last>
            <b:First>A</b:First>
          </b:Person>
        </b:NameList>
      </b:Author>
    </b:Author>
    <b:JournalName>Physical Education and Sport Pedagogy</b:JournalName>
    <b:Pages>14(3), 267-284</b:Pages>
    <b:RefOrder>18</b:RefOrder>
  </b:Source>
  <b:Source>
    <b:Tag>Fle001</b:Tag>
    <b:SourceType>Book</b:SourceType>
    <b:Guid>{34D271D1-DACD-784F-AB44-E79CFB444B80}</b:Guid>
    <b:Title>Mentoring In Schools</b:Title>
    <b:City>London</b:City>
    <b:Publisher>Wiley</b:Publisher>
    <b:Year>2000</b:Year>
    <b:Author>
      <b:Author>
        <b:NameList>
          <b:Person>
            <b:Last>Fletcher</b:Last>
            <b:Middle>J</b:Middle>
            <b:First>S</b:First>
          </b:Person>
        </b:NameList>
      </b:Author>
    </b:Author>
    <b:RefOrder>19</b:RefOrder>
  </b:Source>
  <b:Source>
    <b:Tag>All84</b:Tag>
    <b:SourceType>JournalArticle</b:SourceType>
    <b:Guid>{AD45704F-B60E-5E4F-A2DC-4C9938F98062}</b:Guid>
    <b:Author>
      <b:Author>
        <b:NameList>
          <b:Person>
            <b:Last>Alleman</b:Last>
            <b:First>E.</b:First>
            <b:Middle>Cochran, J. Doverspike, J. and Newman, I.</b:Middle>
          </b:Person>
        </b:NameList>
      </b:Author>
    </b:Author>
    <b:Title>Enriching mentoring relationships</b:Title>
    <b:Year>1984</b:Year>
    <b:JournalName>The Personnel and Guidance Journal</b:JournalName>
    <b:Pages>329-332</b:Pages>
    <b:RefOrder>21</b:RefOrder>
  </b:Source>
  <b:Source>
    <b:Tag>Mer84</b:Tag>
    <b:SourceType>JournalArticle</b:SourceType>
    <b:Guid>{C9224039-E114-904E-9183-C6DBAF2E00EA}</b:Guid>
    <b:Title>Mentors and protégés: A critical review of the literature</b:Title>
    <b:JournalName>Adult Education Quarterly</b:JournalName>
    <b:Year>1984</b:Year>
    <b:Pages>33, 161-173.</b:Pages>
    <b:Author>
      <b:Author>
        <b:NameList>
          <b:Person>
            <b:Last>Merriam</b:Last>
            <b:Middle>B</b:Middle>
            <b:First>S</b:First>
          </b:Person>
        </b:NameList>
      </b:Author>
    </b:Author>
    <b:RefOrder>20</b:RefOrder>
  </b:Source>
  <b:Source>
    <b:Tag>Jon091</b:Tag>
    <b:SourceType>JournalArticle</b:SourceType>
    <b:Guid>{07967320-E364-D24F-BDA6-CD14E40CF6E7}</b:Guid>
    <b:Title>Mentoring in the Milky Way – reviewing the constellations of relationships</b:Title>
    <b:JournalName>The International Journal of Mentoring and Coaching</b:JournalName>
    <b:Year>2009</b:Year>
    <b:Pages>7, 2, 3-24</b:Pages>
    <b:Author>
      <b:Author>
        <b:NameList>
          <b:Person>
            <b:Last>Jones</b:Last>
            <b:First>J</b:First>
          </b:Person>
        </b:NameList>
      </b:Author>
    </b:Author>
    <b:RefOrder>22</b:RefOrder>
  </b:Source>
  <b:Source>
    <b:Tag>And99</b:Tag>
    <b:SourceType>JournalArticle</b:SourceType>
    <b:Guid>{B6151ADA-0B2E-E649-BE5B-02F29E2C8E12}</b:Guid>
    <b:Title>Mentorship in nursing: a literature review</b:Title>
    <b:JournalName>Journal of Midwifery and Womens Health </b:JournalName>
    <b:Year>1999</b:Year>
    <b:Pages>201-207</b:Pages>
    <b:Author>
      <b:Author>
        <b:NameList>
          <b:Person>
            <b:Last>Andrews</b:Last>
            <b:First>M</b:First>
          </b:Person>
          <b:Person>
            <b:Last>Wallis</b:Last>
            <b:First>M</b:First>
          </b:Person>
        </b:NameList>
      </b:Author>
    </b:Author>
    <b:RefOrder>23</b:RefOrder>
  </b:Source>
  <b:Source>
    <b:Tag>The02</b:Tag>
    <b:SourceType>JournalArticle</b:SourceType>
    <b:Guid>{ABABB482-C3BF-FF45-ACD8-B8CCF4B10D19}</b:Guid>
    <b:Title>Mentoring: improving transition to practice</b:Title>
    <b:JournalName>Australian Journal of Advanced Nursing</b:JournalName>
    <b:Year>2002</b:Year>
    <b:Pages>(1), 27-33</b:Pages>
    <b:Author>
      <b:Author>
        <b:NameList>
          <b:Person>
            <b:Last>Theobald</b:Last>
            <b:First>K</b:First>
          </b:Person>
          <b:Person>
            <b:Last>Mitchell</b:Last>
            <b:First>M</b:First>
          </b:Person>
        </b:NameList>
      </b:Author>
    </b:Author>
    <b:RefOrder>24</b:RefOrder>
  </b:Source>
  <b:Source>
    <b:Tag>Pfa03</b:Tag>
    <b:SourceType>JournalArticle</b:SourceType>
    <b:Guid>{56900FC5-5D49-5F4E-B784-9A7BBB4A8C2D}</b:Guid>
    <b:Title>Does It Matter if I Hate Teamwork? What Impacts Student Attitudes toward Teamwork</b:Title>
    <b:JournalName>Journal of Marketing Education </b:JournalName>
    <b:Year>2003</b:Year>
    <b:Pages>37-45</b:Pages>
    <b:Author>
      <b:Author>
        <b:NameList>
          <b:Person>
            <b:Last>Pfaff</b:Last>
            <b:First>E</b:First>
          </b:Person>
          <b:Person>
            <b:Last>Huddleston</b:Last>
            <b:First>P</b:First>
          </b:Person>
        </b:NameList>
      </b:Author>
    </b:Author>
    <b:RefOrder>25</b:RefOrder>
  </b:Source>
  <b:Source>
    <b:Tag>Bra13</b:Tag>
    <b:SourceType>JournalArticle</b:SourceType>
    <b:Guid>{D011F621-89E4-D840-B0B8-F1884106ED3B}</b:Guid>
    <b:Title>Ready to Rumble: How Team Personality Composition and Task Conflict Interact to Improve Performance</b:Title>
    <b:JournalName>Journal of Applied Psychology</b:JournalName>
    <b:Year>2013</b:Year>
    <b:Pages>98-105</b:Pages>
    <b:Author>
      <b:Author>
        <b:NameList>
          <b:Person>
            <b:Last>Bradley</b:Last>
            <b:Middle>H</b:Middle>
            <b:First>B</b:First>
          </b:Person>
          <b:Person>
            <b:Last>Postlewaite</b:Last>
            <b:Middle>E</b:Middle>
            <b:First>B</b:First>
          </b:Person>
          <b:Person>
            <b:Last>Klotz</b:Last>
            <b:Middle>C</b:Middle>
            <b:First>A</b:First>
          </b:Person>
          <b:Person>
            <b:Last>Brown</b:Last>
            <b:Middle>G</b:Middle>
            <b:First>K</b:First>
          </b:Person>
        </b:NameList>
      </b:Author>
    </b:Author>
    <b:RefOrder>26</b:RefOrder>
  </b:Source>
  <b:Source>
    <b:Tag>Mik07</b:Tag>
    <b:SourceType>Book</b:SourceType>
    <b:Guid>{EA4798A2-5247-1A43-B11D-DB2EDDA35FC0}</b:Guid>
    <b:Title>Attachment in Adulthood, structure, dynamics and change</b:Title>
    <b:Year>2007</b:Year>
    <b:Author>
      <b:Author>
        <b:NameList>
          <b:Person>
            <b:Last>Mikulinger</b:Last>
            <b:First>M</b:First>
          </b:Person>
          <b:Person>
            <b:Last>Shaver</b:Last>
            <b:Middle>R</b:Middle>
            <b:First>P</b:First>
          </b:Person>
        </b:NameList>
      </b:Author>
    </b:Author>
    <b:City>New York</b:City>
    <b:Publisher>The Guildford Press</b:Publisher>
    <b:RefOrder>27</b:RefOrder>
  </b:Source>
  <b:Source>
    <b:Tag>Rom03</b:Tag>
    <b:SourceType>JournalArticle</b:SourceType>
    <b:Guid>{9D815948-6F81-AC4D-BBB8-8B2F22CF3003}</b:Guid>
    <b:Author>
      <b:Author>
        <b:NameList>
          <b:Person>
            <b:Last>Rom</b:Last>
            <b:First>E.,</b:First>
            <b:Middle>&amp; Mikulincer, M.</b:Middle>
          </b:Person>
        </b:NameList>
      </b:Author>
    </b:Author>
    <b:Title>ttachment the- ory and group processes: The association between attachment style and group-related representa- tions, goals, memories, and functioning</b:Title>
    <b:Year>2003</b:Year>
    <b:JournalName>ournal of Personality and Social Psychology</b:JournalName>
    <b:Pages>1020-1225</b:Pages>
    <b:RefOrder>28</b:RefOrder>
  </b:Source>
  <b:Source>
    <b:Tag>Put96</b:Tag>
    <b:SourceType>JournalArticle</b:SourceType>
    <b:Guid>{9DFE17DE-5028-3C4B-898A-CAAA697DE2E3}</b:Guid>
    <b:Title>Cooperative learning and peer acceptance of students with learning disabilities</b:Title>
    <b:JournalName>Journal of Social Psychology</b:JournalName>
    <b:Year>1996</b:Year>
    <b:Pages>741-752</b:Pages>
    <b:Author>
      <b:Author>
        <b:NameList>
          <b:Person>
            <b:Last>Putnam</b:Last>
            <b:First>J</b:First>
          </b:Person>
          <b:Person>
            <b:Last>Markovchick</b:Last>
            <b:First>K</b:First>
          </b:Person>
          <b:Person>
            <b:Last>Johnson</b:Last>
            <b:Middle>W</b:Middle>
            <b:First>D</b:First>
          </b:Person>
          <b:Person>
            <b:Last>Johnson</b:Last>
            <b:Middle>T</b:Middle>
            <b:First>R</b:First>
          </b:Person>
        </b:NameList>
      </b:Author>
    </b:Author>
    <b:RefOrder>29</b:RefOrder>
  </b:Source>
  <b:Source>
    <b:Tag>Pee89</b:Tag>
    <b:SourceType>JournalArticle</b:SourceType>
    <b:Guid>{D01B2334-3C9E-474D-B379-7E69CAEC8F45}</b:Guid>
    <b:Title>Peer Interaction and Learning in Small Groups</b:Title>
    <b:JournalName>International Journal of educational Research</b:JournalName>
    <b:Year>1989</b:Year>
    <b:Pages>21-39</b:Pages>
    <b:RefOrder>30</b:RefOrder>
  </b:Source>
  <b:Source>
    <b:Tag>Kut07</b:Tag>
    <b:SourceType>JournalArticle</b:SourceType>
    <b:Guid>{D6C00E26-9112-2D45-9D01-5741FFBF4759}</b:Guid>
    <b:Title>Pupil grouping for learning in classrooms: Results from the UK SPRinG Study</b:Title>
    <b:JournalName>International Perspectives on Effective Groupwork</b:JournalName>
    <b:Year>2007</b:Year>
    <b:Pages>101-112</b:Pages>
    <b:Author>
      <b:Author>
        <b:NameList>
          <b:Person>
            <b:Last>Kutnick</b:Last>
            <b:First>P</b:First>
          </b:Person>
          <b:Person>
            <b:Last>Blatchford</b:Last>
            <b:First>P</b:First>
          </b:Person>
          <b:Person>
            <b:Last>Baines</b:Last>
            <b:First>E</b:First>
          </b:Person>
        </b:NameList>
      </b:Author>
    </b:Author>
    <b:RefOrder>31</b:RefOrder>
  </b:Source>
  <b:Source>
    <b:Tag>Ent98</b:Tag>
    <b:SourceType>BookSection</b:SourceType>
    <b:Guid>{D6FB9656-8DB8-5143-A121-036319057507}</b:Guid>
    <b:Title>upporting students’ frameworks for conceptual understanding: Knowledge objects and their implications.</b:Title>
    <b:Year>1998</b:Year>
    <b:Pages>213-218</b:Pages>
    <b:Author>
      <b:Author>
        <b:NameList>
          <b:Person>
            <b:Last>Entwistle</b:Last>
            <b:Middle>J</b:Middle>
            <b:First>N</b:First>
          </b:Person>
        </b:NameList>
      </b:Author>
      <b:BookAuthor>
        <b:NameList>
          <b:Person>
            <b:Last>C</b:Last>
            <b:First>Rust</b:First>
          </b:Person>
        </b:NameList>
      </b:BookAuthor>
    </b:Author>
    <b:BookTitle>Improving student learning: improving students as learners</b:BookTitle>
    <b:City>Oxford</b:City>
    <b:Publisher>Oxford Brookes University</b:Publisher>
    <b:RefOrder>32</b:RefOrder>
  </b:Source>
  <b:Source>
    <b:Tag>Sha92</b:Tag>
    <b:SourceType>Book</b:SourceType>
    <b:Guid>{509D04B1-5CA9-8F4F-9FD3-393A44F25E53}</b:Guid>
    <b:Title>Expanding Cooperative Learning Through Group Investigation</b:Title>
    <b:City>New York</b:City>
    <b:Publisher>Teachers College Press</b:Publisher>
    <b:Year>1992</b:Year>
    <b:Author>
      <b:Author>
        <b:NameList>
          <b:Person>
            <b:Last>Sharan</b:Last>
            <b:First>Y</b:First>
          </b:Person>
        </b:NameList>
      </b:Author>
    </b:Author>
    <b:RefOrder>33</b:RefOrder>
  </b:Source>
  <b:Source>
    <b:Tag>Byr04</b:Tag>
    <b:SourceType>JournalArticle</b:SourceType>
    <b:Guid>{DB2D40B6-FA80-8444-B7B6-37FDB3862B91}</b:Guid>
    <b:Title>Building Research Competence in Nursing Through Mentoring</b:Title>
    <b:Year>2004</b:Year>
    <b:Author>
      <b:Author>
        <b:NameList>
          <b:Person>
            <b:Last>Byrne</b:Last>
            <b:Middle>W</b:Middle>
            <b:First>M</b:First>
          </b:Person>
          <b:Person>
            <b:Last>Keefe</b:Last>
            <b:Middle>R</b:Middle>
            <b:First>M</b:First>
          </b:Person>
        </b:NameList>
      </b:Author>
    </b:Author>
    <b:JournalName>Journal of Nursing Scholarship</b:JournalName>
    <b:Pages>212-124</b:Pages>
    <b:RefOrder>34</b:RefOrder>
  </b:Source>
</b:Sources>
</file>

<file path=customXml/itemProps1.xml><?xml version="1.0" encoding="utf-8"?>
<ds:datastoreItem xmlns:ds="http://schemas.openxmlformats.org/officeDocument/2006/customXml" ds:itemID="{C9F6E845-A25E-2444-8582-5B364F887A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3470</Words>
  <Characters>19784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2018-03-22T21:20:00Z</dcterms:created>
  <dcterms:modified xsi:type="dcterms:W3CDTF">2018-03-22T21:20:00Z</dcterms:modified>
</cp:coreProperties>
</file>