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7079" w:rsidRPr="00515B99" w:rsidRDefault="006B0A1B" w:rsidP="00515B99">
      <w:pPr>
        <w:spacing w:before="40" w:after="40" w:line="360" w:lineRule="auto"/>
      </w:pPr>
      <w:r w:rsidRPr="00515B99">
        <w:rPr>
          <w:noProof/>
        </w:rPr>
        <w:drawing>
          <wp:anchor distT="0" distB="0" distL="114300" distR="114300" simplePos="0" relativeHeight="251665408" behindDoc="0" locked="0" layoutInCell="1" allowOverlap="1" wp14:anchorId="679E2A8D" wp14:editId="39D34A2D">
            <wp:simplePos x="0" y="0"/>
            <wp:positionH relativeFrom="margin">
              <wp:align>center</wp:align>
            </wp:positionH>
            <wp:positionV relativeFrom="paragraph">
              <wp:posOffset>0</wp:posOffset>
            </wp:positionV>
            <wp:extent cx="1706245" cy="589915"/>
            <wp:effectExtent l="0" t="0" r="8255" b="635"/>
            <wp:wrapThrough wrapText="bothSides">
              <wp:wrapPolygon edited="0">
                <wp:start x="0" y="0"/>
                <wp:lineTo x="0" y="19531"/>
                <wp:lineTo x="8441" y="20926"/>
                <wp:lineTo x="9888" y="20926"/>
                <wp:lineTo x="21463" y="19531"/>
                <wp:lineTo x="21463" y="1395"/>
                <wp:lineTo x="15434" y="0"/>
                <wp:lineTo x="0" y="0"/>
              </wp:wrapPolygon>
            </wp:wrapThrough>
            <wp:docPr id="10" name="Picture 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06245" cy="5899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A7079" w:rsidRPr="00515B99" w:rsidRDefault="006A7079" w:rsidP="00515B99">
      <w:pPr>
        <w:spacing w:before="40" w:after="40" w:line="360" w:lineRule="auto"/>
      </w:pPr>
    </w:p>
    <w:p w:rsidR="006A7079" w:rsidRPr="00515B99" w:rsidRDefault="006A7079" w:rsidP="00515B99">
      <w:pPr>
        <w:spacing w:before="40" w:after="40" w:line="360" w:lineRule="auto"/>
      </w:pPr>
    </w:p>
    <w:p w:rsidR="006A7079" w:rsidRPr="00515B99" w:rsidRDefault="003537B9" w:rsidP="00515B99">
      <w:pPr>
        <w:spacing w:before="200" w:after="60" w:line="360" w:lineRule="auto"/>
        <w:jc w:val="center"/>
      </w:pPr>
      <w:r w:rsidRPr="00515B99">
        <w:rPr>
          <w:b/>
          <w:bCs/>
          <w:color w:val="1F3864"/>
        </w:rPr>
        <w:t>UNIVERSITY OF WALES TRINITY SAINT DAVID</w:t>
      </w:r>
    </w:p>
    <w:p w:rsidR="006A7079" w:rsidRPr="00515B99" w:rsidRDefault="00EB3C27" w:rsidP="00515B99">
      <w:pPr>
        <w:jc w:val="center"/>
      </w:pPr>
      <w:r w:rsidRPr="00515B99">
        <w:rPr>
          <w:color w:val="555555"/>
        </w:rPr>
        <w:t>Birmingham</w:t>
      </w:r>
    </w:p>
    <w:p w:rsidR="006A7079" w:rsidRPr="00515B99" w:rsidRDefault="006A7079" w:rsidP="00515B99">
      <w:pPr>
        <w:pBdr>
          <w:bottom w:val="single" w:sz="8" w:space="0" w:color="C9A227"/>
        </w:pBdr>
      </w:pPr>
    </w:p>
    <w:p w:rsidR="006A7079" w:rsidRPr="00515B99" w:rsidRDefault="006A7079" w:rsidP="00515B99">
      <w:pPr>
        <w:spacing w:before="40" w:after="40" w:line="360" w:lineRule="auto"/>
      </w:pPr>
    </w:p>
    <w:p w:rsidR="006A7079" w:rsidRPr="00515B99" w:rsidRDefault="003537B9" w:rsidP="00515B99">
      <w:pPr>
        <w:spacing w:before="80" w:after="60" w:line="360" w:lineRule="auto"/>
        <w:jc w:val="center"/>
      </w:pPr>
      <w:r w:rsidRPr="00515B99">
        <w:rPr>
          <w:b/>
          <w:bCs/>
          <w:color w:val="1F3864"/>
        </w:rPr>
        <w:t>Master of Business Administration</w:t>
      </w:r>
    </w:p>
    <w:p w:rsidR="006A7079" w:rsidRPr="00515B99" w:rsidRDefault="003537B9" w:rsidP="00515B99">
      <w:pPr>
        <w:spacing w:before="60" w:after="60" w:line="360" w:lineRule="auto"/>
        <w:jc w:val="center"/>
      </w:pPr>
      <w:r w:rsidRPr="00515B99">
        <w:rPr>
          <w:color w:val="444444"/>
        </w:rPr>
        <w:t>Human Capital Management | Module Code: LCMB7023</w:t>
      </w:r>
    </w:p>
    <w:p w:rsidR="006A7079" w:rsidRPr="00515B99" w:rsidRDefault="006A7079" w:rsidP="00515B99">
      <w:pPr>
        <w:spacing w:before="40" w:after="40" w:line="360" w:lineRule="auto"/>
      </w:pPr>
    </w:p>
    <w:p w:rsidR="006A7079" w:rsidRPr="00515B99" w:rsidRDefault="003537B9" w:rsidP="00515B99">
      <w:pPr>
        <w:spacing w:before="200" w:after="100" w:line="360" w:lineRule="auto"/>
        <w:jc w:val="center"/>
      </w:pPr>
      <w:r w:rsidRPr="00515B99">
        <w:rPr>
          <w:b/>
          <w:bCs/>
          <w:color w:val="1F3864"/>
        </w:rPr>
        <w:t>Assessment Component 1: Individual Report</w:t>
      </w:r>
    </w:p>
    <w:p w:rsidR="006A7079" w:rsidRPr="00515B99" w:rsidRDefault="003537B9" w:rsidP="00515B99">
      <w:pPr>
        <w:spacing w:before="100" w:after="60" w:line="360" w:lineRule="auto"/>
        <w:jc w:val="center"/>
      </w:pPr>
      <w:r w:rsidRPr="00515B99">
        <w:rPr>
          <w:i/>
          <w:iCs/>
          <w:color w:val="2E5496"/>
        </w:rPr>
        <w:t>Designing a Human Capital Architecture for Strategic Renewal</w:t>
      </w:r>
    </w:p>
    <w:p w:rsidR="006A7079" w:rsidRPr="00515B99" w:rsidRDefault="003537B9" w:rsidP="00515B99">
      <w:pPr>
        <w:spacing w:before="60" w:after="360" w:line="360" w:lineRule="auto"/>
        <w:jc w:val="center"/>
      </w:pPr>
      <w:r w:rsidRPr="00515B99">
        <w:rPr>
          <w:i/>
          <w:iCs/>
          <w:color w:val="888888"/>
        </w:rPr>
        <w:t>Helios Urban Mobility Case Study</w:t>
      </w:r>
    </w:p>
    <w:p w:rsidR="006A7079" w:rsidRPr="00515B99" w:rsidRDefault="006A7079" w:rsidP="00515B99">
      <w:pPr>
        <w:spacing w:before="40" w:after="40" w:line="360" w:lineRule="auto"/>
      </w:pPr>
    </w:p>
    <w:tbl>
      <w:tblPr>
        <w:tblpPr w:leftFromText="180" w:rightFromText="180" w:vertAnchor="text" w:horzAnchor="margin" w:tblpXSpec="center" w:tblpY="132"/>
        <w:tblW w:w="6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23"/>
        <w:gridCol w:w="4084"/>
      </w:tblGrid>
      <w:tr w:rsidR="002672A2" w:rsidRPr="00515B99" w:rsidTr="002672A2">
        <w:trPr>
          <w:trHeight w:val="772"/>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Student Name:</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r w:rsidRPr="00515B99">
              <w:t>Zarna Patel</w:t>
            </w:r>
          </w:p>
        </w:tc>
      </w:tr>
      <w:tr w:rsidR="002672A2" w:rsidRPr="00515B99" w:rsidTr="002672A2">
        <w:trPr>
          <w:trHeight w:val="733"/>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Student ID Number:</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r w:rsidRPr="00515B99">
              <w:t>2536013</w:t>
            </w:r>
          </w:p>
        </w:tc>
      </w:tr>
      <w:tr w:rsidR="002672A2" w:rsidRPr="00515B99" w:rsidTr="002672A2">
        <w:trPr>
          <w:trHeight w:val="772"/>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Programme:</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r w:rsidRPr="00515B99">
              <w:t>Master of Business Administration</w:t>
            </w:r>
          </w:p>
        </w:tc>
      </w:tr>
      <w:tr w:rsidR="002672A2" w:rsidRPr="00515B99" w:rsidTr="002672A2">
        <w:trPr>
          <w:trHeight w:val="733"/>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Module:</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r w:rsidRPr="00515B99">
              <w:t>Human Capital Management</w:t>
            </w:r>
          </w:p>
        </w:tc>
      </w:tr>
      <w:tr w:rsidR="002672A2" w:rsidRPr="00515B99" w:rsidTr="002672A2">
        <w:trPr>
          <w:trHeight w:val="772"/>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Lecturer:</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proofErr w:type="spellStart"/>
            <w:r w:rsidRPr="00515B99">
              <w:t>Eno</w:t>
            </w:r>
            <w:proofErr w:type="spellEnd"/>
            <w:r w:rsidRPr="00515B99">
              <w:t xml:space="preserve"> </w:t>
            </w:r>
            <w:proofErr w:type="spellStart"/>
            <w:r w:rsidRPr="00515B99">
              <w:t>Maycock</w:t>
            </w:r>
            <w:proofErr w:type="spellEnd"/>
            <w:r w:rsidRPr="00515B99">
              <w:t xml:space="preserve"> (Birmingham)</w:t>
            </w:r>
          </w:p>
        </w:tc>
      </w:tr>
      <w:tr w:rsidR="002672A2" w:rsidRPr="00515B99" w:rsidTr="002672A2">
        <w:trPr>
          <w:trHeight w:val="733"/>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Word Count:</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3A1D7A" w:rsidP="00515B99">
            <w:pPr>
              <w:spacing w:line="360" w:lineRule="auto"/>
            </w:pPr>
            <w:r>
              <w:t>27</w:t>
            </w:r>
            <w:r w:rsidR="00BB463C" w:rsidRPr="00515B99">
              <w:t>48</w:t>
            </w:r>
            <w:r w:rsidR="002672A2" w:rsidRPr="00515B99">
              <w:t xml:space="preserve"> words</w:t>
            </w:r>
          </w:p>
        </w:tc>
      </w:tr>
      <w:tr w:rsidR="002672A2" w:rsidRPr="00515B99" w:rsidTr="002672A2">
        <w:trPr>
          <w:trHeight w:val="733"/>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3A1D7A" w:rsidP="00515B99">
            <w:pPr>
              <w:spacing w:line="360" w:lineRule="auto"/>
            </w:pPr>
            <w:r>
              <w:rPr>
                <w:b/>
                <w:bCs/>
              </w:rPr>
              <w:t>Submitted on</w:t>
            </w:r>
            <w:r w:rsidR="002672A2" w:rsidRPr="00515B99">
              <w:rPr>
                <w:b/>
                <w:bCs/>
              </w:rPr>
              <w:t>:</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3A1D7A" w:rsidP="00515B99">
            <w:pPr>
              <w:spacing w:line="360" w:lineRule="auto"/>
            </w:pPr>
            <w:r>
              <w:t>Thursday, 25</w:t>
            </w:r>
            <w:r w:rsidR="002672A2" w:rsidRPr="00515B99">
              <w:t>th June 2026</w:t>
            </w:r>
          </w:p>
        </w:tc>
      </w:tr>
    </w:tbl>
    <w:p w:rsidR="006A7079" w:rsidRPr="00515B99" w:rsidRDefault="006A7079" w:rsidP="00515B99">
      <w:pPr>
        <w:spacing w:before="40" w:after="40" w:line="360" w:lineRule="auto"/>
      </w:pPr>
    </w:p>
    <w:p w:rsidR="003A1D7A" w:rsidRDefault="003537B9" w:rsidP="003A1D7A">
      <w:pPr>
        <w:spacing w:line="360" w:lineRule="auto"/>
      </w:pPr>
      <w:r w:rsidRPr="00515B99">
        <w:br w:type="page"/>
      </w:r>
      <w:bookmarkStart w:id="0" w:name="_Toc231939944"/>
    </w:p>
    <w:p w:rsidR="009632EF" w:rsidRPr="003A1D7A" w:rsidRDefault="003537B9" w:rsidP="003A1D7A">
      <w:pPr>
        <w:pStyle w:val="Heading1"/>
        <w:spacing w:line="360" w:lineRule="auto"/>
        <w:rPr>
          <w:szCs w:val="24"/>
        </w:rPr>
      </w:pPr>
      <w:r w:rsidRPr="003A1D7A">
        <w:rPr>
          <w:szCs w:val="24"/>
        </w:rPr>
        <w:lastRenderedPageBreak/>
        <w:t>Table of Contents</w:t>
      </w:r>
      <w:bookmarkEnd w:id="0"/>
    </w:p>
    <w:sdt>
      <w:sdtPr>
        <w:alias w:val="Table of Contents"/>
        <w:id w:val="1446810328"/>
      </w:sdtPr>
      <w:sdtEndPr/>
      <w:sdtContent>
        <w:p w:rsidR="00EB3C27" w:rsidRPr="00515B99" w:rsidRDefault="003537B9" w:rsidP="00515B99">
          <w:pPr>
            <w:pStyle w:val="TOC1"/>
            <w:tabs>
              <w:tab w:val="right" w:leader="dot" w:pos="9736"/>
            </w:tabs>
            <w:spacing w:line="360" w:lineRule="auto"/>
            <w:rPr>
              <w:noProof/>
            </w:rPr>
          </w:pPr>
          <w:r w:rsidRPr="00515B99">
            <w:fldChar w:fldCharType="begin"/>
          </w:r>
          <w:r w:rsidRPr="00515B99">
            <w:instrText>TOC \h \o "1-2"</w:instrText>
          </w:r>
          <w:r w:rsidRPr="00515B99">
            <w:fldChar w:fldCharType="separate"/>
          </w:r>
          <w:hyperlink w:anchor="_Toc231939944" w:history="1">
            <w:r w:rsidRPr="00515B99">
              <w:rPr>
                <w:rStyle w:val="Hyperlink"/>
                <w:noProof/>
              </w:rPr>
              <w:t>Table of Contents</w:t>
            </w:r>
            <w:r w:rsidRPr="00515B99">
              <w:rPr>
                <w:noProof/>
              </w:rPr>
              <w:tab/>
            </w:r>
            <w:r w:rsidRPr="00515B99">
              <w:rPr>
                <w:noProof/>
              </w:rPr>
              <w:fldChar w:fldCharType="begin"/>
            </w:r>
            <w:r w:rsidRPr="00515B99">
              <w:rPr>
                <w:noProof/>
              </w:rPr>
              <w:instrText xml:space="preserve"> PAGEREF _Toc231939944 \h </w:instrText>
            </w:r>
            <w:r w:rsidRPr="00515B99">
              <w:rPr>
                <w:noProof/>
              </w:rPr>
            </w:r>
            <w:r w:rsidRPr="00515B99">
              <w:rPr>
                <w:noProof/>
              </w:rPr>
              <w:fldChar w:fldCharType="separate"/>
            </w:r>
            <w:r w:rsidRPr="00515B99">
              <w:rPr>
                <w:noProof/>
              </w:rPr>
              <w:t>2</w:t>
            </w:r>
            <w:r w:rsidRPr="00515B99">
              <w:rPr>
                <w:noProof/>
              </w:rPr>
              <w:fldChar w:fldCharType="end"/>
            </w:r>
          </w:hyperlink>
        </w:p>
        <w:p w:rsidR="00EB3C27" w:rsidRPr="00515B99" w:rsidRDefault="00D55BD6" w:rsidP="00515B99">
          <w:pPr>
            <w:pStyle w:val="TOC1"/>
            <w:tabs>
              <w:tab w:val="right" w:leader="dot" w:pos="9736"/>
            </w:tabs>
            <w:spacing w:line="360" w:lineRule="auto"/>
            <w:rPr>
              <w:noProof/>
            </w:rPr>
          </w:pPr>
          <w:hyperlink w:anchor="_Toc231939945" w:history="1">
            <w:r w:rsidR="003315CE" w:rsidRPr="00515B99">
              <w:rPr>
                <w:rStyle w:val="Hyperlink"/>
                <w:noProof/>
              </w:rPr>
              <w:t>Task A: Socialisation, Identity &amp; Business Activism</w:t>
            </w:r>
            <w:r w:rsidR="003315CE" w:rsidRPr="00515B99">
              <w:rPr>
                <w:noProof/>
              </w:rPr>
              <w:tab/>
            </w:r>
            <w:r w:rsidR="008D0581" w:rsidRPr="00515B99">
              <w:rPr>
                <w:noProof/>
              </w:rPr>
              <w:t>4</w:t>
            </w:r>
          </w:hyperlink>
        </w:p>
        <w:p w:rsidR="00EB3C27" w:rsidRPr="00515B99" w:rsidRDefault="00D55BD6" w:rsidP="00515B99">
          <w:pPr>
            <w:pStyle w:val="TOC2"/>
            <w:tabs>
              <w:tab w:val="right" w:leader="dot" w:pos="9736"/>
            </w:tabs>
            <w:spacing w:line="360" w:lineRule="auto"/>
            <w:rPr>
              <w:noProof/>
            </w:rPr>
          </w:pPr>
          <w:hyperlink w:anchor="_Toc231939946" w:history="1">
            <w:r w:rsidR="003315CE" w:rsidRPr="00515B99">
              <w:rPr>
                <w:rStyle w:val="Hyperlink"/>
                <w:noProof/>
              </w:rPr>
              <w:t>1. Critical Evaluation: Traditional Onboarding vs. Strategic Organisational Socialisation</w:t>
            </w:r>
            <w:r w:rsidR="003315CE" w:rsidRPr="00515B99">
              <w:rPr>
                <w:noProof/>
              </w:rPr>
              <w:tab/>
            </w:r>
            <w:r w:rsidR="008D0581" w:rsidRPr="00515B99">
              <w:rPr>
                <w:noProof/>
              </w:rPr>
              <w:t>4</w:t>
            </w:r>
          </w:hyperlink>
        </w:p>
        <w:p w:rsidR="00EB3C27" w:rsidRPr="00515B99" w:rsidRDefault="00D55BD6" w:rsidP="00515B99">
          <w:pPr>
            <w:pStyle w:val="TOC2"/>
            <w:tabs>
              <w:tab w:val="right" w:leader="dot" w:pos="9736"/>
            </w:tabs>
            <w:spacing w:line="360" w:lineRule="auto"/>
            <w:rPr>
              <w:noProof/>
            </w:rPr>
          </w:pPr>
          <w:hyperlink w:anchor="_Toc231939947" w:history="1">
            <w:r w:rsidR="003315CE" w:rsidRPr="00515B99">
              <w:rPr>
                <w:rStyle w:val="Hyperlink"/>
                <w:noProof/>
              </w:rPr>
              <w:t>2. Structured Socialisation Framework for Helios Urban Mobility</w:t>
            </w:r>
            <w:r w:rsidR="003315CE" w:rsidRPr="00515B99">
              <w:rPr>
                <w:noProof/>
              </w:rPr>
              <w:tab/>
            </w:r>
            <w:r w:rsidR="008D0581" w:rsidRPr="00515B99">
              <w:rPr>
                <w:noProof/>
              </w:rPr>
              <w:t>6</w:t>
            </w:r>
          </w:hyperlink>
        </w:p>
        <w:p w:rsidR="00EB3C27" w:rsidRPr="00515B99" w:rsidRDefault="00D55BD6" w:rsidP="00515B99">
          <w:pPr>
            <w:pStyle w:val="TOC2"/>
            <w:tabs>
              <w:tab w:val="right" w:leader="dot" w:pos="9736"/>
            </w:tabs>
            <w:spacing w:line="360" w:lineRule="auto"/>
            <w:rPr>
              <w:noProof/>
            </w:rPr>
          </w:pPr>
          <w:hyperlink w:anchor="_Toc231939948" w:history="1">
            <w:r w:rsidR="003315CE" w:rsidRPr="00515B99">
              <w:rPr>
                <w:rStyle w:val="Hyperlink"/>
                <w:noProof/>
              </w:rPr>
              <w:t>3. Mechanisms to Cultivate Organisational Identification, Ethical Professionalism, and the Business Activist Mindset</w:t>
            </w:r>
            <w:r w:rsidR="003315CE" w:rsidRPr="00515B99">
              <w:rPr>
                <w:noProof/>
              </w:rPr>
              <w:tab/>
            </w:r>
            <w:r w:rsidR="008D0581" w:rsidRPr="00515B99">
              <w:rPr>
                <w:noProof/>
              </w:rPr>
              <w:t>8</w:t>
            </w:r>
          </w:hyperlink>
        </w:p>
        <w:p w:rsidR="00EB3C27" w:rsidRPr="00515B99" w:rsidRDefault="00D55BD6" w:rsidP="00515B99">
          <w:pPr>
            <w:pStyle w:val="TOC1"/>
            <w:tabs>
              <w:tab w:val="right" w:leader="dot" w:pos="9736"/>
            </w:tabs>
            <w:spacing w:line="360" w:lineRule="auto"/>
            <w:rPr>
              <w:noProof/>
            </w:rPr>
          </w:pPr>
          <w:hyperlink w:anchor="_Toc231939949" w:history="1">
            <w:r w:rsidR="003315CE" w:rsidRPr="00515B99">
              <w:rPr>
                <w:rStyle w:val="Hyperlink"/>
                <w:noProof/>
              </w:rPr>
              <w:t>Task B: Job Design</w:t>
            </w:r>
            <w:r w:rsidR="003315CE" w:rsidRPr="00515B99">
              <w:rPr>
                <w:noProof/>
              </w:rPr>
              <w:tab/>
            </w:r>
            <w:r w:rsidR="008D0581" w:rsidRPr="00515B99">
              <w:rPr>
                <w:noProof/>
              </w:rPr>
              <w:t>1</w:t>
            </w:r>
            <w:r w:rsidR="00FD75D3" w:rsidRPr="00515B99">
              <w:rPr>
                <w:noProof/>
              </w:rPr>
              <w:t>0</w:t>
            </w:r>
          </w:hyperlink>
        </w:p>
        <w:p w:rsidR="00EB3C27" w:rsidRPr="00515B99" w:rsidRDefault="00D55BD6" w:rsidP="00515B99">
          <w:pPr>
            <w:pStyle w:val="TOC2"/>
            <w:tabs>
              <w:tab w:val="right" w:leader="dot" w:pos="9736"/>
            </w:tabs>
            <w:spacing w:line="360" w:lineRule="auto"/>
            <w:rPr>
              <w:noProof/>
            </w:rPr>
          </w:pPr>
          <w:hyperlink w:anchor="_Toc231939950" w:history="1">
            <w:r w:rsidR="003315CE" w:rsidRPr="00515B99">
              <w:rPr>
                <w:rStyle w:val="Hyperlink"/>
                <w:noProof/>
              </w:rPr>
              <w:t>1. Innovative Job Design Strategy for Helios Urban Mobility</w:t>
            </w:r>
            <w:r w:rsidR="003315CE" w:rsidRPr="00515B99">
              <w:rPr>
                <w:noProof/>
              </w:rPr>
              <w:tab/>
            </w:r>
            <w:r w:rsidR="008D0581" w:rsidRPr="00515B99">
              <w:rPr>
                <w:noProof/>
              </w:rPr>
              <w:t>1</w:t>
            </w:r>
            <w:r w:rsidR="00FD75D3" w:rsidRPr="00515B99">
              <w:rPr>
                <w:noProof/>
              </w:rPr>
              <w:t>0</w:t>
            </w:r>
          </w:hyperlink>
        </w:p>
        <w:p w:rsidR="00EB3C27" w:rsidRPr="00515B99" w:rsidRDefault="00D55BD6" w:rsidP="00515B99">
          <w:pPr>
            <w:pStyle w:val="TOC2"/>
            <w:tabs>
              <w:tab w:val="right" w:leader="dot" w:pos="9736"/>
            </w:tabs>
            <w:spacing w:line="360" w:lineRule="auto"/>
            <w:rPr>
              <w:noProof/>
            </w:rPr>
          </w:pPr>
          <w:hyperlink w:anchor="_Toc231939951" w:history="1">
            <w:r w:rsidR="003315CE" w:rsidRPr="00515B99">
              <w:rPr>
                <w:rStyle w:val="Hyperlink"/>
                <w:noProof/>
              </w:rPr>
              <w:t>2. Stimulating Intrinsic Motivation and Supporting Innovation</w:t>
            </w:r>
            <w:r w:rsidR="003315CE" w:rsidRPr="00515B99">
              <w:rPr>
                <w:noProof/>
              </w:rPr>
              <w:tab/>
            </w:r>
            <w:r w:rsidR="003315CE" w:rsidRPr="00515B99">
              <w:rPr>
                <w:noProof/>
              </w:rPr>
              <w:fldChar w:fldCharType="begin"/>
            </w:r>
            <w:r w:rsidR="003315CE" w:rsidRPr="00515B99">
              <w:rPr>
                <w:noProof/>
              </w:rPr>
              <w:instrText xml:space="preserve"> PAGEREF _Toc231939951 \h </w:instrText>
            </w:r>
            <w:r w:rsidR="003315CE" w:rsidRPr="00515B99">
              <w:rPr>
                <w:noProof/>
              </w:rPr>
            </w:r>
            <w:r w:rsidR="003315CE" w:rsidRPr="00515B99">
              <w:rPr>
                <w:noProof/>
              </w:rPr>
              <w:fldChar w:fldCharType="separate"/>
            </w:r>
            <w:r w:rsidR="003315CE" w:rsidRPr="00515B99">
              <w:rPr>
                <w:noProof/>
              </w:rPr>
              <w:t>1</w:t>
            </w:r>
            <w:r w:rsidR="00FD75D3" w:rsidRPr="00515B99">
              <w:rPr>
                <w:noProof/>
              </w:rPr>
              <w:t>3</w:t>
            </w:r>
            <w:r w:rsidR="003315CE" w:rsidRPr="00515B99">
              <w:rPr>
                <w:noProof/>
              </w:rPr>
              <w:fldChar w:fldCharType="end"/>
            </w:r>
          </w:hyperlink>
        </w:p>
        <w:p w:rsidR="00EB3C27" w:rsidRPr="00515B99" w:rsidRDefault="00D55BD6" w:rsidP="00515B99">
          <w:pPr>
            <w:pStyle w:val="TOC1"/>
            <w:tabs>
              <w:tab w:val="right" w:leader="dot" w:pos="9736"/>
            </w:tabs>
            <w:spacing w:line="360" w:lineRule="auto"/>
            <w:rPr>
              <w:noProof/>
            </w:rPr>
          </w:pPr>
          <w:hyperlink w:anchor="_Toc231939952" w:history="1">
            <w:r w:rsidR="003315CE" w:rsidRPr="00515B99">
              <w:rPr>
                <w:rStyle w:val="Hyperlink"/>
                <w:noProof/>
              </w:rPr>
              <w:t>Task C: Reflective Report</w:t>
            </w:r>
            <w:r w:rsidR="003315CE" w:rsidRPr="00515B99">
              <w:rPr>
                <w:noProof/>
              </w:rPr>
              <w:tab/>
            </w:r>
            <w:r w:rsidR="003315CE" w:rsidRPr="00515B99">
              <w:rPr>
                <w:noProof/>
              </w:rPr>
              <w:fldChar w:fldCharType="begin"/>
            </w:r>
            <w:r w:rsidR="003315CE" w:rsidRPr="00515B99">
              <w:rPr>
                <w:noProof/>
              </w:rPr>
              <w:instrText xml:space="preserve"> PAGEREF _Toc231939952 \h </w:instrText>
            </w:r>
            <w:r w:rsidR="003315CE" w:rsidRPr="00515B99">
              <w:rPr>
                <w:noProof/>
              </w:rPr>
            </w:r>
            <w:r w:rsidR="003315CE" w:rsidRPr="00515B99">
              <w:rPr>
                <w:noProof/>
              </w:rPr>
              <w:fldChar w:fldCharType="separate"/>
            </w:r>
            <w:r w:rsidR="003315CE" w:rsidRPr="00515B99">
              <w:rPr>
                <w:noProof/>
              </w:rPr>
              <w:t>1</w:t>
            </w:r>
            <w:r w:rsidR="00F47473">
              <w:rPr>
                <w:noProof/>
              </w:rPr>
              <w:t>4</w:t>
            </w:r>
            <w:r w:rsidR="003315CE" w:rsidRPr="00515B99">
              <w:rPr>
                <w:noProof/>
              </w:rPr>
              <w:fldChar w:fldCharType="end"/>
            </w:r>
          </w:hyperlink>
        </w:p>
        <w:p w:rsidR="00EB3C27" w:rsidRPr="00515B99" w:rsidRDefault="00D55BD6" w:rsidP="00515B99">
          <w:pPr>
            <w:pStyle w:val="TOC2"/>
            <w:tabs>
              <w:tab w:val="right" w:leader="dot" w:pos="9736"/>
            </w:tabs>
            <w:spacing w:line="360" w:lineRule="auto"/>
            <w:rPr>
              <w:noProof/>
            </w:rPr>
          </w:pPr>
          <w:hyperlink w:anchor="_Toc231939953" w:history="1">
            <w:r w:rsidR="003315CE" w:rsidRPr="00515B99">
              <w:rPr>
                <w:rStyle w:val="Hyperlink"/>
                <w:noProof/>
              </w:rPr>
              <w:t>1. Using AI as a Decision-Support Tool Without Eroding Critical Human Judgement</w:t>
            </w:r>
            <w:r w:rsidR="003315CE" w:rsidRPr="00515B99">
              <w:rPr>
                <w:noProof/>
              </w:rPr>
              <w:tab/>
            </w:r>
            <w:r w:rsidR="003315CE" w:rsidRPr="00515B99">
              <w:rPr>
                <w:noProof/>
              </w:rPr>
              <w:fldChar w:fldCharType="begin"/>
            </w:r>
            <w:r w:rsidR="003315CE" w:rsidRPr="00515B99">
              <w:rPr>
                <w:noProof/>
              </w:rPr>
              <w:instrText xml:space="preserve"> PAGEREF _Toc231939953 \h </w:instrText>
            </w:r>
            <w:r w:rsidR="003315CE" w:rsidRPr="00515B99">
              <w:rPr>
                <w:noProof/>
              </w:rPr>
            </w:r>
            <w:r w:rsidR="003315CE" w:rsidRPr="00515B99">
              <w:rPr>
                <w:noProof/>
              </w:rPr>
              <w:fldChar w:fldCharType="separate"/>
            </w:r>
            <w:r w:rsidR="003315CE" w:rsidRPr="00515B99">
              <w:rPr>
                <w:noProof/>
              </w:rPr>
              <w:t>1</w:t>
            </w:r>
            <w:r w:rsidR="00F47473">
              <w:rPr>
                <w:noProof/>
              </w:rPr>
              <w:t>4</w:t>
            </w:r>
            <w:r w:rsidR="003315CE" w:rsidRPr="00515B99">
              <w:rPr>
                <w:noProof/>
              </w:rPr>
              <w:fldChar w:fldCharType="end"/>
            </w:r>
          </w:hyperlink>
        </w:p>
        <w:p w:rsidR="00EB3C27" w:rsidRPr="00515B99" w:rsidRDefault="00D55BD6" w:rsidP="00515B99">
          <w:pPr>
            <w:pStyle w:val="TOC2"/>
            <w:tabs>
              <w:tab w:val="right" w:leader="dot" w:pos="9736"/>
            </w:tabs>
            <w:spacing w:line="360" w:lineRule="auto"/>
            <w:rPr>
              <w:noProof/>
            </w:rPr>
          </w:pPr>
          <w:hyperlink w:anchor="_Toc231939954" w:history="1">
            <w:r w:rsidR="003315CE" w:rsidRPr="00515B99">
              <w:rPr>
                <w:rStyle w:val="Hyperlink"/>
                <w:noProof/>
              </w:rPr>
              <w:t>2. Personal Capability Development Plan</w:t>
            </w:r>
            <w:r w:rsidR="003315CE" w:rsidRPr="00515B99">
              <w:rPr>
                <w:noProof/>
              </w:rPr>
              <w:tab/>
            </w:r>
            <w:r w:rsidR="003315CE" w:rsidRPr="00515B99">
              <w:rPr>
                <w:noProof/>
              </w:rPr>
              <w:fldChar w:fldCharType="begin"/>
            </w:r>
            <w:r w:rsidR="003315CE" w:rsidRPr="00515B99">
              <w:rPr>
                <w:noProof/>
              </w:rPr>
              <w:instrText xml:space="preserve"> PAGEREF _Toc231939954 \h </w:instrText>
            </w:r>
            <w:r w:rsidR="003315CE" w:rsidRPr="00515B99">
              <w:rPr>
                <w:noProof/>
              </w:rPr>
            </w:r>
            <w:r w:rsidR="003315CE" w:rsidRPr="00515B99">
              <w:rPr>
                <w:noProof/>
              </w:rPr>
              <w:fldChar w:fldCharType="separate"/>
            </w:r>
            <w:r w:rsidR="003315CE" w:rsidRPr="00515B99">
              <w:rPr>
                <w:noProof/>
              </w:rPr>
              <w:t>1</w:t>
            </w:r>
            <w:r w:rsidR="00F47473">
              <w:rPr>
                <w:noProof/>
              </w:rPr>
              <w:t>5</w:t>
            </w:r>
            <w:r w:rsidR="003315CE" w:rsidRPr="00515B99">
              <w:rPr>
                <w:noProof/>
              </w:rPr>
              <w:fldChar w:fldCharType="end"/>
            </w:r>
          </w:hyperlink>
        </w:p>
        <w:p w:rsidR="00EB3C27" w:rsidRPr="00515B99" w:rsidRDefault="00D55BD6" w:rsidP="00515B99">
          <w:pPr>
            <w:pStyle w:val="TOC1"/>
            <w:tabs>
              <w:tab w:val="right" w:leader="dot" w:pos="9736"/>
            </w:tabs>
            <w:spacing w:line="360" w:lineRule="auto"/>
            <w:rPr>
              <w:noProof/>
            </w:rPr>
          </w:pPr>
          <w:hyperlink w:anchor="_Toc231939955" w:history="1">
            <w:r w:rsidR="003315CE" w:rsidRPr="00515B99">
              <w:rPr>
                <w:rStyle w:val="Hyperlink"/>
                <w:noProof/>
              </w:rPr>
              <w:t>References</w:t>
            </w:r>
            <w:r w:rsidR="003315CE" w:rsidRPr="00515B99">
              <w:rPr>
                <w:noProof/>
              </w:rPr>
              <w:tab/>
            </w:r>
            <w:r w:rsidR="003315CE" w:rsidRPr="00515B99">
              <w:rPr>
                <w:noProof/>
              </w:rPr>
              <w:fldChar w:fldCharType="begin"/>
            </w:r>
            <w:r w:rsidR="003315CE" w:rsidRPr="00515B99">
              <w:rPr>
                <w:noProof/>
              </w:rPr>
              <w:instrText xml:space="preserve"> PAGEREF _Toc231939955 \h </w:instrText>
            </w:r>
            <w:r w:rsidR="003315CE" w:rsidRPr="00515B99">
              <w:rPr>
                <w:noProof/>
              </w:rPr>
            </w:r>
            <w:r w:rsidR="003315CE" w:rsidRPr="00515B99">
              <w:rPr>
                <w:noProof/>
              </w:rPr>
              <w:fldChar w:fldCharType="separate"/>
            </w:r>
            <w:r w:rsidR="003315CE" w:rsidRPr="00515B99">
              <w:rPr>
                <w:noProof/>
              </w:rPr>
              <w:t>1</w:t>
            </w:r>
            <w:r w:rsidR="00F47473">
              <w:rPr>
                <w:noProof/>
              </w:rPr>
              <w:t>6</w:t>
            </w:r>
            <w:r w:rsidR="003315CE" w:rsidRPr="00515B99">
              <w:rPr>
                <w:noProof/>
              </w:rPr>
              <w:fldChar w:fldCharType="end"/>
            </w:r>
          </w:hyperlink>
          <w:bookmarkStart w:id="1" w:name="_GoBack"/>
          <w:bookmarkEnd w:id="1"/>
        </w:p>
        <w:p w:rsidR="006A7079" w:rsidRPr="00515B99" w:rsidRDefault="003537B9" w:rsidP="00515B99">
          <w:pPr>
            <w:spacing w:line="360" w:lineRule="auto"/>
          </w:pPr>
          <w:r w:rsidRPr="00515B99">
            <w:fldChar w:fldCharType="end"/>
          </w:r>
          <w:r w:rsidR="00FD75D3" w:rsidRPr="00515B99">
            <w:t>Appendix</w:t>
          </w:r>
        </w:p>
      </w:sdtContent>
    </w:sdt>
    <w:p w:rsidR="00014A42" w:rsidRPr="00515B99" w:rsidRDefault="00014A42" w:rsidP="00515B99">
      <w:pPr>
        <w:spacing w:line="360" w:lineRule="auto"/>
      </w:pPr>
    </w:p>
    <w:p w:rsidR="00014A42" w:rsidRPr="00515B99" w:rsidRDefault="00014A42" w:rsidP="00515B99">
      <w:pPr>
        <w:spacing w:line="360" w:lineRule="auto"/>
      </w:pPr>
      <w:r w:rsidRPr="00515B99">
        <w:br w:type="page"/>
      </w:r>
    </w:p>
    <w:p w:rsidR="00014A42" w:rsidRPr="00515B99" w:rsidRDefault="00014A42" w:rsidP="00515B99">
      <w:pPr>
        <w:pStyle w:val="Heading1"/>
        <w:spacing w:after="0" w:line="360" w:lineRule="auto"/>
        <w:rPr>
          <w:sz w:val="24"/>
          <w:szCs w:val="24"/>
        </w:rPr>
      </w:pPr>
      <w:r w:rsidRPr="00515B99">
        <w:rPr>
          <w:rStyle w:val="Strong"/>
          <w:b/>
          <w:bCs/>
          <w:sz w:val="24"/>
          <w:szCs w:val="24"/>
        </w:rPr>
        <w:lastRenderedPageBreak/>
        <w:t>List of Abbreviations</w:t>
      </w:r>
    </w:p>
    <w:p w:rsidR="006A7079" w:rsidRPr="00515B99" w:rsidRDefault="006A7079" w:rsidP="00515B99">
      <w:pPr>
        <w:spacing w:line="360" w:lineRule="auto"/>
      </w:pPr>
    </w:p>
    <w:tbl>
      <w:tblPr>
        <w:tblpPr w:leftFromText="180" w:rightFromText="180" w:vertAnchor="text" w:horzAnchor="margin" w:tblpXSpec="center" w:tblpY="16"/>
        <w:tblW w:w="901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27"/>
        <w:gridCol w:w="7190"/>
      </w:tblGrid>
      <w:tr w:rsidR="008871F4" w:rsidRPr="00515B99" w:rsidTr="008871F4">
        <w:trPr>
          <w:trHeight w:val="415"/>
          <w:tblHeader/>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bookmarkStart w:id="2" w:name="_Toc231939945"/>
            <w:r w:rsidRPr="00515B99">
              <w:rPr>
                <w:rFonts w:eastAsia="Times New Roman"/>
                <w:b/>
                <w:bCs/>
              </w:rPr>
              <w:t>Short Form</w:t>
            </w:r>
          </w:p>
        </w:tc>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Full Form</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HUM</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Helios Urban Mobility</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MBA</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Master of Business Administration</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HR</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Human Resources</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HRM</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Human Resource Management</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IHRM</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International Human Resource Management</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AI</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Artificial Intelligence</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ITM</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Internal Talent Marketplace</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JCM</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Job Characteristics Model</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MPS</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Motivating Potential Score</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SDT</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Self</w:t>
            </w:r>
            <w:r w:rsidRPr="00515B99">
              <w:rPr>
                <w:rFonts w:eastAsia="Times New Roman"/>
              </w:rPr>
              <w:noBreakHyphen/>
              <w:t>Determination Theory</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CIPD</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Chartered Institute of Personnel and Development</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WEF</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World Economic Forum</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AIHR</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Academy to Innovate HR</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KPI</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Key Performance Indicator</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CEO</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Chief Executive Officer</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CTO</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Chief Technology Officer</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R&amp;D</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Research and Development</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UK</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United Kingdom</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EU</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European Union</w:t>
            </w:r>
          </w:p>
        </w:tc>
      </w:tr>
    </w:tbl>
    <w:p w:rsidR="00014A42" w:rsidRPr="00515B99" w:rsidRDefault="00014A42" w:rsidP="00515B99">
      <w:pPr>
        <w:pStyle w:val="Heading1"/>
        <w:spacing w:line="360" w:lineRule="auto"/>
        <w:rPr>
          <w:sz w:val="24"/>
          <w:szCs w:val="24"/>
        </w:rPr>
      </w:pPr>
    </w:p>
    <w:p w:rsidR="00014A42" w:rsidRPr="00515B99" w:rsidRDefault="00014A42" w:rsidP="00515B99">
      <w:pPr>
        <w:spacing w:line="360" w:lineRule="auto"/>
        <w:rPr>
          <w:b/>
          <w:bCs/>
          <w:color w:val="1F3864"/>
        </w:rPr>
      </w:pPr>
      <w:r w:rsidRPr="00515B99">
        <w:br w:type="page"/>
      </w:r>
    </w:p>
    <w:p w:rsidR="006A7079" w:rsidRPr="00515B99" w:rsidRDefault="003537B9" w:rsidP="00515B99">
      <w:pPr>
        <w:pStyle w:val="Heading1"/>
        <w:spacing w:before="0" w:after="0"/>
        <w:rPr>
          <w:sz w:val="24"/>
          <w:szCs w:val="24"/>
        </w:rPr>
      </w:pPr>
      <w:r w:rsidRPr="00515B99">
        <w:rPr>
          <w:sz w:val="24"/>
          <w:szCs w:val="24"/>
        </w:rPr>
        <w:lastRenderedPageBreak/>
        <w:t>Task A: Socialisation, Identity &amp; Business Activism</w:t>
      </w:r>
      <w:bookmarkEnd w:id="2"/>
    </w:p>
    <w:p w:rsidR="006A7079" w:rsidRPr="00515B99" w:rsidRDefault="006A7079" w:rsidP="00515B99">
      <w:pPr>
        <w:pBdr>
          <w:bottom w:val="single" w:sz="4" w:space="1" w:color="2E5496"/>
        </w:pBdr>
      </w:pPr>
    </w:p>
    <w:p w:rsidR="006A7079" w:rsidRPr="00515B99" w:rsidRDefault="006A7079" w:rsidP="00515B99">
      <w:pPr>
        <w:spacing w:before="40" w:line="360" w:lineRule="auto"/>
      </w:pPr>
    </w:p>
    <w:p w:rsidR="006A7079" w:rsidRPr="00515B99" w:rsidRDefault="003537B9" w:rsidP="00384DDE">
      <w:pPr>
        <w:pStyle w:val="Heading2"/>
        <w:spacing w:before="0" w:line="360" w:lineRule="auto"/>
      </w:pPr>
      <w:bookmarkStart w:id="3" w:name="_Toc231939946"/>
      <w:r w:rsidRPr="00515B99">
        <w:t xml:space="preserve">1. Critical Evaluation: Traditional </w:t>
      </w:r>
      <w:r w:rsidR="009632EF" w:rsidRPr="00515B99">
        <w:t>On boarding</w:t>
      </w:r>
      <w:r w:rsidRPr="00515B99">
        <w:t xml:space="preserve"> vs. Strategic Organisational Socialisation</w:t>
      </w:r>
      <w:bookmarkEnd w:id="3"/>
    </w:p>
    <w:p w:rsidR="00A83C62" w:rsidRPr="00515B99" w:rsidRDefault="00A83C62" w:rsidP="00515B99">
      <w:pPr>
        <w:spacing w:line="360" w:lineRule="auto"/>
        <w:jc w:val="both"/>
        <w:rPr>
          <w:rFonts w:eastAsia="Times New Roman"/>
        </w:rPr>
      </w:pPr>
      <w:r w:rsidRPr="00515B99">
        <w:rPr>
          <w:rFonts w:eastAsia="Times New Roman"/>
        </w:rPr>
        <w:t xml:space="preserve">Traditional </w:t>
      </w:r>
      <w:proofErr w:type="spellStart"/>
      <w:r w:rsidRPr="00515B99">
        <w:rPr>
          <w:rFonts w:eastAsia="Times New Roman"/>
        </w:rPr>
        <w:t>onboarding</w:t>
      </w:r>
      <w:proofErr w:type="spellEnd"/>
      <w:r w:rsidRPr="00515B99">
        <w:rPr>
          <w:rFonts w:eastAsia="Times New Roman"/>
        </w:rPr>
        <w:t xml:space="preserve"> typically focuses on administrative induction, compliance briefings and procedural orientation. This approach reflects a transactional, organisation</w:t>
      </w:r>
      <w:r w:rsidRPr="00515B99">
        <w:rPr>
          <w:rFonts w:eastAsia="Times New Roman"/>
        </w:rPr>
        <w:noBreakHyphen/>
        <w:t xml:space="preserve">centred logic that positions newcomers as passive recipients rather than active contributors (Cable, Gino and </w:t>
      </w:r>
      <w:proofErr w:type="spellStart"/>
      <w:r w:rsidRPr="00515B99">
        <w:rPr>
          <w:rFonts w:eastAsia="Times New Roman"/>
        </w:rPr>
        <w:t>Staats</w:t>
      </w:r>
      <w:proofErr w:type="spellEnd"/>
      <w:r w:rsidRPr="00515B99">
        <w:rPr>
          <w:rFonts w:eastAsia="Times New Roman"/>
        </w:rPr>
        <w:t>, 2013). Such processes overlook the psychological and social complexity of organisational entry, particularly in hybrid and cross</w:t>
      </w:r>
      <w:r w:rsidRPr="00515B99">
        <w:rPr>
          <w:rFonts w:eastAsia="Times New Roman"/>
        </w:rPr>
        <w:noBreakHyphen/>
        <w:t>cultural environments where fragmented cues weaken early sense</w:t>
      </w:r>
      <w:r w:rsidRPr="00515B99">
        <w:rPr>
          <w:rFonts w:eastAsia="Times New Roman"/>
        </w:rPr>
        <w:noBreakHyphen/>
        <w:t xml:space="preserve">making (Klein et al., 2022). Research increasingly critiques traditional </w:t>
      </w:r>
      <w:proofErr w:type="spellStart"/>
      <w:r w:rsidRPr="00515B99">
        <w:rPr>
          <w:rFonts w:eastAsia="Times New Roman"/>
        </w:rPr>
        <w:t>onboarding</w:t>
      </w:r>
      <w:proofErr w:type="spellEnd"/>
      <w:r w:rsidRPr="00515B99">
        <w:rPr>
          <w:rFonts w:eastAsia="Times New Roman"/>
        </w:rPr>
        <w:t xml:space="preserve"> for overemphasising organisational control and underestimating newcomer agency, suggesting that socialisation is a negotiated process shaped by reciprocal expectations (Cooper</w:t>
      </w:r>
      <w:r w:rsidRPr="00515B99">
        <w:rPr>
          <w:rFonts w:eastAsia="Times New Roman"/>
        </w:rPr>
        <w:noBreakHyphen/>
        <w:t>Thomas &amp; Anderson, 2020).</w:t>
      </w:r>
    </w:p>
    <w:p w:rsidR="00A83C62" w:rsidRPr="00515B99" w:rsidRDefault="00A83C62" w:rsidP="00515B99">
      <w:pPr>
        <w:spacing w:before="240" w:line="360" w:lineRule="auto"/>
        <w:jc w:val="both"/>
        <w:rPr>
          <w:rFonts w:eastAsia="Times New Roman"/>
        </w:rPr>
      </w:pPr>
      <w:r w:rsidRPr="00515B99">
        <w:rPr>
          <w:rFonts w:eastAsia="Times New Roman"/>
        </w:rPr>
        <w:t xml:space="preserve">Van </w:t>
      </w:r>
      <w:proofErr w:type="spellStart"/>
      <w:r w:rsidRPr="00515B99">
        <w:rPr>
          <w:rFonts w:eastAsia="Times New Roman"/>
        </w:rPr>
        <w:t>Maanen</w:t>
      </w:r>
      <w:proofErr w:type="spellEnd"/>
      <w:r w:rsidRPr="00515B99">
        <w:rPr>
          <w:rFonts w:eastAsia="Times New Roman"/>
        </w:rPr>
        <w:t xml:space="preserve"> and Schein’s (1979) socialisation framework provides a more sophisticated lens by distinguishing between institutionalised tactics (collective, sequential, serial) and individualised tactics that allow personal interpretation. Institutionalised approaches can create stability but risk producing custodial </w:t>
      </w:r>
      <w:proofErr w:type="spellStart"/>
      <w:r w:rsidRPr="00515B99">
        <w:rPr>
          <w:rFonts w:eastAsia="Times New Roman"/>
        </w:rPr>
        <w:t>mindsets</w:t>
      </w:r>
      <w:proofErr w:type="spellEnd"/>
      <w:r w:rsidRPr="00515B99">
        <w:rPr>
          <w:rFonts w:eastAsia="Times New Roman"/>
        </w:rPr>
        <w:t>, while individualised tactics foster innovation and identity experimentation. For HUM, operating across London, Berlin and Singapore, an over</w:t>
      </w:r>
      <w:r w:rsidRPr="00515B99">
        <w:rPr>
          <w:rFonts w:eastAsia="Times New Roman"/>
        </w:rPr>
        <w:noBreakHyphen/>
        <w:t xml:space="preserve">reliance on institutionalised tactics may suppress the innovative </w:t>
      </w:r>
      <w:proofErr w:type="spellStart"/>
      <w:r w:rsidRPr="00515B99">
        <w:rPr>
          <w:rFonts w:eastAsia="Times New Roman"/>
        </w:rPr>
        <w:t>mindset</w:t>
      </w:r>
      <w:proofErr w:type="spellEnd"/>
      <w:r w:rsidRPr="00515B99">
        <w:rPr>
          <w:rFonts w:eastAsia="Times New Roman"/>
        </w:rPr>
        <w:t xml:space="preserve"> required in a fast</w:t>
      </w:r>
      <w:r w:rsidRPr="00515B99">
        <w:rPr>
          <w:rFonts w:eastAsia="Times New Roman"/>
        </w:rPr>
        <w:noBreakHyphen/>
        <w:t>moving smart</w:t>
      </w:r>
      <w:r w:rsidRPr="00515B99">
        <w:rPr>
          <w:rFonts w:eastAsia="Times New Roman"/>
        </w:rPr>
        <w:noBreakHyphen/>
        <w:t>mobility sector. However, the model has been criticised for assuming linear progression through stages, an assumption increasingly incompatible with fluid, project</w:t>
      </w:r>
      <w:r w:rsidRPr="00515B99">
        <w:rPr>
          <w:rFonts w:eastAsia="Times New Roman"/>
        </w:rPr>
        <w:noBreakHyphen/>
        <w:t xml:space="preserve">based and hybrid work structures (Ashford &amp; </w:t>
      </w:r>
      <w:proofErr w:type="spellStart"/>
      <w:r w:rsidRPr="00515B99">
        <w:rPr>
          <w:rFonts w:eastAsia="Times New Roman"/>
        </w:rPr>
        <w:t>Nurmohamed</w:t>
      </w:r>
      <w:proofErr w:type="spellEnd"/>
      <w:r w:rsidRPr="00515B99">
        <w:rPr>
          <w:rFonts w:eastAsia="Times New Roman"/>
        </w:rPr>
        <w:t>, 2021).</w:t>
      </w:r>
    </w:p>
    <w:p w:rsidR="00515B99" w:rsidRDefault="004605D2" w:rsidP="00F05AE4">
      <w:pPr>
        <w:spacing w:line="360" w:lineRule="auto"/>
        <w:jc w:val="center"/>
        <w:rPr>
          <w:sz w:val="20"/>
        </w:rPr>
      </w:pPr>
      <w:r w:rsidRPr="00515B99">
        <w:rPr>
          <w:noProof/>
          <w:sz w:val="20"/>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369</wp:posOffset>
            </wp:positionV>
            <wp:extent cx="5966460" cy="3585845"/>
            <wp:effectExtent l="0" t="0" r="0" b="0"/>
            <wp:wrapTight wrapText="bothSides">
              <wp:wrapPolygon edited="0">
                <wp:start x="0" y="0"/>
                <wp:lineTo x="0" y="21458"/>
                <wp:lineTo x="21517" y="21458"/>
                <wp:lineTo x="21517" y="0"/>
                <wp:lineTo x="0" y="0"/>
              </wp:wrapPolygon>
            </wp:wrapTight>
            <wp:docPr id="1" name="Figure 2: Van Maanen &amp; Schein Tactics Ra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033936" cy="3626398"/>
                    </a:xfrm>
                    <a:prstGeom prst="rect">
                      <a:avLst/>
                    </a:prstGeom>
                  </pic:spPr>
                </pic:pic>
              </a:graphicData>
            </a:graphic>
            <wp14:sizeRelH relativeFrom="margin">
              <wp14:pctWidth>0</wp14:pctWidth>
            </wp14:sizeRelH>
            <wp14:sizeRelV relativeFrom="margin">
              <wp14:pctHeight>0</wp14:pctHeight>
            </wp14:sizeRelV>
          </wp:anchor>
        </w:drawing>
      </w:r>
      <w:r w:rsidR="003537B9" w:rsidRPr="00515B99">
        <w:rPr>
          <w:i/>
          <w:iCs/>
          <w:color w:val="555555"/>
          <w:sz w:val="20"/>
        </w:rPr>
        <w:t xml:space="preserve">Figure 1: Comparison of Socialisation Tactics: Traditional vs. Strategic Approach (Adapted from Van </w:t>
      </w:r>
      <w:proofErr w:type="spellStart"/>
      <w:r w:rsidR="003537B9" w:rsidRPr="00515B99">
        <w:rPr>
          <w:i/>
          <w:iCs/>
          <w:color w:val="555555"/>
          <w:sz w:val="20"/>
        </w:rPr>
        <w:t>Maanen</w:t>
      </w:r>
      <w:proofErr w:type="spellEnd"/>
      <w:r w:rsidR="003537B9" w:rsidRPr="00515B99">
        <w:rPr>
          <w:i/>
          <w:iCs/>
          <w:color w:val="555555"/>
          <w:sz w:val="20"/>
        </w:rPr>
        <w:t xml:space="preserve"> &amp; Schein, 1979) (Source: Author's own illustration/analysis)</w:t>
      </w:r>
    </w:p>
    <w:p w:rsidR="00F05AE4" w:rsidRPr="00515B99" w:rsidRDefault="00F05AE4" w:rsidP="00F05AE4">
      <w:pPr>
        <w:spacing w:line="360" w:lineRule="auto"/>
        <w:jc w:val="center"/>
        <w:rPr>
          <w:sz w:val="20"/>
        </w:rPr>
      </w:pPr>
    </w:p>
    <w:p w:rsidR="00A83C62" w:rsidRPr="00515B99" w:rsidRDefault="00A83C62" w:rsidP="00515B99">
      <w:pPr>
        <w:spacing w:after="240" w:line="360" w:lineRule="auto"/>
        <w:jc w:val="both"/>
        <w:rPr>
          <w:rFonts w:eastAsia="Times New Roman"/>
        </w:rPr>
      </w:pPr>
      <w:bookmarkStart w:id="4" w:name="_Toc231939947"/>
      <w:r w:rsidRPr="00515B99">
        <w:rPr>
          <w:rFonts w:eastAsia="Times New Roman"/>
        </w:rPr>
        <w:t xml:space="preserve">Psychological contract theory (Rousseau, 1989) further exposes the limitations of traditional </w:t>
      </w:r>
      <w:proofErr w:type="spellStart"/>
      <w:r w:rsidRPr="00515B99">
        <w:rPr>
          <w:rFonts w:eastAsia="Times New Roman"/>
        </w:rPr>
        <w:t>onboarding</w:t>
      </w:r>
      <w:proofErr w:type="spellEnd"/>
      <w:r w:rsidRPr="00515B99">
        <w:rPr>
          <w:rFonts w:eastAsia="Times New Roman"/>
        </w:rPr>
        <w:t>. The psychological contract - the unwritten expectations between employer and employee is shaped most powerfully during early organisational entry. HUM’s eight</w:t>
      </w:r>
      <w:r w:rsidRPr="00515B99">
        <w:rPr>
          <w:rFonts w:eastAsia="Times New Roman"/>
        </w:rPr>
        <w:noBreakHyphen/>
        <w:t>month ramp</w:t>
      </w:r>
      <w:r w:rsidRPr="00515B99">
        <w:rPr>
          <w:rFonts w:eastAsia="Times New Roman"/>
        </w:rPr>
        <w:noBreakHyphen/>
        <w:t>up period and fragmented induction likely create perceived breaches, contributing to disengagement and graduate attrition (Coyle</w:t>
      </w:r>
      <w:r w:rsidRPr="00515B99">
        <w:rPr>
          <w:rFonts w:eastAsia="Times New Roman"/>
        </w:rPr>
        <w:noBreakHyphen/>
        <w:t>Shapiro &amp; Kessler, 2000). Contemporary research shows that digital touchpoints and employer branding now shape psychological contracts more strongly than formal HR processes, making early breaches more salient (Bal &amp; Rousseau, 2020).</w:t>
      </w:r>
    </w:p>
    <w:p w:rsidR="00A83C62" w:rsidRPr="00515B99" w:rsidRDefault="00A83C62" w:rsidP="00515B99">
      <w:pPr>
        <w:spacing w:line="360" w:lineRule="auto"/>
        <w:jc w:val="both"/>
        <w:rPr>
          <w:rFonts w:eastAsia="Times New Roman"/>
        </w:rPr>
      </w:pPr>
      <w:r w:rsidRPr="00515B99">
        <w:rPr>
          <w:rFonts w:eastAsia="Times New Roman"/>
        </w:rPr>
        <w:t>Identity construction theory (Pratt, 1998) adds a further dimension. Newcomers actively seek cues to construct a professional identity aligned with organisational purpose. HUM’s mission sustainable, AI</w:t>
      </w:r>
      <w:r w:rsidRPr="00515B99">
        <w:rPr>
          <w:rFonts w:eastAsia="Times New Roman"/>
        </w:rPr>
        <w:noBreakHyphen/>
        <w:t>enabled urban mobility offers strong identity potential, yet inconsistent cultural signals across its tri</w:t>
      </w:r>
      <w:r w:rsidRPr="00515B99">
        <w:rPr>
          <w:rFonts w:eastAsia="Times New Roman"/>
        </w:rPr>
        <w:noBreakHyphen/>
        <w:t>city structure risk identity fragmentation (Alvesson et al., 2020). This challenge is intensified in high</w:t>
      </w:r>
      <w:r w:rsidRPr="00515B99">
        <w:rPr>
          <w:rFonts w:eastAsia="Times New Roman"/>
        </w:rPr>
        <w:noBreakHyphen/>
        <w:t>skill technical environments where professional identities often compete with organisational ones (</w:t>
      </w:r>
      <w:proofErr w:type="spellStart"/>
      <w:r w:rsidRPr="00515B99">
        <w:rPr>
          <w:rFonts w:eastAsia="Times New Roman"/>
        </w:rPr>
        <w:t>Petriglieri</w:t>
      </w:r>
      <w:proofErr w:type="spellEnd"/>
      <w:r w:rsidRPr="00515B99">
        <w:rPr>
          <w:rFonts w:eastAsia="Times New Roman"/>
        </w:rPr>
        <w:t>, 2019).</w:t>
      </w:r>
    </w:p>
    <w:p w:rsidR="004605D2" w:rsidRPr="00515B99" w:rsidRDefault="00A83C62" w:rsidP="00515B99">
      <w:pPr>
        <w:spacing w:before="100" w:beforeAutospacing="1" w:after="100" w:afterAutospacing="1" w:line="360" w:lineRule="auto"/>
        <w:jc w:val="both"/>
        <w:rPr>
          <w:rFonts w:eastAsia="Times New Roman"/>
        </w:rPr>
      </w:pPr>
      <w:r w:rsidRPr="00515B99">
        <w:rPr>
          <w:rFonts w:eastAsia="Times New Roman"/>
        </w:rPr>
        <w:t>Strategic organisational socialisation offers a more holistic alternative. It integrates operational learning with cultural, ethical and purpose</w:t>
      </w:r>
      <w:r w:rsidRPr="00515B99">
        <w:rPr>
          <w:rFonts w:eastAsia="Times New Roman"/>
        </w:rPr>
        <w:noBreakHyphen/>
        <w:t xml:space="preserve">driven elements, recognising that commitment is constructed through structured experiences and reciprocal relationships (Saks &amp; </w:t>
      </w:r>
      <w:proofErr w:type="spellStart"/>
      <w:r w:rsidRPr="00515B99">
        <w:rPr>
          <w:rFonts w:eastAsia="Times New Roman"/>
        </w:rPr>
        <w:t>Gruman</w:t>
      </w:r>
      <w:proofErr w:type="spellEnd"/>
      <w:r w:rsidRPr="00515B99">
        <w:rPr>
          <w:rFonts w:eastAsia="Times New Roman"/>
        </w:rPr>
        <w:t xml:space="preserve">, 2012). Organisations with strategic socialisation report faster </w:t>
      </w:r>
      <w:r w:rsidRPr="00515B99">
        <w:rPr>
          <w:rFonts w:eastAsia="Times New Roman"/>
        </w:rPr>
        <w:lastRenderedPageBreak/>
        <w:t>time</w:t>
      </w:r>
      <w:r w:rsidRPr="00515B99">
        <w:rPr>
          <w:rFonts w:eastAsia="Times New Roman"/>
        </w:rPr>
        <w:noBreakHyphen/>
        <w:t>to</w:t>
      </w:r>
      <w:r w:rsidRPr="00515B99">
        <w:rPr>
          <w:rFonts w:eastAsia="Times New Roman"/>
        </w:rPr>
        <w:noBreakHyphen/>
        <w:t>productivity and higher early</w:t>
      </w:r>
      <w:r w:rsidRPr="00515B99">
        <w:rPr>
          <w:rFonts w:eastAsia="Times New Roman"/>
        </w:rPr>
        <w:noBreakHyphen/>
        <w:t xml:space="preserve">tenure retention (Bauer, 2023). However, strategic socialisation must be continuously reinforced; without ongoing identity work, early gains dissipate (Ibarra &amp; </w:t>
      </w:r>
      <w:proofErr w:type="spellStart"/>
      <w:r w:rsidRPr="00515B99">
        <w:rPr>
          <w:rFonts w:eastAsia="Times New Roman"/>
        </w:rPr>
        <w:t>Barbulescu</w:t>
      </w:r>
      <w:proofErr w:type="spellEnd"/>
      <w:r w:rsidRPr="00515B99">
        <w:rPr>
          <w:rFonts w:eastAsia="Times New Roman"/>
        </w:rPr>
        <w:t>, 2019).</w:t>
      </w:r>
    </w:p>
    <w:p w:rsidR="006A7079" w:rsidRPr="00515B99" w:rsidRDefault="003537B9" w:rsidP="00515B99">
      <w:pPr>
        <w:pStyle w:val="Heading2"/>
        <w:spacing w:line="360" w:lineRule="auto"/>
        <w:jc w:val="both"/>
      </w:pPr>
      <w:r w:rsidRPr="00515B99">
        <w:t>2. Structured Socialisation Framework for Helios Urban Mobility</w:t>
      </w:r>
      <w:bookmarkEnd w:id="4"/>
    </w:p>
    <w:p w:rsidR="006A7079" w:rsidRPr="00515B99" w:rsidRDefault="00F6202D" w:rsidP="00515B99">
      <w:pPr>
        <w:spacing w:before="120" w:after="80" w:line="360" w:lineRule="auto"/>
        <w:jc w:val="both"/>
      </w:pPr>
      <w:r w:rsidRPr="00515B99">
        <w:rPr>
          <w:noProof/>
        </w:rPr>
        <w:drawing>
          <wp:anchor distT="0" distB="0" distL="114300" distR="114300" simplePos="0" relativeHeight="251660288" behindDoc="0" locked="0" layoutInCell="1" allowOverlap="1">
            <wp:simplePos x="0" y="0"/>
            <wp:positionH relativeFrom="margin">
              <wp:align>right</wp:align>
            </wp:positionH>
            <wp:positionV relativeFrom="paragraph">
              <wp:posOffset>450563</wp:posOffset>
            </wp:positionV>
            <wp:extent cx="6082030" cy="4011295"/>
            <wp:effectExtent l="0" t="0" r="0" b="0"/>
            <wp:wrapThrough wrapText="bothSides">
              <wp:wrapPolygon edited="0">
                <wp:start x="4262" y="308"/>
                <wp:lineTo x="541" y="1436"/>
                <wp:lineTo x="135" y="1641"/>
                <wp:lineTo x="135" y="20413"/>
                <wp:lineTo x="271" y="21234"/>
                <wp:lineTo x="338" y="21439"/>
                <wp:lineTo x="21108" y="21439"/>
                <wp:lineTo x="21244" y="21234"/>
                <wp:lineTo x="21379" y="20208"/>
                <wp:lineTo x="21514" y="1641"/>
                <wp:lineTo x="20567" y="1334"/>
                <wp:lineTo x="17117" y="308"/>
                <wp:lineTo x="4262" y="308"/>
              </wp:wrapPolygon>
            </wp:wrapThrough>
            <wp:docPr id="2" name="Figure 1: Helios Socialisatio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082030" cy="4011295"/>
                    </a:xfrm>
                    <a:prstGeom prst="rect">
                      <a:avLst/>
                    </a:prstGeom>
                  </pic:spPr>
                </pic:pic>
              </a:graphicData>
            </a:graphic>
            <wp14:sizeRelH relativeFrom="margin">
              <wp14:pctWidth>0</wp14:pctWidth>
            </wp14:sizeRelH>
            <wp14:sizeRelV relativeFrom="margin">
              <wp14:pctHeight>0</wp14:pctHeight>
            </wp14:sizeRelV>
          </wp:anchor>
        </w:drawing>
      </w:r>
      <w:r w:rsidR="004605D2" w:rsidRPr="00515B99">
        <w:t>The proposed framework spans pre</w:t>
      </w:r>
      <w:r w:rsidR="004605D2" w:rsidRPr="00515B99">
        <w:rPr>
          <w:rFonts w:ascii="Cambria Math" w:hAnsi="Cambria Math" w:cs="Cambria Math"/>
        </w:rPr>
        <w:t>‑</w:t>
      </w:r>
      <w:r w:rsidR="004605D2" w:rsidRPr="00515B99">
        <w:t xml:space="preserve">boarding, the first 90 days, and year one, drawing on Van </w:t>
      </w:r>
      <w:proofErr w:type="spellStart"/>
      <w:r w:rsidR="004605D2" w:rsidRPr="00515B99">
        <w:t>Maanen</w:t>
      </w:r>
      <w:proofErr w:type="spellEnd"/>
      <w:r w:rsidR="004605D2" w:rsidRPr="00515B99">
        <w:t xml:space="preserve"> and Schein’s (1979) tactics and psychological contract principles.</w:t>
      </w:r>
    </w:p>
    <w:p w:rsidR="00497AC8" w:rsidRPr="00515B99" w:rsidRDefault="003537B9" w:rsidP="00515B99">
      <w:pPr>
        <w:spacing w:line="360" w:lineRule="auto"/>
        <w:jc w:val="center"/>
        <w:rPr>
          <w:i/>
          <w:iCs/>
          <w:color w:val="555555"/>
          <w:sz w:val="20"/>
        </w:rPr>
      </w:pPr>
      <w:r w:rsidRPr="00515B99">
        <w:rPr>
          <w:i/>
          <w:iCs/>
          <w:color w:val="555555"/>
          <w:sz w:val="20"/>
        </w:rPr>
        <w:t>Figure</w:t>
      </w:r>
      <w:r w:rsidR="001E6FDC" w:rsidRPr="00515B99">
        <w:rPr>
          <w:i/>
          <w:iCs/>
          <w:color w:val="555555"/>
          <w:sz w:val="20"/>
        </w:rPr>
        <w:t xml:space="preserve"> 2: Helios Urban Mobility - The</w:t>
      </w:r>
      <w:r w:rsidRPr="00515B99">
        <w:rPr>
          <w:i/>
          <w:iCs/>
          <w:color w:val="555555"/>
          <w:sz w:val="20"/>
        </w:rPr>
        <w:t xml:space="preserve"> Strategic Socialisation Framework </w:t>
      </w:r>
    </w:p>
    <w:p w:rsidR="00515B99" w:rsidRDefault="00497AC8" w:rsidP="00384DDE">
      <w:pPr>
        <w:spacing w:line="360" w:lineRule="auto"/>
        <w:jc w:val="center"/>
        <w:rPr>
          <w:i/>
          <w:iCs/>
          <w:color w:val="555555"/>
          <w:sz w:val="20"/>
        </w:rPr>
      </w:pPr>
      <w:r w:rsidRPr="00515B99">
        <w:rPr>
          <w:i/>
          <w:iCs/>
          <w:color w:val="555555"/>
          <w:sz w:val="20"/>
        </w:rPr>
        <w:t>(Source: Author's own illustration/analysis)</w:t>
      </w:r>
    </w:p>
    <w:p w:rsidR="00F05AE4" w:rsidRPr="00384DDE" w:rsidRDefault="00F05AE4" w:rsidP="00384DDE">
      <w:pPr>
        <w:spacing w:line="360" w:lineRule="auto"/>
        <w:jc w:val="center"/>
        <w:rPr>
          <w:i/>
          <w:iCs/>
          <w:color w:val="555555"/>
          <w:sz w:val="20"/>
        </w:rPr>
      </w:pPr>
    </w:p>
    <w:p w:rsidR="006A7079" w:rsidRPr="00515B99" w:rsidRDefault="003537B9" w:rsidP="00515B99">
      <w:pPr>
        <w:spacing w:before="200" w:after="80" w:line="360" w:lineRule="auto"/>
      </w:pPr>
      <w:r w:rsidRPr="00515B99">
        <w:rPr>
          <w:b/>
          <w:bCs/>
          <w:color w:val="2E5496"/>
        </w:rPr>
        <w:t>Phase 1: Pre-Boarding (Weeks −4 to 0)</w:t>
      </w:r>
    </w:p>
    <w:p w:rsidR="009632EF" w:rsidRPr="00515B99" w:rsidRDefault="004605D2" w:rsidP="00515B99">
      <w:pPr>
        <w:spacing w:before="40" w:after="40" w:line="360" w:lineRule="auto"/>
        <w:jc w:val="both"/>
      </w:pPr>
      <w:r w:rsidRPr="00515B99">
        <w:t>HUM should implement a digital pre</w:t>
      </w:r>
      <w:r w:rsidRPr="00515B99">
        <w:rPr>
          <w:rFonts w:ascii="Cambria Math" w:hAnsi="Cambria Math" w:cs="Cambria Math"/>
        </w:rPr>
        <w:t>‑</w:t>
      </w:r>
      <w:r w:rsidRPr="00515B99">
        <w:t>boarding portal offering access to mission narratives, strategic documents, team introductions and city</w:t>
      </w:r>
      <w:r w:rsidRPr="00515B99">
        <w:rPr>
          <w:rFonts w:ascii="Cambria Math" w:hAnsi="Cambria Math" w:cs="Cambria Math"/>
        </w:rPr>
        <w:t>‑</w:t>
      </w:r>
      <w:r w:rsidRPr="00515B99">
        <w:t>specific cultural guides. A personalised “Helios Passport” should outline how each role contributes to the wider urban mobility mission, supporting early identity construction (</w:t>
      </w:r>
      <w:proofErr w:type="spellStart"/>
      <w:r w:rsidRPr="00515B99">
        <w:t>Gruman</w:t>
      </w:r>
      <w:proofErr w:type="spellEnd"/>
      <w:r w:rsidRPr="00515B99">
        <w:t>, Saks and Zweig, 2006). A pre</w:t>
      </w:r>
      <w:r w:rsidRPr="00515B99">
        <w:rPr>
          <w:rFonts w:ascii="Cambria Math" w:hAnsi="Cambria Math" w:cs="Cambria Math"/>
        </w:rPr>
        <w:t>‑</w:t>
      </w:r>
      <w:r w:rsidRPr="00515B99">
        <w:t>start meeting with the line manager should clarify expectations and establish the psychological contract. Pre</w:t>
      </w:r>
      <w:r w:rsidRPr="00515B99">
        <w:rPr>
          <w:rFonts w:ascii="Cambria Math" w:hAnsi="Cambria Math" w:cs="Cambria Math"/>
        </w:rPr>
        <w:t>‑</w:t>
      </w:r>
      <w:r w:rsidRPr="00515B99">
        <w:t>boarding interventions significantly reduce anxiety and accelerate time</w:t>
      </w:r>
      <w:r w:rsidRPr="00515B99">
        <w:rPr>
          <w:rFonts w:ascii="Cambria Math" w:hAnsi="Cambria Math" w:cs="Cambria Math"/>
        </w:rPr>
        <w:t>‑</w:t>
      </w:r>
      <w:r w:rsidRPr="00515B99">
        <w:t>to</w:t>
      </w:r>
      <w:r w:rsidRPr="00515B99">
        <w:rPr>
          <w:rFonts w:ascii="Cambria Math" w:hAnsi="Cambria Math" w:cs="Cambria Math"/>
        </w:rPr>
        <w:t>‑</w:t>
      </w:r>
      <w:r w:rsidRPr="00515B99">
        <w:t>productivity, particularly in complex roles (Saks et al., 2021).</w:t>
      </w:r>
    </w:p>
    <w:p w:rsidR="006A7079" w:rsidRPr="00515B99" w:rsidRDefault="003537B9" w:rsidP="00515B99">
      <w:pPr>
        <w:spacing w:before="200" w:after="80" w:line="360" w:lineRule="auto"/>
      </w:pPr>
      <w:r w:rsidRPr="00515B99">
        <w:rPr>
          <w:b/>
          <w:bCs/>
          <w:color w:val="2E5496"/>
        </w:rPr>
        <w:t>Phase 2: First 90 Days</w:t>
      </w:r>
    </w:p>
    <w:p w:rsidR="004605D2" w:rsidRPr="00515B99" w:rsidRDefault="00B340AD" w:rsidP="00515B99">
      <w:pPr>
        <w:spacing w:line="360" w:lineRule="auto"/>
        <w:jc w:val="both"/>
        <w:rPr>
          <w:b/>
        </w:rPr>
      </w:pPr>
      <w:r w:rsidRPr="00515B99">
        <w:rPr>
          <w:b/>
        </w:rPr>
        <w:lastRenderedPageBreak/>
        <w:t>Days 1-</w:t>
      </w:r>
      <w:r w:rsidR="004605D2" w:rsidRPr="00515B99">
        <w:rPr>
          <w:b/>
        </w:rPr>
        <w:t xml:space="preserve">30:  </w:t>
      </w:r>
    </w:p>
    <w:p w:rsidR="004605D2" w:rsidRPr="00515B99" w:rsidRDefault="004605D2" w:rsidP="00515B99">
      <w:pPr>
        <w:spacing w:line="360" w:lineRule="auto"/>
        <w:jc w:val="both"/>
      </w:pPr>
      <w:r w:rsidRPr="00515B99">
        <w:t xml:space="preserve">A structured “Helios Launchpad” cohort programme should provide collective learning experiences across functions, using collective and serial tactics to build cohesion and provide role models (Van </w:t>
      </w:r>
      <w:proofErr w:type="spellStart"/>
      <w:r w:rsidRPr="00515B99">
        <w:t>Maanen</w:t>
      </w:r>
      <w:proofErr w:type="spellEnd"/>
      <w:r w:rsidRPr="00515B99">
        <w:t xml:space="preserve"> &amp; Schein, 1979). Weekly “Mission Alignment” sessions with senior leaders should connect daily work to organisational purpose. To prevent over</w:t>
      </w:r>
      <w:r w:rsidRPr="00515B99">
        <w:rPr>
          <w:rFonts w:ascii="Cambria Math" w:hAnsi="Cambria Math" w:cs="Cambria Math"/>
        </w:rPr>
        <w:t>‑</w:t>
      </w:r>
      <w:r w:rsidRPr="00515B99">
        <w:t>standardisation, HUM should incorporate reflective spaces where newcomers articulate how their personal values align or misalign with organisational expectations, strengthening psychological contract clarity.</w:t>
      </w:r>
    </w:p>
    <w:p w:rsidR="004605D2" w:rsidRPr="00515B99" w:rsidRDefault="00B340AD" w:rsidP="00384DDE">
      <w:pPr>
        <w:spacing w:before="240" w:line="360" w:lineRule="auto"/>
        <w:jc w:val="both"/>
        <w:rPr>
          <w:b/>
        </w:rPr>
      </w:pPr>
      <w:r w:rsidRPr="00515B99">
        <w:rPr>
          <w:b/>
        </w:rPr>
        <w:t>Days 31-</w:t>
      </w:r>
      <w:r w:rsidR="004605D2" w:rsidRPr="00515B99">
        <w:rPr>
          <w:b/>
        </w:rPr>
        <w:t xml:space="preserve">60:  </w:t>
      </w:r>
    </w:p>
    <w:p w:rsidR="004605D2" w:rsidRPr="00515B99" w:rsidRDefault="004605D2" w:rsidP="00515B99">
      <w:pPr>
        <w:spacing w:line="360" w:lineRule="auto"/>
        <w:jc w:val="both"/>
      </w:pPr>
      <w:r w:rsidRPr="00515B99">
        <w:t>A “Cross</w:t>
      </w:r>
      <w:r w:rsidRPr="00515B99">
        <w:rPr>
          <w:rFonts w:ascii="Cambria Math" w:hAnsi="Cambria Math" w:cs="Cambria Math"/>
        </w:rPr>
        <w:t>‑</w:t>
      </w:r>
      <w:r w:rsidRPr="00515B99">
        <w:t xml:space="preserve">City Connection” initiative should facilitate virtual exchanges between London, Berlin and Singapore teams, reducing </w:t>
      </w:r>
      <w:proofErr w:type="spellStart"/>
      <w:r w:rsidRPr="00515B99">
        <w:t>siloed</w:t>
      </w:r>
      <w:proofErr w:type="spellEnd"/>
      <w:r w:rsidRPr="00515B99">
        <w:t xml:space="preserve"> identity formation and strengthening organisational cohesion. Structured 30</w:t>
      </w:r>
      <w:r w:rsidRPr="00515B99">
        <w:rPr>
          <w:rFonts w:ascii="Cambria Math" w:hAnsi="Cambria Math" w:cs="Cambria Math"/>
        </w:rPr>
        <w:t>‑</w:t>
      </w:r>
      <w:r w:rsidRPr="00515B99">
        <w:t>day check</w:t>
      </w:r>
      <w:r w:rsidRPr="00515B99">
        <w:rPr>
          <w:rFonts w:ascii="Cambria Math" w:hAnsi="Cambria Math" w:cs="Cambria Math"/>
        </w:rPr>
        <w:t>‑</w:t>
      </w:r>
      <w:r w:rsidRPr="00515B99">
        <w:t>ins reinforce psychological contract fulfilment.</w:t>
      </w:r>
    </w:p>
    <w:p w:rsidR="004605D2" w:rsidRPr="00515B99" w:rsidRDefault="004605D2" w:rsidP="00384DDE">
      <w:pPr>
        <w:spacing w:before="240" w:line="360" w:lineRule="auto"/>
        <w:jc w:val="both"/>
        <w:rPr>
          <w:b/>
        </w:rPr>
      </w:pPr>
      <w:r w:rsidRPr="00515B99">
        <w:rPr>
          <w:b/>
        </w:rPr>
        <w:t>Days 6</w:t>
      </w:r>
      <w:r w:rsidR="00B340AD" w:rsidRPr="00515B99">
        <w:rPr>
          <w:b/>
        </w:rPr>
        <w:t>1-</w:t>
      </w:r>
      <w:r w:rsidRPr="00515B99">
        <w:rPr>
          <w:b/>
        </w:rPr>
        <w:t xml:space="preserve">90:  </w:t>
      </w:r>
    </w:p>
    <w:p w:rsidR="00482B1C" w:rsidRPr="00515B99" w:rsidRDefault="004605D2" w:rsidP="00515B99">
      <w:pPr>
        <w:spacing w:line="360" w:lineRule="auto"/>
        <w:jc w:val="both"/>
      </w:pPr>
      <w:r w:rsidRPr="00515B99">
        <w:t>A “Value Contribution Sprint” should require newcomers to present a small project proposal, supporting identity affirmation through contribution (Pratt, 1998). A formal 90</w:t>
      </w:r>
      <w:r w:rsidRPr="00515B99">
        <w:rPr>
          <w:rFonts w:ascii="Cambria Math" w:hAnsi="Cambria Math" w:cs="Cambria Math"/>
        </w:rPr>
        <w:t>‑</w:t>
      </w:r>
      <w:r w:rsidRPr="00515B99">
        <w:t>day review should consolidate expectations for year one.</w:t>
      </w:r>
    </w:p>
    <w:p w:rsidR="006A7079" w:rsidRPr="00515B99" w:rsidRDefault="0042777B" w:rsidP="00384DDE">
      <w:pPr>
        <w:spacing w:before="240" w:after="240" w:line="360" w:lineRule="auto"/>
        <w:jc w:val="both"/>
      </w:pPr>
      <w:r w:rsidRPr="00515B99">
        <w:rPr>
          <w:b/>
          <w:bCs/>
          <w:color w:val="2E5496"/>
        </w:rPr>
        <w:t>Phase 3: Year One</w:t>
      </w:r>
      <w:r w:rsidRPr="00515B99">
        <w:rPr>
          <w:b/>
        </w:rPr>
        <w:t xml:space="preserve">: </w:t>
      </w:r>
      <w:r w:rsidRPr="00515B99">
        <w:rPr>
          <w:b/>
          <w:bCs/>
          <w:color w:val="2E5496"/>
        </w:rPr>
        <w:t>Integration and Activation</w:t>
      </w:r>
    </w:p>
    <w:p w:rsidR="004605D2" w:rsidRPr="00515B99" w:rsidRDefault="004605D2" w:rsidP="00515B99">
      <w:pPr>
        <w:pStyle w:val="Heading2"/>
        <w:spacing w:before="0" w:line="360" w:lineRule="auto"/>
        <w:jc w:val="both"/>
        <w:rPr>
          <w:b w:val="0"/>
          <w:bCs w:val="0"/>
          <w:color w:val="auto"/>
        </w:rPr>
      </w:pPr>
      <w:bookmarkStart w:id="5" w:name="_Toc231939948"/>
      <w:r w:rsidRPr="00515B99">
        <w:rPr>
          <w:b w:val="0"/>
          <w:bCs w:val="0"/>
          <w:color w:val="auto"/>
        </w:rPr>
        <w:t>HUM should introduce mentoring dyads pairing high</w:t>
      </w:r>
      <w:r w:rsidRPr="00515B99">
        <w:rPr>
          <w:rFonts w:ascii="Cambria Math" w:hAnsi="Cambria Math" w:cs="Cambria Math"/>
          <w:b w:val="0"/>
          <w:bCs w:val="0"/>
          <w:color w:val="auto"/>
        </w:rPr>
        <w:t>‑</w:t>
      </w:r>
      <w:r w:rsidRPr="00515B99">
        <w:rPr>
          <w:b w:val="0"/>
          <w:bCs w:val="0"/>
          <w:color w:val="auto"/>
        </w:rPr>
        <w:t xml:space="preserve">potential employees with senior “Helios Fellows” who model the business activist </w:t>
      </w:r>
      <w:proofErr w:type="spellStart"/>
      <w:r w:rsidRPr="00515B99">
        <w:rPr>
          <w:b w:val="0"/>
          <w:bCs w:val="0"/>
          <w:color w:val="auto"/>
        </w:rPr>
        <w:t>mindset</w:t>
      </w:r>
      <w:proofErr w:type="spellEnd"/>
      <w:r w:rsidRPr="00515B99">
        <w:rPr>
          <w:b w:val="0"/>
          <w:bCs w:val="0"/>
          <w:color w:val="auto"/>
        </w:rPr>
        <w:t xml:space="preserve">. This serial and investiture approach validates newcomers’ identities while aligning them with organisational values (Van </w:t>
      </w:r>
      <w:proofErr w:type="spellStart"/>
      <w:r w:rsidRPr="00515B99">
        <w:rPr>
          <w:b w:val="0"/>
          <w:bCs w:val="0"/>
          <w:color w:val="auto"/>
        </w:rPr>
        <w:t>Maanen</w:t>
      </w:r>
      <w:proofErr w:type="spellEnd"/>
      <w:r w:rsidRPr="00515B99">
        <w:rPr>
          <w:b w:val="0"/>
          <w:bCs w:val="0"/>
          <w:color w:val="auto"/>
        </w:rPr>
        <w:t xml:space="preserve"> &amp; Schein, 1979). Rotational assignments across cities maintain intellectual stimulation and career progression, addressing graduate attrition. Cross</w:t>
      </w:r>
      <w:r w:rsidRPr="00515B99">
        <w:rPr>
          <w:rFonts w:ascii="Cambria Math" w:hAnsi="Cambria Math" w:cs="Cambria Math"/>
          <w:b w:val="0"/>
          <w:bCs w:val="0"/>
          <w:color w:val="auto"/>
        </w:rPr>
        <w:t>‑</w:t>
      </w:r>
      <w:r w:rsidRPr="00515B99">
        <w:rPr>
          <w:b w:val="0"/>
          <w:bCs w:val="0"/>
          <w:color w:val="auto"/>
        </w:rPr>
        <w:t>city rotations also build “global social capital,” a predictor of innovation in multinational tech firms (Adler, 2022). However, rotations must be carefully sequenced to avoid cognitive overload and role ambiguity, particularly for early</w:t>
      </w:r>
      <w:r w:rsidRPr="00515B99">
        <w:rPr>
          <w:rFonts w:ascii="Cambria Math" w:hAnsi="Cambria Math" w:cs="Cambria Math"/>
          <w:b w:val="0"/>
          <w:bCs w:val="0"/>
          <w:color w:val="auto"/>
        </w:rPr>
        <w:t>‑</w:t>
      </w:r>
      <w:r w:rsidRPr="00515B99">
        <w:rPr>
          <w:b w:val="0"/>
          <w:bCs w:val="0"/>
          <w:color w:val="auto"/>
        </w:rPr>
        <w:t>career employees (Fisher, 2020).</w:t>
      </w:r>
    </w:p>
    <w:p w:rsidR="004605D2" w:rsidRPr="00515B99" w:rsidRDefault="004605D2" w:rsidP="00515B99">
      <w:pPr>
        <w:pStyle w:val="Heading2"/>
        <w:spacing w:line="360" w:lineRule="auto"/>
        <w:jc w:val="both"/>
        <w:rPr>
          <w:b w:val="0"/>
          <w:bCs w:val="0"/>
          <w:color w:val="auto"/>
        </w:rPr>
      </w:pPr>
      <w:r w:rsidRPr="00515B99">
        <w:rPr>
          <w:b w:val="0"/>
          <w:bCs w:val="0"/>
          <w:color w:val="auto"/>
        </w:rPr>
        <w:t>This framework proactively manages the psychological contract, blends institutionalised and individualised tactics appropriate for a knowledge</w:t>
      </w:r>
      <w:r w:rsidRPr="00515B99">
        <w:rPr>
          <w:rFonts w:ascii="Cambria Math" w:hAnsi="Cambria Math" w:cs="Cambria Math"/>
          <w:b w:val="0"/>
          <w:bCs w:val="0"/>
          <w:color w:val="auto"/>
        </w:rPr>
        <w:t>‑</w:t>
      </w:r>
      <w:r w:rsidRPr="00515B99">
        <w:rPr>
          <w:b w:val="0"/>
          <w:bCs w:val="0"/>
          <w:color w:val="auto"/>
        </w:rPr>
        <w:t>intensive firm, and supports progressive identity construction.</w:t>
      </w:r>
    </w:p>
    <w:p w:rsidR="006A7079" w:rsidRPr="00515B99" w:rsidRDefault="009632EF" w:rsidP="00384DDE">
      <w:pPr>
        <w:pStyle w:val="Heading2"/>
        <w:spacing w:line="360" w:lineRule="auto"/>
      </w:pPr>
      <w:r w:rsidRPr="00515B99">
        <w:rPr>
          <w:noProof/>
        </w:rPr>
        <w:lastRenderedPageBreak/>
        <w:drawing>
          <wp:anchor distT="0" distB="0" distL="114300" distR="114300" simplePos="0" relativeHeight="251663360" behindDoc="0" locked="0" layoutInCell="1" allowOverlap="1">
            <wp:simplePos x="0" y="0"/>
            <wp:positionH relativeFrom="margin">
              <wp:align>center</wp:align>
            </wp:positionH>
            <wp:positionV relativeFrom="paragraph">
              <wp:posOffset>567567</wp:posOffset>
            </wp:positionV>
            <wp:extent cx="5715000" cy="3810000"/>
            <wp:effectExtent l="0" t="0" r="0" b="0"/>
            <wp:wrapThrough wrapText="bothSides">
              <wp:wrapPolygon edited="0">
                <wp:start x="0" y="0"/>
                <wp:lineTo x="0" y="21492"/>
                <wp:lineTo x="21528" y="21492"/>
                <wp:lineTo x="21528" y="0"/>
                <wp:lineTo x="0" y="0"/>
              </wp:wrapPolygon>
            </wp:wrapThrough>
            <wp:docPr id="3" name="Figure 3: Ulrich HR Evolution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15000" cy="3810000"/>
                    </a:xfrm>
                    <a:prstGeom prst="rect">
                      <a:avLst/>
                    </a:prstGeom>
                  </pic:spPr>
                </pic:pic>
              </a:graphicData>
            </a:graphic>
          </wp:anchor>
        </w:drawing>
      </w:r>
      <w:r w:rsidR="003537B9" w:rsidRPr="00515B99">
        <w:t xml:space="preserve">3. </w:t>
      </w:r>
      <w:bookmarkEnd w:id="5"/>
      <w:r w:rsidR="00A83C62" w:rsidRPr="00515B99">
        <w:t xml:space="preserve">Cultivating Organisational Identification, Ethical Professionalism and the Business Activist </w:t>
      </w:r>
      <w:proofErr w:type="spellStart"/>
      <w:r w:rsidR="00A83C62" w:rsidRPr="00515B99">
        <w:t>Mindset</w:t>
      </w:r>
      <w:proofErr w:type="spellEnd"/>
    </w:p>
    <w:p w:rsidR="00497AC8" w:rsidRPr="00515B99" w:rsidRDefault="003537B9" w:rsidP="00515B99">
      <w:pPr>
        <w:spacing w:line="360" w:lineRule="auto"/>
        <w:jc w:val="center"/>
        <w:rPr>
          <w:i/>
          <w:iCs/>
          <w:color w:val="555555"/>
          <w:sz w:val="20"/>
        </w:rPr>
      </w:pPr>
      <w:r w:rsidRPr="00515B99">
        <w:rPr>
          <w:i/>
          <w:iCs/>
          <w:color w:val="555555"/>
          <w:sz w:val="20"/>
        </w:rPr>
        <w:t>Figure 3: Ulrich et al. (2017)</w:t>
      </w:r>
      <w:r w:rsidRPr="00515B99">
        <w:rPr>
          <w:b/>
          <w:sz w:val="20"/>
        </w:rPr>
        <w:t xml:space="preserve"> - </w:t>
      </w:r>
      <w:r w:rsidRPr="00515B99">
        <w:rPr>
          <w:i/>
          <w:iCs/>
          <w:color w:val="555555"/>
          <w:sz w:val="20"/>
        </w:rPr>
        <w:t xml:space="preserve">HR Evolution from Administrative Executor to Business Activist </w:t>
      </w:r>
    </w:p>
    <w:p w:rsidR="00515B99" w:rsidRPr="00515B99" w:rsidRDefault="00515B99" w:rsidP="00515B99">
      <w:pPr>
        <w:spacing w:line="360" w:lineRule="auto"/>
        <w:jc w:val="center"/>
        <w:rPr>
          <w:sz w:val="20"/>
        </w:rPr>
      </w:pPr>
    </w:p>
    <w:p w:rsidR="006A7079" w:rsidRPr="00515B99" w:rsidRDefault="003537B9" w:rsidP="00384DDE">
      <w:pPr>
        <w:spacing w:after="240" w:line="360" w:lineRule="auto"/>
      </w:pPr>
      <w:r w:rsidRPr="00515B99">
        <w:rPr>
          <w:b/>
          <w:bCs/>
          <w:color w:val="2E5496"/>
        </w:rPr>
        <w:t>Organisational Identification</w:t>
      </w:r>
    </w:p>
    <w:p w:rsidR="004605D2" w:rsidRPr="00515B99" w:rsidRDefault="00A83C62" w:rsidP="00515B99">
      <w:pPr>
        <w:spacing w:line="360" w:lineRule="auto"/>
        <w:jc w:val="both"/>
        <w:rPr>
          <w:b/>
        </w:rPr>
      </w:pPr>
      <w:r w:rsidRPr="00515B99">
        <w:t>Grounded in social identity theory (</w:t>
      </w:r>
      <w:proofErr w:type="spellStart"/>
      <w:r w:rsidRPr="00515B99">
        <w:t>Tajfel</w:t>
      </w:r>
      <w:proofErr w:type="spellEnd"/>
      <w:r w:rsidRPr="00515B99">
        <w:t xml:space="preserve"> &amp; Turner, 1979), HUM should articulate a compelling organisational narrative “Building the cities of tomorrow, today” and embed it across </w:t>
      </w:r>
      <w:proofErr w:type="spellStart"/>
      <w:r w:rsidRPr="00515B99">
        <w:t>onboarding</w:t>
      </w:r>
      <w:proofErr w:type="spellEnd"/>
      <w:r w:rsidRPr="00515B99">
        <w:t xml:space="preserve"> materials, performance conversations and internal communications. Identification strengthens when employees perceive the organisation as distinctive and aligned with their self</w:t>
      </w:r>
      <w:r w:rsidRPr="00515B99">
        <w:noBreakHyphen/>
        <w:t>concept (</w:t>
      </w:r>
      <w:proofErr w:type="spellStart"/>
      <w:r w:rsidRPr="00515B99">
        <w:t>Ashforth</w:t>
      </w:r>
      <w:proofErr w:type="spellEnd"/>
      <w:r w:rsidRPr="00515B99">
        <w:t xml:space="preserve"> &amp; </w:t>
      </w:r>
      <w:proofErr w:type="spellStart"/>
      <w:r w:rsidRPr="00515B99">
        <w:t>Mael</w:t>
      </w:r>
      <w:proofErr w:type="spellEnd"/>
      <w:r w:rsidRPr="00515B99">
        <w:t>, 1989). Regular “Impact Stories” from city partners reinforce purpose. Identity narratives are most effective when co</w:t>
      </w:r>
      <w:r w:rsidRPr="00515B99">
        <w:noBreakHyphen/>
        <w:t>constructed; involving employees enhances authenticity (</w:t>
      </w:r>
      <w:proofErr w:type="spellStart"/>
      <w:r w:rsidRPr="00515B99">
        <w:t>Gioia</w:t>
      </w:r>
      <w:proofErr w:type="spellEnd"/>
      <w:r w:rsidRPr="00515B99">
        <w:t xml:space="preserve"> et al., 2020). </w:t>
      </w:r>
      <w:r w:rsidR="004605D2" w:rsidRPr="00515B99">
        <w:rPr>
          <w:b/>
        </w:rPr>
        <w:t>HUM should track identification through pulse surveys measuring value alignment, purpose clarity and narrative resonance.</w:t>
      </w:r>
    </w:p>
    <w:p w:rsidR="006A7079" w:rsidRPr="00515B99" w:rsidRDefault="003537B9" w:rsidP="00384DDE">
      <w:pPr>
        <w:spacing w:before="240" w:after="240" w:line="360" w:lineRule="auto"/>
      </w:pPr>
      <w:r w:rsidRPr="00515B99">
        <w:rPr>
          <w:b/>
          <w:bCs/>
          <w:color w:val="2E5496"/>
        </w:rPr>
        <w:t>Ethical Professionalism</w:t>
      </w:r>
    </w:p>
    <w:p w:rsidR="00F0480B" w:rsidRPr="00515B99" w:rsidRDefault="00F0480B" w:rsidP="00515B99">
      <w:pPr>
        <w:spacing w:line="360" w:lineRule="auto"/>
        <w:jc w:val="both"/>
      </w:pPr>
      <w:r w:rsidRPr="00515B99">
        <w:t>HUM should implement an “</w:t>
      </w:r>
      <w:r w:rsidRPr="00515B99">
        <w:rPr>
          <w:b/>
        </w:rPr>
        <w:t>Ethics in Motion</w:t>
      </w:r>
      <w:r w:rsidRPr="00515B99">
        <w:t>” programme comprising:</w:t>
      </w:r>
    </w:p>
    <w:p w:rsidR="00A83C62" w:rsidRPr="00515B99" w:rsidRDefault="00A83C62" w:rsidP="00515B99">
      <w:pPr>
        <w:pStyle w:val="ListParagraph"/>
        <w:numPr>
          <w:ilvl w:val="0"/>
          <w:numId w:val="3"/>
        </w:numPr>
        <w:spacing w:line="360" w:lineRule="auto"/>
        <w:jc w:val="both"/>
      </w:pPr>
      <w:r w:rsidRPr="00515B99">
        <w:t>AI ethics and data governance modules</w:t>
      </w:r>
    </w:p>
    <w:p w:rsidR="00A83C62" w:rsidRPr="00515B99" w:rsidRDefault="00A83C62" w:rsidP="00515B99">
      <w:pPr>
        <w:pStyle w:val="ListParagraph"/>
        <w:numPr>
          <w:ilvl w:val="0"/>
          <w:numId w:val="3"/>
        </w:numPr>
        <w:spacing w:line="360" w:lineRule="auto"/>
        <w:jc w:val="both"/>
      </w:pPr>
      <w:r w:rsidRPr="00515B99">
        <w:t>Case</w:t>
      </w:r>
      <w:r w:rsidRPr="00515B99">
        <w:rPr>
          <w:rFonts w:ascii="Cambria Math" w:hAnsi="Cambria Math" w:cs="Cambria Math"/>
        </w:rPr>
        <w:t>‑</w:t>
      </w:r>
      <w:r w:rsidRPr="00515B99">
        <w:t>based workshops applying ethics to real HUM dilemmas</w:t>
      </w:r>
    </w:p>
    <w:p w:rsidR="00A83C62" w:rsidRPr="00515B99" w:rsidRDefault="00A83C62" w:rsidP="00515B99">
      <w:pPr>
        <w:pStyle w:val="ListParagraph"/>
        <w:numPr>
          <w:ilvl w:val="0"/>
          <w:numId w:val="3"/>
        </w:numPr>
        <w:spacing w:line="360" w:lineRule="auto"/>
        <w:jc w:val="both"/>
      </w:pPr>
      <w:r w:rsidRPr="00515B99">
        <w:t>A personal ethics charter co</w:t>
      </w:r>
      <w:r w:rsidRPr="00515B99">
        <w:rPr>
          <w:rFonts w:ascii="Cambria Math" w:hAnsi="Cambria Math" w:cs="Cambria Math"/>
        </w:rPr>
        <w:t>‑</w:t>
      </w:r>
      <w:r w:rsidRPr="00515B99">
        <w:t>developed with managers</w:t>
      </w:r>
    </w:p>
    <w:p w:rsidR="00F0480B" w:rsidRPr="00515B99" w:rsidRDefault="00F0480B" w:rsidP="00515B99">
      <w:pPr>
        <w:spacing w:before="240" w:line="360" w:lineRule="auto"/>
        <w:jc w:val="both"/>
      </w:pPr>
      <w:r w:rsidRPr="00515B99">
        <w:lastRenderedPageBreak/>
        <w:t>This moves beyond compliance toward internalised ethical values, consistent with CIPD (2023). It also aligns with expectations for AI</w:t>
      </w:r>
      <w:r w:rsidRPr="00515B99">
        <w:rPr>
          <w:rFonts w:ascii="Cambria Math" w:hAnsi="Cambria Math" w:cs="Cambria Math"/>
        </w:rPr>
        <w:t>‑</w:t>
      </w:r>
      <w:r w:rsidRPr="00515B99">
        <w:t>enabled organisations to demonstrate transparency and ethical stewardship (</w:t>
      </w:r>
      <w:proofErr w:type="spellStart"/>
      <w:r w:rsidRPr="00515B99">
        <w:t>Floridi</w:t>
      </w:r>
      <w:proofErr w:type="spellEnd"/>
      <w:r w:rsidRPr="00515B99">
        <w:t xml:space="preserve"> &amp; Cowls, 2021).</w:t>
      </w:r>
      <w:r w:rsidR="00EE31D3" w:rsidRPr="00515B99">
        <w:t xml:space="preserve"> Yet ethics programmes often fail when positioned as compliance exercises; HUM must ensure that ethical reasoning is embedded in everyday decision</w:t>
      </w:r>
      <w:r w:rsidR="00EE31D3" w:rsidRPr="00515B99">
        <w:noBreakHyphen/>
        <w:t xml:space="preserve">making rather than isolated training events (Martin &amp; </w:t>
      </w:r>
      <w:proofErr w:type="spellStart"/>
      <w:r w:rsidR="00EE31D3" w:rsidRPr="00515B99">
        <w:t>Parmar</w:t>
      </w:r>
      <w:proofErr w:type="spellEnd"/>
      <w:r w:rsidR="00EE31D3" w:rsidRPr="00515B99">
        <w:t>, 2020).</w:t>
      </w:r>
    </w:p>
    <w:p w:rsidR="006A7079" w:rsidRPr="00515B99" w:rsidRDefault="003537B9" w:rsidP="00384DDE">
      <w:pPr>
        <w:spacing w:before="240" w:after="240" w:line="360" w:lineRule="auto"/>
      </w:pPr>
      <w:r w:rsidRPr="00515B99">
        <w:rPr>
          <w:b/>
          <w:bCs/>
          <w:color w:val="2E5496"/>
        </w:rPr>
        <w:t xml:space="preserve">The Business Activist </w:t>
      </w:r>
      <w:proofErr w:type="spellStart"/>
      <w:r w:rsidRPr="00515B99">
        <w:rPr>
          <w:b/>
          <w:bCs/>
          <w:color w:val="2E5496"/>
        </w:rPr>
        <w:t>Mindset</w:t>
      </w:r>
      <w:proofErr w:type="spellEnd"/>
    </w:p>
    <w:p w:rsidR="00A83C62" w:rsidRPr="00515B99" w:rsidRDefault="00A83C62" w:rsidP="00515B99">
      <w:pPr>
        <w:pStyle w:val="NormalWeb"/>
        <w:spacing w:before="0" w:beforeAutospacing="0" w:after="0" w:afterAutospacing="0" w:line="360" w:lineRule="auto"/>
        <w:jc w:val="both"/>
        <w:rPr>
          <w:rFonts w:ascii="Arial" w:hAnsi="Arial" w:cs="Arial"/>
        </w:rPr>
      </w:pPr>
      <w:r w:rsidRPr="00515B99">
        <w:rPr>
          <w:rFonts w:ascii="Arial" w:hAnsi="Arial" w:cs="Arial"/>
        </w:rPr>
        <w:t>Ulrich et al. (2017) emphasise the need for HR practitioners who challenge the status quo and advocate for stakeholder</w:t>
      </w:r>
      <w:r w:rsidRPr="00515B99">
        <w:rPr>
          <w:rFonts w:ascii="Arial" w:hAnsi="Arial" w:cs="Arial"/>
        </w:rPr>
        <w:noBreakHyphen/>
        <w:t>oriented practices. From a stakeholder capitalism perspective (Freeman, 1984; WEF, 2020), organisations that create long</w:t>
      </w:r>
      <w:r w:rsidRPr="00515B99">
        <w:rPr>
          <w:rFonts w:ascii="Arial" w:hAnsi="Arial" w:cs="Arial"/>
        </w:rPr>
        <w:noBreakHyphen/>
        <w:t>term value for employees, communities and the environment outperform those focused solely on shareholders.</w:t>
      </w:r>
    </w:p>
    <w:p w:rsidR="004605D2" w:rsidRPr="00515B99" w:rsidRDefault="00515B99" w:rsidP="00515B99">
      <w:pPr>
        <w:pStyle w:val="NormalWeb"/>
        <w:spacing w:before="0" w:beforeAutospacing="0" w:after="0" w:afterAutospacing="0" w:line="360" w:lineRule="auto"/>
        <w:jc w:val="both"/>
        <w:rPr>
          <w:rFonts w:ascii="Arial" w:hAnsi="Arial" w:cs="Arial"/>
        </w:rPr>
      </w:pPr>
      <w:r w:rsidRPr="00515B99">
        <w:rPr>
          <w:rFonts w:ascii="Arial" w:hAnsi="Arial" w:cs="Arial"/>
          <w:noProof/>
        </w:rPr>
        <w:drawing>
          <wp:anchor distT="0" distB="0" distL="114300" distR="114300" simplePos="0" relativeHeight="251661312" behindDoc="0" locked="0" layoutInCell="1" allowOverlap="1">
            <wp:simplePos x="0" y="0"/>
            <wp:positionH relativeFrom="margin">
              <wp:align>center</wp:align>
            </wp:positionH>
            <wp:positionV relativeFrom="paragraph">
              <wp:posOffset>1578566</wp:posOffset>
            </wp:positionV>
            <wp:extent cx="6042660" cy="3458845"/>
            <wp:effectExtent l="0" t="0" r="0" b="8255"/>
            <wp:wrapThrough wrapText="bothSides">
              <wp:wrapPolygon edited="0">
                <wp:start x="0" y="0"/>
                <wp:lineTo x="0" y="21533"/>
                <wp:lineTo x="21518" y="21533"/>
                <wp:lineTo x="21518" y="0"/>
                <wp:lineTo x="0" y="0"/>
              </wp:wrapPolygon>
            </wp:wrapThrough>
            <wp:docPr id="4" name="Figure 6: HUM HR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6042660" cy="3458845"/>
                    </a:xfrm>
                    <a:prstGeom prst="rect">
                      <a:avLst/>
                    </a:prstGeom>
                  </pic:spPr>
                </pic:pic>
              </a:graphicData>
            </a:graphic>
            <wp14:sizeRelH relativeFrom="margin">
              <wp14:pctWidth>0</wp14:pctWidth>
            </wp14:sizeRelH>
            <wp14:sizeRelV relativeFrom="margin">
              <wp14:pctHeight>0</wp14:pctHeight>
            </wp14:sizeRelV>
          </wp:anchor>
        </w:drawing>
      </w:r>
      <w:r w:rsidR="00A83C62" w:rsidRPr="00515B99">
        <w:rPr>
          <w:rFonts w:ascii="Arial" w:hAnsi="Arial" w:cs="Arial"/>
        </w:rPr>
        <w:t xml:space="preserve">HUM should cultivate this </w:t>
      </w:r>
      <w:proofErr w:type="spellStart"/>
      <w:r w:rsidR="00A83C62" w:rsidRPr="00515B99">
        <w:rPr>
          <w:rFonts w:ascii="Arial" w:hAnsi="Arial" w:cs="Arial"/>
        </w:rPr>
        <w:t>mindset</w:t>
      </w:r>
      <w:proofErr w:type="spellEnd"/>
      <w:r w:rsidR="00A83C62" w:rsidRPr="00515B99">
        <w:rPr>
          <w:rFonts w:ascii="Arial" w:hAnsi="Arial" w:cs="Arial"/>
        </w:rPr>
        <w:t xml:space="preserve"> through quarterly “Activist Learning Labs,” where cross</w:t>
      </w:r>
      <w:r w:rsidR="00A83C62" w:rsidRPr="00515B99">
        <w:rPr>
          <w:rFonts w:ascii="Arial" w:hAnsi="Arial" w:cs="Arial"/>
        </w:rPr>
        <w:noBreakHyphen/>
        <w:t>functional teams identify practices misaligned with HUM’s values and propose improvements. Leaders must model activist behaviour by championing employee</w:t>
      </w:r>
      <w:r w:rsidR="00A83C62" w:rsidRPr="00515B99">
        <w:rPr>
          <w:rFonts w:ascii="Arial" w:hAnsi="Arial" w:cs="Arial"/>
        </w:rPr>
        <w:noBreakHyphen/>
        <w:t>driven changes. Psychological safety is essential for constructive challenge (Edmondson, 1999). An Activist Governance Panel should evaluate proposals to balance long</w:t>
      </w:r>
      <w:r w:rsidR="00A83C62" w:rsidRPr="00515B99">
        <w:rPr>
          <w:rFonts w:ascii="Arial" w:hAnsi="Arial" w:cs="Arial"/>
        </w:rPr>
        <w:noBreakHyphen/>
        <w:t>term stakeholder commitments with short</w:t>
      </w:r>
      <w:r w:rsidR="00A83C62" w:rsidRPr="00515B99">
        <w:rPr>
          <w:rFonts w:ascii="Arial" w:hAnsi="Arial" w:cs="Arial"/>
        </w:rPr>
        <w:noBreakHyphen/>
        <w:t xml:space="preserve">term operational pressures (Eccles &amp; </w:t>
      </w:r>
      <w:proofErr w:type="spellStart"/>
      <w:r w:rsidR="00A83C62" w:rsidRPr="00515B99">
        <w:rPr>
          <w:rFonts w:ascii="Arial" w:hAnsi="Arial" w:cs="Arial"/>
        </w:rPr>
        <w:t>Klimenko</w:t>
      </w:r>
      <w:proofErr w:type="spellEnd"/>
      <w:r w:rsidR="00A83C62" w:rsidRPr="00515B99">
        <w:rPr>
          <w:rFonts w:ascii="Arial" w:hAnsi="Arial" w:cs="Arial"/>
        </w:rPr>
        <w:t>, 2019).</w:t>
      </w:r>
    </w:p>
    <w:p w:rsidR="006A7079" w:rsidRPr="00515B99" w:rsidRDefault="003537B9" w:rsidP="00515B99">
      <w:pPr>
        <w:spacing w:line="360" w:lineRule="auto"/>
        <w:rPr>
          <w:i/>
          <w:iCs/>
          <w:color w:val="555555"/>
          <w:sz w:val="20"/>
        </w:rPr>
      </w:pPr>
      <w:r w:rsidRPr="00515B99">
        <w:rPr>
          <w:i/>
          <w:iCs/>
          <w:color w:val="555555"/>
          <w:sz w:val="20"/>
        </w:rPr>
        <w:t>Figure 4: Helios Urban Mobility - Human Capital Performance Dashboard (Baseline &amp; Projected Outcomes)</w:t>
      </w:r>
    </w:p>
    <w:p w:rsidR="006A7079" w:rsidRDefault="00497AC8" w:rsidP="00515B99">
      <w:pPr>
        <w:spacing w:line="360" w:lineRule="auto"/>
        <w:jc w:val="center"/>
        <w:rPr>
          <w:sz w:val="20"/>
        </w:rPr>
      </w:pPr>
      <w:r w:rsidRPr="00515B99">
        <w:rPr>
          <w:i/>
          <w:iCs/>
          <w:color w:val="555555"/>
          <w:sz w:val="20"/>
        </w:rPr>
        <w:t>(Source: Author's own illustration/analysis)</w:t>
      </w:r>
    </w:p>
    <w:p w:rsidR="00515B99" w:rsidRDefault="00515B99" w:rsidP="00F05AE4">
      <w:pPr>
        <w:spacing w:line="360" w:lineRule="auto"/>
        <w:rPr>
          <w:sz w:val="20"/>
        </w:rPr>
      </w:pPr>
    </w:p>
    <w:p w:rsidR="00B55E16" w:rsidRDefault="00B55E16" w:rsidP="00515B99">
      <w:pPr>
        <w:pStyle w:val="Heading1"/>
        <w:spacing w:before="0" w:after="0"/>
        <w:rPr>
          <w:sz w:val="24"/>
          <w:szCs w:val="24"/>
        </w:rPr>
      </w:pPr>
      <w:bookmarkStart w:id="6" w:name="_Toc231939949"/>
    </w:p>
    <w:p w:rsidR="00B55E16" w:rsidRDefault="00B55E16" w:rsidP="00515B99">
      <w:pPr>
        <w:pStyle w:val="Heading1"/>
        <w:spacing w:before="0" w:after="0"/>
        <w:rPr>
          <w:sz w:val="24"/>
          <w:szCs w:val="24"/>
        </w:rPr>
      </w:pPr>
    </w:p>
    <w:p w:rsidR="006A7079" w:rsidRPr="00515B99" w:rsidRDefault="003537B9" w:rsidP="00515B99">
      <w:pPr>
        <w:pStyle w:val="Heading1"/>
        <w:spacing w:before="0" w:after="0"/>
        <w:rPr>
          <w:sz w:val="24"/>
          <w:szCs w:val="24"/>
        </w:rPr>
      </w:pPr>
      <w:r w:rsidRPr="00515B99">
        <w:rPr>
          <w:sz w:val="24"/>
          <w:szCs w:val="24"/>
        </w:rPr>
        <w:lastRenderedPageBreak/>
        <w:t>Task B: Job Design</w:t>
      </w:r>
      <w:bookmarkEnd w:id="6"/>
    </w:p>
    <w:p w:rsidR="006A7079" w:rsidRPr="00515B99" w:rsidRDefault="006A7079" w:rsidP="00515B99">
      <w:pPr>
        <w:pBdr>
          <w:bottom w:val="single" w:sz="4" w:space="1" w:color="2E5496"/>
        </w:pBdr>
      </w:pPr>
    </w:p>
    <w:p w:rsidR="006A7079" w:rsidRPr="00515B99" w:rsidRDefault="003537B9" w:rsidP="00515B99">
      <w:pPr>
        <w:pStyle w:val="Heading2"/>
        <w:spacing w:line="360" w:lineRule="auto"/>
        <w:jc w:val="both"/>
      </w:pPr>
      <w:bookmarkStart w:id="7" w:name="_Toc231939950"/>
      <w:r w:rsidRPr="00515B99">
        <w:t>1. Innovative Job Design Strategy for Helios Urban Mobility</w:t>
      </w:r>
      <w:bookmarkEnd w:id="7"/>
    </w:p>
    <w:p w:rsidR="006A7079" w:rsidRPr="00515B99" w:rsidRDefault="003537B9" w:rsidP="00515B99">
      <w:pPr>
        <w:spacing w:before="200" w:after="80" w:line="360" w:lineRule="auto"/>
        <w:jc w:val="both"/>
      </w:pPr>
      <w:r w:rsidRPr="00515B99">
        <w:rPr>
          <w:b/>
          <w:bCs/>
          <w:color w:val="2E5496"/>
        </w:rPr>
        <w:t>The Job Characteristics Model as Diagnostic Foundation</w:t>
      </w:r>
    </w:p>
    <w:p w:rsidR="006A7079" w:rsidRPr="00515B99" w:rsidRDefault="009632EF" w:rsidP="00515B99">
      <w:pPr>
        <w:spacing w:before="120" w:after="80" w:line="360" w:lineRule="auto"/>
        <w:jc w:val="both"/>
      </w:pPr>
      <w:r w:rsidRPr="00515B99">
        <w:rPr>
          <w:noProof/>
        </w:rPr>
        <w:drawing>
          <wp:anchor distT="0" distB="0" distL="114300" distR="114300" simplePos="0" relativeHeight="251662336" behindDoc="0" locked="0" layoutInCell="1" allowOverlap="1">
            <wp:simplePos x="0" y="0"/>
            <wp:positionH relativeFrom="margin">
              <wp:align>left</wp:align>
            </wp:positionH>
            <wp:positionV relativeFrom="paragraph">
              <wp:posOffset>1085215</wp:posOffset>
            </wp:positionV>
            <wp:extent cx="6142355" cy="3546475"/>
            <wp:effectExtent l="0" t="0" r="0" b="0"/>
            <wp:wrapThrough wrapText="bothSides">
              <wp:wrapPolygon edited="0">
                <wp:start x="0" y="0"/>
                <wp:lineTo x="0" y="21465"/>
                <wp:lineTo x="21504" y="21465"/>
                <wp:lineTo x="21504" y="0"/>
                <wp:lineTo x="0" y="0"/>
              </wp:wrapPolygon>
            </wp:wrapThrough>
            <wp:docPr id="5" name="Figure 4: Job Characteristic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152892" cy="3553073"/>
                    </a:xfrm>
                    <a:prstGeom prst="rect">
                      <a:avLst/>
                    </a:prstGeom>
                  </pic:spPr>
                </pic:pic>
              </a:graphicData>
            </a:graphic>
            <wp14:sizeRelV relativeFrom="margin">
              <wp14:pctHeight>0</wp14:pctHeight>
            </wp14:sizeRelV>
          </wp:anchor>
        </w:drawing>
      </w:r>
      <w:r w:rsidR="001518B7" w:rsidRPr="00515B99">
        <w:t>Hackman and Oldham’s (1976) JCM ident</w:t>
      </w:r>
      <w:r w:rsidR="00B340AD" w:rsidRPr="00515B99">
        <w:t>ifies five core job dimensions skill variety, task-identity, task-</w:t>
      </w:r>
      <w:r w:rsidR="001518B7" w:rsidRPr="00515B99">
        <w:t xml:space="preserve">significance, autonomy and feedback that shape intrinsic motivation. HUM’s </w:t>
      </w:r>
      <w:proofErr w:type="spellStart"/>
      <w:r w:rsidR="001518B7" w:rsidRPr="00515B99">
        <w:t>siloed</w:t>
      </w:r>
      <w:proofErr w:type="spellEnd"/>
      <w:r w:rsidR="001518B7" w:rsidRPr="00515B99">
        <w:t xml:space="preserve"> technical functions and long ramp</w:t>
      </w:r>
      <w:r w:rsidR="001518B7" w:rsidRPr="00515B99">
        <w:rPr>
          <w:rFonts w:ascii="Cambria Math" w:hAnsi="Cambria Math" w:cs="Cambria Math"/>
        </w:rPr>
        <w:t>‑</w:t>
      </w:r>
      <w:r w:rsidR="001518B7" w:rsidRPr="00515B99">
        <w:t>up</w:t>
      </w:r>
      <w:r w:rsidR="00B340AD" w:rsidRPr="00515B99">
        <w:t xml:space="preserve"> period likely produce low task-</w:t>
      </w:r>
      <w:r w:rsidR="001518B7" w:rsidRPr="00515B99">
        <w:t>identity and insufficient autonomy, contributing to graduate attrition.</w:t>
      </w:r>
    </w:p>
    <w:p w:rsidR="00F05AE4" w:rsidRPr="00515B99" w:rsidRDefault="003537B9" w:rsidP="00F05AE4">
      <w:pPr>
        <w:spacing w:after="240" w:line="360" w:lineRule="auto"/>
        <w:jc w:val="center"/>
        <w:rPr>
          <w:i/>
          <w:iCs/>
          <w:color w:val="555555"/>
          <w:sz w:val="20"/>
        </w:rPr>
      </w:pPr>
      <w:r w:rsidRPr="00515B99">
        <w:rPr>
          <w:i/>
          <w:iCs/>
          <w:color w:val="555555"/>
          <w:sz w:val="20"/>
        </w:rPr>
        <w:t xml:space="preserve">Figure 5: Hackman &amp; Oldham (1976) - Job Characteristics Model Applied to Helios Urban Mobility </w:t>
      </w:r>
    </w:p>
    <w:p w:rsidR="006A7079" w:rsidRPr="00515B99" w:rsidRDefault="003537B9" w:rsidP="00F05AE4">
      <w:pPr>
        <w:spacing w:line="360" w:lineRule="auto"/>
        <w:jc w:val="both"/>
      </w:pPr>
      <w:r w:rsidRPr="00515B99">
        <w:t xml:space="preserve">The motivating potential score (MPS) of HUM roles should be assessed systematically, as the current structure characterised by </w:t>
      </w:r>
      <w:proofErr w:type="spellStart"/>
      <w:r w:rsidRPr="00515B99">
        <w:t>siloed</w:t>
      </w:r>
      <w:proofErr w:type="spellEnd"/>
      <w:r w:rsidRPr="00515B99">
        <w:t xml:space="preserve"> technical functions and an eight-month ramp-up period likely produces low task identity and insufficient autonomy for high-potential graduates, explaining their attrition. Critically, whilst the JCM remains highly influential, it has been challenged for its underestimation of contextual and social job characteristics (</w:t>
      </w:r>
      <w:proofErr w:type="spellStart"/>
      <w:r w:rsidRPr="00515B99">
        <w:t>Morgeson</w:t>
      </w:r>
      <w:proofErr w:type="spellEnd"/>
      <w:r w:rsidRPr="00515B99">
        <w:t xml:space="preserve"> and Humphrey, 2006). HUM's hybrid, cross-cultural environment demands an augmented model that incorporates social interdependence, informational complexity, and contextual support elements that shape motivation in knowledge work contexts. However, the JCM has been criticised for underestimating emotional labour, cognitive lo</w:t>
      </w:r>
      <w:r w:rsidR="008C0001" w:rsidRPr="00515B99">
        <w:t>ad and cross</w:t>
      </w:r>
      <w:r w:rsidR="008C0001" w:rsidRPr="00515B99">
        <w:rPr>
          <w:rFonts w:ascii="Cambria Math" w:hAnsi="Cambria Math" w:cs="Cambria Math"/>
        </w:rPr>
        <w:t>‑</w:t>
      </w:r>
      <w:r w:rsidR="008C0001" w:rsidRPr="00515B99">
        <w:t xml:space="preserve">cultural variation </w:t>
      </w:r>
      <w:r w:rsidRPr="00515B99">
        <w:t>factors highly relevant to HUM’s tri</w:t>
      </w:r>
      <w:r w:rsidRPr="00515B99">
        <w:rPr>
          <w:rFonts w:ascii="Cambria Math" w:hAnsi="Cambria Math" w:cs="Cambria Math"/>
        </w:rPr>
        <w:t>‑</w:t>
      </w:r>
      <w:r w:rsidRPr="00515B99">
        <w:t>city operations (Parker, 2020).</w:t>
      </w:r>
      <w:r w:rsidR="00EE31D3" w:rsidRPr="00515B99">
        <w:t xml:space="preserve"> Alternative models such as work design for wellbeing (Parker &amp; Griffin, 2011) emphasise relational and emotional </w:t>
      </w:r>
      <w:r w:rsidR="00EE31D3" w:rsidRPr="00515B99">
        <w:lastRenderedPageBreak/>
        <w:t>dimensions of work, suggesting that HUM’s redesign must extend beyond task structure to include social and cognitive load considerations.</w:t>
      </w:r>
    </w:p>
    <w:p w:rsidR="006A7079" w:rsidRPr="00515B99" w:rsidRDefault="003537B9" w:rsidP="00384DDE">
      <w:pPr>
        <w:spacing w:before="200" w:after="240" w:line="360" w:lineRule="auto"/>
      </w:pPr>
      <w:r w:rsidRPr="00515B99">
        <w:rPr>
          <w:b/>
          <w:bCs/>
          <w:color w:val="2E5496"/>
        </w:rPr>
        <w:t>Job Crafting Theory - Employee-Led Design</w:t>
      </w:r>
    </w:p>
    <w:p w:rsidR="006A7079" w:rsidRPr="00515B99" w:rsidRDefault="00FC76D0" w:rsidP="00515B99">
      <w:pPr>
        <w:spacing w:before="40" w:after="40" w:line="360" w:lineRule="auto"/>
        <w:jc w:val="both"/>
      </w:pPr>
      <w:r w:rsidRPr="00515B99">
        <w:t xml:space="preserve">According to </w:t>
      </w:r>
      <w:proofErr w:type="spellStart"/>
      <w:r w:rsidRPr="00515B99">
        <w:t>Wrzesniewski</w:t>
      </w:r>
      <w:proofErr w:type="spellEnd"/>
      <w:r w:rsidRPr="00515B99">
        <w:t xml:space="preserve"> and Dutton (2001), job crafting enables employees to actively modify their roles by altering tasks, reshaping workplace relationships and reframing how they understand the meaning of their work. Institutionalising this approach at HUM would support a more flexible role structure that adapts to both organisational demands and employee development.</w:t>
      </w:r>
    </w:p>
    <w:p w:rsidR="006A7079" w:rsidRPr="00515B99" w:rsidRDefault="003537B9" w:rsidP="00515B99">
      <w:pPr>
        <w:spacing w:before="120" w:after="80" w:line="360" w:lineRule="auto"/>
        <w:jc w:val="center"/>
      </w:pPr>
      <w:r w:rsidRPr="00515B99">
        <w:rPr>
          <w:noProof/>
        </w:rPr>
        <w:drawing>
          <wp:inline distT="0" distB="0" distL="0" distR="0">
            <wp:extent cx="5987846" cy="3270910"/>
            <wp:effectExtent l="0" t="0" r="0" b="5715"/>
            <wp:docPr id="6" name="Figure 7: Job Crafting Dim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6038757" cy="3298720"/>
                    </a:xfrm>
                    <a:prstGeom prst="rect">
                      <a:avLst/>
                    </a:prstGeom>
                  </pic:spPr>
                </pic:pic>
              </a:graphicData>
            </a:graphic>
          </wp:inline>
        </w:drawing>
      </w:r>
    </w:p>
    <w:p w:rsidR="006A7079" w:rsidRPr="00515B99" w:rsidRDefault="003537B9" w:rsidP="00515B99">
      <w:pPr>
        <w:spacing w:line="360" w:lineRule="auto"/>
        <w:jc w:val="center"/>
        <w:rPr>
          <w:i/>
          <w:iCs/>
          <w:color w:val="555555"/>
          <w:sz w:val="20"/>
        </w:rPr>
      </w:pPr>
      <w:r w:rsidRPr="00515B99">
        <w:rPr>
          <w:i/>
          <w:iCs/>
          <w:color w:val="555555"/>
          <w:sz w:val="20"/>
        </w:rPr>
        <w:t xml:space="preserve">Figure 6: </w:t>
      </w:r>
      <w:proofErr w:type="spellStart"/>
      <w:r w:rsidRPr="00515B99">
        <w:rPr>
          <w:i/>
          <w:iCs/>
          <w:color w:val="555555"/>
          <w:sz w:val="20"/>
        </w:rPr>
        <w:t>Wrzesniewski</w:t>
      </w:r>
      <w:proofErr w:type="spellEnd"/>
      <w:r w:rsidRPr="00515B99">
        <w:rPr>
          <w:i/>
          <w:iCs/>
          <w:color w:val="555555"/>
          <w:sz w:val="20"/>
        </w:rPr>
        <w:t xml:space="preserve"> &amp; Dutton (2001) - Three Dimensions of Job Crafting Applied to Helios</w:t>
      </w:r>
    </w:p>
    <w:p w:rsidR="00515B99" w:rsidRDefault="00497AC8" w:rsidP="00A36571">
      <w:pPr>
        <w:spacing w:line="360" w:lineRule="auto"/>
        <w:jc w:val="center"/>
        <w:rPr>
          <w:i/>
          <w:iCs/>
          <w:color w:val="555555"/>
          <w:sz w:val="20"/>
        </w:rPr>
      </w:pPr>
      <w:r w:rsidRPr="00515B99">
        <w:rPr>
          <w:i/>
          <w:iCs/>
          <w:color w:val="555555"/>
          <w:sz w:val="20"/>
        </w:rPr>
        <w:t>(Source: Author's own illustration/analysis)</w:t>
      </w:r>
    </w:p>
    <w:p w:rsidR="00F05AE4" w:rsidRPr="00515B99" w:rsidRDefault="00F05AE4" w:rsidP="00A36571">
      <w:pPr>
        <w:spacing w:line="360" w:lineRule="auto"/>
        <w:jc w:val="center"/>
        <w:rPr>
          <w:i/>
          <w:iCs/>
          <w:color w:val="555555"/>
          <w:sz w:val="20"/>
        </w:rPr>
      </w:pPr>
    </w:p>
    <w:p w:rsidR="006A7079" w:rsidRPr="00515B99" w:rsidRDefault="003537B9" w:rsidP="00515B99">
      <w:pPr>
        <w:spacing w:before="80" w:after="120" w:line="360" w:lineRule="auto"/>
        <w:jc w:val="both"/>
      </w:pPr>
      <w:r w:rsidRPr="00515B99">
        <w:t>HUM should introduce structured 'Crafting Conversations'</w:t>
      </w:r>
      <w:r w:rsidR="008C0001" w:rsidRPr="00515B99">
        <w:t>,</w:t>
      </w:r>
      <w:r w:rsidRPr="00515B99">
        <w:t xml:space="preserve"> semi-annual dialogues between employees and their managers in which </w:t>
      </w:r>
      <w:r w:rsidR="00B340AD" w:rsidRPr="00515B99">
        <w:t>employee’s</w:t>
      </w:r>
      <w:r w:rsidRPr="00515B99">
        <w:t xml:space="preserve"> articulate desired changes to task scope, collaboration patterns, or purpose framing. This formalises crafting whilst maintaining managerial alignment. Berg, Dutton and </w:t>
      </w:r>
      <w:proofErr w:type="spellStart"/>
      <w:r w:rsidRPr="00515B99">
        <w:t>Wrzesniewski</w:t>
      </w:r>
      <w:proofErr w:type="spellEnd"/>
      <w:r w:rsidRPr="00515B99">
        <w:t xml:space="preserve"> (2013) demonstrate that job crafting increases engagement and role vitality, precisely the outcomes HUM requires. For high-potential graduates in particular a group characterised by high agency and developmental orientation job crafting signals trust and supports career ownership, reducing the sense of stagnation that drives attrition. </w:t>
      </w:r>
      <w:r w:rsidR="00EE31D3" w:rsidRPr="00515B99">
        <w:t>Yet job crafting may generate boundary blurring, inconsistent service delivery or inequitable task distribution unless supported by clear guardrails and managerial sense</w:t>
      </w:r>
      <w:r w:rsidR="00EE31D3" w:rsidRPr="00515B99">
        <w:noBreakHyphen/>
        <w:t>checking (Zhang &amp; Parker, 2021).</w:t>
      </w:r>
    </w:p>
    <w:p w:rsidR="006A7079" w:rsidRPr="00515B99" w:rsidRDefault="003537B9" w:rsidP="00384DDE">
      <w:pPr>
        <w:spacing w:before="200" w:after="240" w:line="360" w:lineRule="auto"/>
      </w:pPr>
      <w:r w:rsidRPr="00515B99">
        <w:rPr>
          <w:b/>
          <w:bCs/>
          <w:color w:val="2E5496"/>
        </w:rPr>
        <w:lastRenderedPageBreak/>
        <w:t>Skills-Based Architecture and Internal Talent Marketplaces</w:t>
      </w:r>
    </w:p>
    <w:p w:rsidR="006A7079" w:rsidRPr="00515B99" w:rsidRDefault="003537B9" w:rsidP="00515B99">
      <w:pPr>
        <w:spacing w:before="80" w:after="120" w:line="360" w:lineRule="auto"/>
        <w:jc w:val="both"/>
      </w:pPr>
      <w:r w:rsidRPr="00515B99">
        <w:t>The traditional job-based architecture, in which roles are defined by fixed descriptions and hierarchical titles, is increasingly inadequate for dynamic, innovation-intensive organisations (Deloitte, 2021). A skills-based architecture, by contrast, organises work around capabilities, enabling fluid deployment of talent across projects, disciplines and geographies. This is particularly relevant for HUM, where work demands span AI engineering, urban data analytics, policy engagement and sustainability strategy inherently interdisciplinary.</w:t>
      </w:r>
    </w:p>
    <w:p w:rsidR="006A7079" w:rsidRPr="00515B99" w:rsidRDefault="003537B9" w:rsidP="00515B99">
      <w:pPr>
        <w:spacing w:before="120" w:after="80" w:line="360" w:lineRule="auto"/>
        <w:jc w:val="center"/>
      </w:pPr>
      <w:r w:rsidRPr="00515B99">
        <w:rPr>
          <w:noProof/>
        </w:rPr>
        <w:drawing>
          <wp:inline distT="0" distB="0" distL="0" distR="0">
            <wp:extent cx="5899355" cy="3932904"/>
            <wp:effectExtent l="0" t="0" r="6350" b="0"/>
            <wp:docPr id="7" name="Figure 5: Internal Talent Market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929995" cy="3953331"/>
                    </a:xfrm>
                    <a:prstGeom prst="rect">
                      <a:avLst/>
                    </a:prstGeom>
                  </pic:spPr>
                </pic:pic>
              </a:graphicData>
            </a:graphic>
          </wp:inline>
        </w:drawing>
      </w:r>
    </w:p>
    <w:p w:rsidR="006A7079" w:rsidRPr="00515B99" w:rsidRDefault="003537B9" w:rsidP="00515B99">
      <w:pPr>
        <w:spacing w:line="360" w:lineRule="auto"/>
        <w:jc w:val="center"/>
        <w:rPr>
          <w:i/>
          <w:iCs/>
          <w:color w:val="555555"/>
          <w:sz w:val="20"/>
        </w:rPr>
      </w:pPr>
      <w:r w:rsidRPr="00515B99">
        <w:rPr>
          <w:i/>
          <w:iCs/>
          <w:color w:val="555555"/>
          <w:sz w:val="20"/>
        </w:rPr>
        <w:t>Figure 7: Helios Internal Talent Marketplace (ITM) - Skills-Based Architecture Ecosystem</w:t>
      </w:r>
    </w:p>
    <w:p w:rsidR="00F05AE4" w:rsidRPr="00A36571" w:rsidRDefault="00F05AE4" w:rsidP="00A36571">
      <w:pPr>
        <w:spacing w:line="360" w:lineRule="auto"/>
        <w:jc w:val="center"/>
        <w:rPr>
          <w:sz w:val="20"/>
        </w:rPr>
      </w:pPr>
    </w:p>
    <w:p w:rsidR="006A7079" w:rsidRPr="00515B99" w:rsidRDefault="001518B7" w:rsidP="00515B99">
      <w:pPr>
        <w:spacing w:before="80" w:after="120" w:line="360" w:lineRule="auto"/>
        <w:jc w:val="both"/>
      </w:pPr>
      <w:r w:rsidRPr="00515B99">
        <w:t xml:space="preserve">An internal talent marketplace (ITM) would enable HUM to match employee capabilities and aspirations with internal assignments, mentoring pathways, and career transitions via a technology-enabled platform. Leading adopters, including Unilever’s FLEX Experiences and Schneider Electric’s Open Talent Market, report 30-40% reductions in high-potential attrition as employees gain visibility into internal growth opportunities before considering external moves (Degreed &amp; Harvard Business Publishing, 2021). For HUM, the platform should integrate AI-driven skill inference that </w:t>
      </w:r>
      <w:r w:rsidR="00B340AD" w:rsidRPr="00515B99">
        <w:t>analyses</w:t>
      </w:r>
      <w:r w:rsidRPr="00515B99">
        <w:t xml:space="preserve"> project contributions, training completions, and peer endorsements to surface hidden capabilities and democratize access to opportunities across the London, Berlin, and Singapore offices. ITMs also risk reinforcing existing inequalities if algorithms replicate historical biases; therefore, HUM must implement </w:t>
      </w:r>
      <w:r w:rsidRPr="00515B99">
        <w:lastRenderedPageBreak/>
        <w:t>fairness audits and transparent matching criteria (</w:t>
      </w:r>
      <w:proofErr w:type="spellStart"/>
      <w:r w:rsidRPr="00515B99">
        <w:t>Raghavan</w:t>
      </w:r>
      <w:proofErr w:type="spellEnd"/>
      <w:r w:rsidRPr="00515B99">
        <w:t xml:space="preserve"> et al., 2020). HUM should monitor ITM effectiveness using metrics such as internal mobility rate, time-to-match, diversity of opportunity access, and post-rotation performance outcomes.</w:t>
      </w:r>
    </w:p>
    <w:p w:rsidR="006A7079" w:rsidRPr="00515B99" w:rsidRDefault="003537B9" w:rsidP="00515B99">
      <w:pPr>
        <w:spacing w:before="80" w:after="120" w:line="360" w:lineRule="auto"/>
        <w:jc w:val="both"/>
      </w:pPr>
      <w:r w:rsidRPr="00515B99">
        <w:t>Critically, skills-based architectures must be designed with equity safeguards. Without deliberate intervention, algorithmic matching can perpetuate existing network advantages and exclude employees with non-traditional career trajectories. HUM should appoint a Human Capital Analytics team to audit the ITM for demographic bias annually, ensuring that the platform advances rather than undermines organisational inclusion.</w:t>
      </w:r>
    </w:p>
    <w:p w:rsidR="006A7079" w:rsidRPr="00515B99" w:rsidRDefault="003537B9" w:rsidP="00515B99">
      <w:pPr>
        <w:pStyle w:val="Heading2"/>
        <w:spacing w:line="360" w:lineRule="auto"/>
      </w:pPr>
      <w:bookmarkStart w:id="8" w:name="_Toc231939951"/>
      <w:r w:rsidRPr="00515B99">
        <w:t>2. Stimulating Intrinsic Motivation and Supporting Innovation</w:t>
      </w:r>
      <w:bookmarkEnd w:id="8"/>
    </w:p>
    <w:p w:rsidR="006A7079" w:rsidRPr="00515B99" w:rsidRDefault="003537B9" w:rsidP="00515B99">
      <w:pPr>
        <w:spacing w:before="240" w:line="360" w:lineRule="auto"/>
        <w:jc w:val="both"/>
      </w:pPr>
      <w:r w:rsidRPr="00515B99">
        <w:t>The proposed job design strategy stimulates intrinsic motivation through three interconnected mechanisms. First, the JCM-informed role redesign increases task identity and significance employees understand how their contributions connect to city-level urban transformation, generating experienced meaningfulness (Hackman and Oldham, 1976). Meaningfulness is particularly important in mission</w:t>
      </w:r>
      <w:r w:rsidRPr="00515B99">
        <w:rPr>
          <w:rFonts w:ascii="Cambria Math" w:hAnsi="Cambria Math" w:cs="Cambria Math"/>
        </w:rPr>
        <w:t>‑</w:t>
      </w:r>
      <w:r w:rsidRPr="00515B99">
        <w:t>driven organisations, where purpose alignment predicts both performance and retention (Carton, 2022). Second, job crafting increases felt autonomy a well-evidenced predictor of intrinsic motivation across professions and reduces the psychological distance between work and personal values (</w:t>
      </w:r>
      <w:proofErr w:type="spellStart"/>
      <w:r w:rsidRPr="00515B99">
        <w:t>Slemp</w:t>
      </w:r>
      <w:proofErr w:type="spellEnd"/>
      <w:r w:rsidRPr="00515B99">
        <w:t xml:space="preserve"> and Vella-</w:t>
      </w:r>
      <w:proofErr w:type="spellStart"/>
      <w:r w:rsidRPr="00515B99">
        <w:t>Brodrick</w:t>
      </w:r>
      <w:proofErr w:type="spellEnd"/>
      <w:r w:rsidRPr="00515B99">
        <w:t>, 2014).</w:t>
      </w:r>
    </w:p>
    <w:p w:rsidR="006A7079" w:rsidRPr="00515B99" w:rsidRDefault="00920792" w:rsidP="00515B99">
      <w:pPr>
        <w:spacing w:before="240" w:line="360" w:lineRule="auto"/>
        <w:jc w:val="both"/>
      </w:pPr>
      <w:r w:rsidRPr="00515B99">
        <w:t>Furthermore, the ITM aligns with Deci and Ryan’s (1985) self</w:t>
      </w:r>
      <w:r w:rsidRPr="00515B99">
        <w:rPr>
          <w:rFonts w:ascii="Cambria Math" w:hAnsi="Cambria Math" w:cs="Cambria Math"/>
        </w:rPr>
        <w:t>‑</w:t>
      </w:r>
      <w:r w:rsidRPr="00515B99">
        <w:t>determination theory by nurturing the core needs of autonomy, competence and relatedness. Employees gain greater choice over how they deploy their skills, build capability through varied project experiences and develop broader professional relationships across teams and locations. When these needs are simultaneously satisfied, intrinsic motivation is optimised, and extrinsic motivators such as salary benchmarking become comparatively less influential in retention decisions. However, autonomy must be balanced with coordination demands in cross</w:t>
      </w:r>
      <w:r w:rsidRPr="00515B99">
        <w:rPr>
          <w:rFonts w:ascii="Cambria Math" w:hAnsi="Cambria Math" w:cs="Cambria Math"/>
        </w:rPr>
        <w:t>‑</w:t>
      </w:r>
      <w:r w:rsidRPr="00515B99">
        <w:t>functional teams to avoid fragmentation (Grant &amp; Parker, 2009).</w:t>
      </w:r>
      <w:r w:rsidR="00EE31D3" w:rsidRPr="00515B99">
        <w:t xml:space="preserve"> Some scholars argue that autonomy can reduce coordination efficiency in interdependent work, suggesting that HUM must calibrate autonomy levels based on task complexity and interdependence (</w:t>
      </w:r>
      <w:proofErr w:type="spellStart"/>
      <w:r w:rsidR="00EE31D3" w:rsidRPr="00515B99">
        <w:t>Langfred</w:t>
      </w:r>
      <w:proofErr w:type="spellEnd"/>
      <w:r w:rsidR="00EE31D3" w:rsidRPr="00515B99">
        <w:t xml:space="preserve"> &amp; </w:t>
      </w:r>
      <w:proofErr w:type="spellStart"/>
      <w:r w:rsidR="00EE31D3" w:rsidRPr="00515B99">
        <w:t>Moye</w:t>
      </w:r>
      <w:proofErr w:type="spellEnd"/>
      <w:r w:rsidR="00EE31D3" w:rsidRPr="00515B99">
        <w:t>, 2014).</w:t>
      </w:r>
    </w:p>
    <w:p w:rsidR="006A7079" w:rsidRPr="00515B99" w:rsidRDefault="00920792" w:rsidP="00515B99">
      <w:pPr>
        <w:spacing w:before="240" w:line="360" w:lineRule="auto"/>
        <w:jc w:val="both"/>
      </w:pPr>
      <w:proofErr w:type="spellStart"/>
      <w:r w:rsidRPr="00515B99">
        <w:t>Amabile’s</w:t>
      </w:r>
      <w:proofErr w:type="spellEnd"/>
      <w:r w:rsidRPr="00515B99">
        <w:t xml:space="preserve"> (1988) intrinsic motivation principle suggests that creativity flourishes when individuals are motivated by the inherent satisfaction of the work itself. Applying this at HUM would help cultivate a climate where innovation emerges naturally from curiosity and engagement. Innovation also depends on psychological safety, which must be actively cultivated in cross</w:t>
      </w:r>
      <w:r w:rsidRPr="00515B99">
        <w:rPr>
          <w:rFonts w:ascii="Cambria Math" w:hAnsi="Cambria Math" w:cs="Cambria Math"/>
        </w:rPr>
        <w:t>‑</w:t>
      </w:r>
      <w:r w:rsidRPr="00515B99">
        <w:t xml:space="preserve">city teams (Edmondson &amp; Lei, 2014). The ITM enables cross-pollination of ideas across functional and geographic boundaries a structural driver of innovation </w:t>
      </w:r>
      <w:r w:rsidRPr="00515B99">
        <w:lastRenderedPageBreak/>
        <w:t>confirmed by organisational network research (Burt, 2004). When engineers collaborate with policy engagement staff on shared urban challenges, the combinatorial novelty that produces breakthrough solutions is more likely to emerge.</w:t>
      </w:r>
    </w:p>
    <w:p w:rsidR="00EE31D3" w:rsidRPr="00515B99" w:rsidRDefault="003537B9" w:rsidP="00515B99">
      <w:pPr>
        <w:spacing w:before="240" w:line="360" w:lineRule="auto"/>
        <w:jc w:val="both"/>
      </w:pPr>
      <w:r w:rsidRPr="00515B99">
        <w:t xml:space="preserve">Additionally, </w:t>
      </w:r>
      <w:r w:rsidRPr="00515B99">
        <w:rPr>
          <w:b/>
        </w:rPr>
        <w:t>HUM should adopt a 15%</w:t>
      </w:r>
      <w:r w:rsidRPr="00515B99">
        <w:t xml:space="preserve"> innovation time allocation a policy pioneered by Google and 3M formally embedded within job design parameters. This protected exploration time, documented within the ITM as 'Innovation Sprints', signals that creative risk-taking is organisationally valued rather than merely rhetorically endorsed. The Sprint outputs should be reviewed quarterly in cross-functional 'Innovation Forums', ensuring that individual creativity translates into organisational learning and potential commercial application. </w:t>
      </w:r>
      <w:r w:rsidR="00EE31D3" w:rsidRPr="00515B99">
        <w:t>However, innovation time often collapses under operational pressure; without workload redesign and managerial protection, such initiatives risk becoming symbolic rather than transformative (</w:t>
      </w:r>
      <w:proofErr w:type="spellStart"/>
      <w:r w:rsidR="00EE31D3" w:rsidRPr="00515B99">
        <w:t>Birkinshaw</w:t>
      </w:r>
      <w:proofErr w:type="spellEnd"/>
      <w:r w:rsidR="00EE31D3" w:rsidRPr="00515B99">
        <w:t>, 2021).</w:t>
      </w:r>
    </w:p>
    <w:p w:rsidR="00B55E16" w:rsidRPr="00515B99" w:rsidRDefault="003537B9" w:rsidP="00B55E16">
      <w:pPr>
        <w:spacing w:before="240" w:after="120" w:line="360" w:lineRule="auto"/>
        <w:jc w:val="both"/>
      </w:pPr>
      <w:r w:rsidRPr="00515B99">
        <w:t>The integration of JCM principles, job crafting, and a skills-based ITM creates what can be termed a dynamic human capital architecture one that is simultaneously responsive to HUM's immediate talent challenges (attrition, disengagement) and adaptive to the strategic uncertainty inherent in an emerging industry sector.</w:t>
      </w:r>
    </w:p>
    <w:p w:rsidR="006A7079" w:rsidRPr="00515B99" w:rsidRDefault="003537B9" w:rsidP="00B55E16">
      <w:pPr>
        <w:pStyle w:val="Heading1"/>
        <w:spacing w:after="0" w:line="360" w:lineRule="auto"/>
        <w:rPr>
          <w:sz w:val="24"/>
          <w:szCs w:val="24"/>
        </w:rPr>
      </w:pPr>
      <w:bookmarkStart w:id="9" w:name="_Toc231939952"/>
      <w:r w:rsidRPr="00515B99">
        <w:rPr>
          <w:sz w:val="24"/>
          <w:szCs w:val="24"/>
        </w:rPr>
        <w:t>Task C: Reflective Report</w:t>
      </w:r>
      <w:bookmarkEnd w:id="9"/>
    </w:p>
    <w:p w:rsidR="006A7079" w:rsidRPr="00515B99" w:rsidRDefault="006A7079" w:rsidP="00515B99">
      <w:pPr>
        <w:pBdr>
          <w:bottom w:val="single" w:sz="4" w:space="1" w:color="2E5496"/>
        </w:pBdr>
      </w:pPr>
    </w:p>
    <w:p w:rsidR="006A7079" w:rsidRPr="00515B99" w:rsidRDefault="003537B9" w:rsidP="00515B99">
      <w:pPr>
        <w:pStyle w:val="Heading2"/>
        <w:spacing w:line="360" w:lineRule="auto"/>
      </w:pPr>
      <w:bookmarkStart w:id="10" w:name="_Toc231939953"/>
      <w:r w:rsidRPr="00515B99">
        <w:t>1. Using AI as a Decision-Support Tool without Eroding Critical Human Judgement</w:t>
      </w:r>
      <w:bookmarkEnd w:id="10"/>
    </w:p>
    <w:p w:rsidR="001518B7" w:rsidRPr="00515B99" w:rsidRDefault="001518B7" w:rsidP="00515B99">
      <w:pPr>
        <w:spacing w:before="240" w:line="360" w:lineRule="auto"/>
        <w:jc w:val="both"/>
      </w:pPr>
      <w:r w:rsidRPr="00515B99">
        <w:t>As I reflect on my development as a human capital practitioner, a central challenge is learning to harness artificial intelligence while safeguarding the integrity of human judgement. AI tools from predictive analytics to generative models offer powerful opportunities for evidence</w:t>
      </w:r>
      <w:r w:rsidRPr="00515B99">
        <w:rPr>
          <w:rFonts w:ascii="Cambria Math" w:hAnsi="Cambria Math" w:cs="Cambria Math"/>
        </w:rPr>
        <w:t>‑</w:t>
      </w:r>
      <w:r w:rsidRPr="00515B99">
        <w:t>based decision</w:t>
      </w:r>
      <w:r w:rsidRPr="00515B99">
        <w:rPr>
          <w:rFonts w:ascii="Cambria Math" w:hAnsi="Cambria Math" w:cs="Cambria Math"/>
        </w:rPr>
        <w:t>‑</w:t>
      </w:r>
      <w:r w:rsidRPr="00515B99">
        <w:t>making, yet they also introduce risks of over</w:t>
      </w:r>
      <w:r w:rsidRPr="00515B99">
        <w:rPr>
          <w:rFonts w:ascii="Cambria Math" w:hAnsi="Cambria Math" w:cs="Cambria Math"/>
        </w:rPr>
        <w:t>‑</w:t>
      </w:r>
      <w:r w:rsidRPr="00515B99">
        <w:t>reliance, cognitive complacency and ethical abdication if used uncritically.</w:t>
      </w:r>
    </w:p>
    <w:p w:rsidR="001518B7" w:rsidRPr="00515B99" w:rsidRDefault="001518B7" w:rsidP="00515B99">
      <w:pPr>
        <w:spacing w:before="240" w:line="360" w:lineRule="auto"/>
        <w:jc w:val="both"/>
      </w:pPr>
      <w:r w:rsidRPr="00515B99">
        <w:t>My approach is grounded in augmented criticality: AI provides a first</w:t>
      </w:r>
      <w:r w:rsidRPr="00515B99">
        <w:rPr>
          <w:rFonts w:ascii="Cambria Math" w:hAnsi="Cambria Math" w:cs="Cambria Math"/>
        </w:rPr>
        <w:t>‑</w:t>
      </w:r>
      <w:r w:rsidRPr="00515B99">
        <w:t>pass analytical lens, but human reasoning remains the final arbiter. I treat AI</w:t>
      </w:r>
      <w:r w:rsidRPr="00515B99">
        <w:rPr>
          <w:rFonts w:ascii="Cambria Math" w:hAnsi="Cambria Math" w:cs="Cambria Math"/>
        </w:rPr>
        <w:t>‑</w:t>
      </w:r>
      <w:r w:rsidR="00B340AD" w:rsidRPr="00515B99">
        <w:t>generated insights, whether attrition predictions, sentiment analyses, or talent</w:t>
      </w:r>
      <w:r w:rsidR="00B340AD" w:rsidRPr="00515B99">
        <w:rPr>
          <w:rFonts w:ascii="Cambria Math" w:hAnsi="Cambria Math" w:cs="Cambria Math"/>
        </w:rPr>
        <w:t>‑</w:t>
      </w:r>
      <w:r w:rsidR="00B340AD" w:rsidRPr="00515B99">
        <w:t xml:space="preserve">matching scores, as hypotheses to interrogate rather than as </w:t>
      </w:r>
      <w:r w:rsidRPr="00515B99">
        <w:t xml:space="preserve">instructions to implement. </w:t>
      </w:r>
      <w:proofErr w:type="spellStart"/>
      <w:r w:rsidRPr="00515B99">
        <w:t>Kahneman’s</w:t>
      </w:r>
      <w:proofErr w:type="spellEnd"/>
      <w:r w:rsidRPr="00515B99">
        <w:t xml:space="preserve"> (2011) dual</w:t>
      </w:r>
      <w:r w:rsidRPr="00515B99">
        <w:rPr>
          <w:rFonts w:ascii="Cambria Math" w:hAnsi="Cambria Math" w:cs="Cambria Math"/>
        </w:rPr>
        <w:t>‑</w:t>
      </w:r>
      <w:r w:rsidRPr="00515B99">
        <w:t xml:space="preserve">process theory reinforces this stance: AI accelerates System 1 pattern recognition, but practitioners must engage System 2 deliberation to apply contextual, ethical and organisational judgement. I have encountered situations where AI outputs appeared authoritative yet conflicted with qualitative insights, reinforcing the need for disciplined scepticism. I recognise my own tendency to </w:t>
      </w:r>
      <w:r w:rsidRPr="00515B99">
        <w:lastRenderedPageBreak/>
        <w:t>privilege data over intuition, and this awareness now shapes a more balanced evaluative posture.</w:t>
      </w:r>
    </w:p>
    <w:p w:rsidR="001518B7" w:rsidRPr="00515B99" w:rsidRDefault="001518B7" w:rsidP="00515B99">
      <w:pPr>
        <w:spacing w:before="240" w:line="360" w:lineRule="auto"/>
        <w:jc w:val="both"/>
      </w:pPr>
      <w:r w:rsidRPr="00515B99">
        <w:t>In practice, when examining issues such as HUM’s graduate attrition, I would use predictive models to identify patterns but triangulate them with exit interviews, manager insights and focus</w:t>
      </w:r>
      <w:r w:rsidRPr="00515B99">
        <w:rPr>
          <w:rFonts w:ascii="Cambria Math" w:hAnsi="Cambria Math" w:cs="Cambria Math"/>
        </w:rPr>
        <w:t>‑</w:t>
      </w:r>
      <w:r w:rsidRPr="00515B99">
        <w:t>group data. AI can reveal the “what,” but only human interpretation can uncover the “why” and determine the “what next.” This app</w:t>
      </w:r>
      <w:r w:rsidR="00B340AD" w:rsidRPr="00515B99">
        <w:t xml:space="preserve">roach mitigates automation bias, </w:t>
      </w:r>
      <w:r w:rsidRPr="00515B99">
        <w:t>the documented tendency to over</w:t>
      </w:r>
      <w:r w:rsidRPr="00515B99">
        <w:rPr>
          <w:rFonts w:ascii="Cambria Math" w:hAnsi="Cambria Math" w:cs="Cambria Math"/>
        </w:rPr>
        <w:t>‑</w:t>
      </w:r>
      <w:r w:rsidRPr="00515B99">
        <w:t>trust algorithmic outputs (Goddard et al., 2012).</w:t>
      </w:r>
    </w:p>
    <w:p w:rsidR="001518B7" w:rsidRPr="00515B99" w:rsidRDefault="001518B7" w:rsidP="00B55E16">
      <w:pPr>
        <w:spacing w:before="240" w:line="360" w:lineRule="auto"/>
        <w:jc w:val="both"/>
      </w:pPr>
      <w:r w:rsidRPr="00515B99">
        <w:t>I also remain conscious that AI systems embed assumptions and historical biases. Language models may inadvertently reproduce inequities in screening or development recommendations</w:t>
      </w:r>
      <w:r w:rsidR="00B340AD" w:rsidRPr="00515B99">
        <w:t>. Maintaining the critical-literacy questioning model's logic, scrutinising outputs that appear overly uniform, and advocating for routine algorithmic audits are</w:t>
      </w:r>
      <w:r w:rsidRPr="00515B99">
        <w:t xml:space="preserve"> essential to ensuring AI augments, rather than distorts, strategic HR judgement.</w:t>
      </w:r>
      <w:bookmarkStart w:id="11" w:name="_Toc231939954"/>
    </w:p>
    <w:p w:rsidR="006A7079" w:rsidRPr="00515B99" w:rsidRDefault="003537B9" w:rsidP="00515B99">
      <w:pPr>
        <w:pStyle w:val="Heading2"/>
        <w:spacing w:line="360" w:lineRule="auto"/>
      </w:pPr>
      <w:r w:rsidRPr="00515B99">
        <w:t>2. Personal Capability Development Plan</w:t>
      </w:r>
      <w:bookmarkEnd w:id="11"/>
    </w:p>
    <w:p w:rsidR="00515B99" w:rsidRPr="00515B99" w:rsidRDefault="008D0581" w:rsidP="00515B99">
      <w:pPr>
        <w:spacing w:before="240" w:after="120" w:line="360" w:lineRule="auto"/>
        <w:jc w:val="both"/>
      </w:pPr>
      <w:r w:rsidRPr="00515B99">
        <w:rPr>
          <w:noProof/>
        </w:rPr>
        <w:drawing>
          <wp:anchor distT="0" distB="0" distL="114300" distR="114300" simplePos="0" relativeHeight="251659264" behindDoc="0" locked="0" layoutInCell="1" allowOverlap="1">
            <wp:simplePos x="0" y="0"/>
            <wp:positionH relativeFrom="margin">
              <wp:align>center</wp:align>
            </wp:positionH>
            <wp:positionV relativeFrom="paragraph">
              <wp:posOffset>563757</wp:posOffset>
            </wp:positionV>
            <wp:extent cx="6758940" cy="4579620"/>
            <wp:effectExtent l="0" t="0" r="3810" b="0"/>
            <wp:wrapThrough wrapText="bothSides">
              <wp:wrapPolygon edited="0">
                <wp:start x="0" y="0"/>
                <wp:lineTo x="0" y="21474"/>
                <wp:lineTo x="21551" y="21474"/>
                <wp:lineTo x="2155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50" t="2103" r="197" b="648"/>
                    <a:stretch/>
                  </pic:blipFill>
                  <pic:spPr bwMode="auto">
                    <a:xfrm>
                      <a:off x="0" y="0"/>
                      <a:ext cx="6758940" cy="4579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5456" w:rsidRPr="00515B99">
        <w:t>My capability development plan is structured around four pillars aligned to the emerging landscape of strategic HR practice:</w:t>
      </w:r>
    </w:p>
    <w:p w:rsidR="006A7079" w:rsidRPr="00384DDE" w:rsidRDefault="003537B9" w:rsidP="00384DDE">
      <w:pPr>
        <w:spacing w:line="360" w:lineRule="auto"/>
        <w:jc w:val="center"/>
        <w:rPr>
          <w:sz w:val="20"/>
        </w:rPr>
      </w:pPr>
      <w:r w:rsidRPr="00515B99">
        <w:rPr>
          <w:i/>
          <w:iCs/>
          <w:color w:val="555555"/>
          <w:sz w:val="20"/>
        </w:rPr>
        <w:t>Table 1: Personal Capability Development Plan - Four-Pillar Framework</w:t>
      </w:r>
    </w:p>
    <w:p w:rsidR="006A7079" w:rsidRPr="00515B99" w:rsidRDefault="003537B9" w:rsidP="00515B99">
      <w:pPr>
        <w:spacing w:before="240" w:line="360" w:lineRule="auto"/>
        <w:jc w:val="both"/>
      </w:pPr>
      <w:r w:rsidRPr="00515B99">
        <w:lastRenderedPageBreak/>
        <w:t>Underpinning this plan is a commitment to reflexive professional practice</w:t>
      </w:r>
      <w:r w:rsidR="004F5867">
        <w:t>,</w:t>
      </w:r>
      <w:r w:rsidRPr="00515B99">
        <w:t xml:space="preserve"> periodically examining my own assumptions, biases, and knowledge gaps as a practitioner operating at the intersection of technology, people, and strategy. The MBA has provoked a fundamental reorientation in my understanding of human capital: employees are not resources to be optimised but agents whose flourishing is both intrinsically valuable and strategically essential. Carrying this conviction into practice with the analytical rigour to evidence it and the influencing skills to advocate for it represents the aspiration that animates my professional development journey.</w:t>
      </w:r>
    </w:p>
    <w:p w:rsidR="006A7079" w:rsidRPr="00515B99" w:rsidRDefault="00EE31D3" w:rsidP="00515B99">
      <w:pPr>
        <w:spacing w:before="240" w:line="360" w:lineRule="auto"/>
        <w:jc w:val="both"/>
      </w:pPr>
      <w:r w:rsidRPr="00515B99">
        <w:t>I will evaluate progress quarterly using three indicators: (1) completion of targeted certifications, (2) documented application of AI</w:t>
      </w:r>
      <w:r w:rsidRPr="00515B99">
        <w:noBreakHyphen/>
        <w:t>supported decisions in practice, and (3) feedback from peers and mentors on my strategic influencing behaviours.</w:t>
      </w:r>
    </w:p>
    <w:p w:rsidR="006A7079" w:rsidRPr="00515B99" w:rsidRDefault="003537B9" w:rsidP="00F47473">
      <w:pPr>
        <w:pStyle w:val="Heading1"/>
        <w:rPr>
          <w:sz w:val="24"/>
          <w:szCs w:val="24"/>
        </w:rPr>
      </w:pPr>
      <w:bookmarkStart w:id="12" w:name="_Toc231939955"/>
      <w:r w:rsidRPr="00515B99">
        <w:rPr>
          <w:sz w:val="24"/>
          <w:szCs w:val="24"/>
        </w:rPr>
        <w:t>References</w:t>
      </w:r>
      <w:bookmarkEnd w:id="12"/>
    </w:p>
    <w:p w:rsidR="006A7079" w:rsidRPr="00515B99" w:rsidRDefault="006A7079" w:rsidP="00515B99">
      <w:pPr>
        <w:pBdr>
          <w:bottom w:val="single" w:sz="4" w:space="1" w:color="2E5496"/>
        </w:pBdr>
      </w:pPr>
    </w:p>
    <w:p w:rsidR="00FD75D3" w:rsidRPr="00515B99" w:rsidRDefault="00FD75D3" w:rsidP="00F47473">
      <w:pPr>
        <w:spacing w:before="240" w:after="240" w:line="360" w:lineRule="auto"/>
        <w:ind w:left="720" w:hanging="720"/>
        <w:jc w:val="both"/>
      </w:pPr>
      <w:r w:rsidRPr="00515B99">
        <w:rPr>
          <w:rFonts w:eastAsia="Times New Roman"/>
        </w:rPr>
        <w:t xml:space="preserve">Adler, P.S. (2022) </w:t>
      </w:r>
      <w:r w:rsidRPr="00515B99">
        <w:rPr>
          <w:rFonts w:eastAsia="Times New Roman"/>
          <w:i/>
          <w:iCs/>
        </w:rPr>
        <w:t>'</w:t>
      </w:r>
      <w:proofErr w:type="gramStart"/>
      <w:r w:rsidRPr="00515B99">
        <w:rPr>
          <w:rFonts w:eastAsia="Times New Roman"/>
          <w:i/>
          <w:iCs/>
        </w:rPr>
        <w:t>The</w:t>
      </w:r>
      <w:proofErr w:type="gramEnd"/>
      <w:r w:rsidRPr="00515B99">
        <w:rPr>
          <w:rFonts w:eastAsia="Times New Roman"/>
          <w:i/>
          <w:iCs/>
        </w:rPr>
        <w:t xml:space="preserve"> 99 percent economy: How democratic socialism can overcome the crises of capitalism'</w:t>
      </w:r>
      <w:r w:rsidRPr="00515B99">
        <w:rPr>
          <w:rFonts w:eastAsia="Times New Roman"/>
        </w:rPr>
        <w:t>, Oxford University Press.</w:t>
      </w:r>
    </w:p>
    <w:p w:rsidR="00FD75D3" w:rsidRPr="00515B99" w:rsidRDefault="00FD75D3" w:rsidP="00515B99">
      <w:pPr>
        <w:spacing w:after="240" w:line="360" w:lineRule="auto"/>
        <w:ind w:left="720" w:hanging="720"/>
        <w:jc w:val="both"/>
      </w:pPr>
      <w:r w:rsidRPr="00515B99">
        <w:rPr>
          <w:rFonts w:eastAsia="Times New Roman"/>
        </w:rPr>
        <w:t xml:space="preserve">Alvesson, M., Ashcraft, K.L. and Thomas, R. (2020) 'Identity matters: Reflections on the construction of identity scholarship in organization studies', </w:t>
      </w:r>
      <w:r w:rsidRPr="00515B99">
        <w:rPr>
          <w:rFonts w:eastAsia="Times New Roman"/>
          <w:i/>
          <w:iCs/>
        </w:rPr>
        <w:t>Organization</w:t>
      </w:r>
      <w:r w:rsidRPr="00515B99">
        <w:rPr>
          <w:rFonts w:eastAsia="Times New Roman"/>
        </w:rPr>
        <w:t>, 27(3), pp. 461-473.</w:t>
      </w:r>
    </w:p>
    <w:p w:rsidR="00FD75D3" w:rsidRPr="00515B99" w:rsidRDefault="00FD75D3" w:rsidP="00515B99">
      <w:pPr>
        <w:spacing w:after="240" w:line="360" w:lineRule="auto"/>
        <w:ind w:left="720" w:hanging="720"/>
        <w:jc w:val="both"/>
      </w:pPr>
      <w:proofErr w:type="spellStart"/>
      <w:r w:rsidRPr="00515B99">
        <w:rPr>
          <w:rFonts w:eastAsia="Times New Roman"/>
        </w:rPr>
        <w:t>Amabile</w:t>
      </w:r>
      <w:proofErr w:type="spellEnd"/>
      <w:r w:rsidRPr="00515B99">
        <w:rPr>
          <w:rFonts w:eastAsia="Times New Roman"/>
        </w:rPr>
        <w:t xml:space="preserve">, T.M. (1988) 'A model of creativity and innovation in organisations', </w:t>
      </w:r>
      <w:r w:rsidRPr="00515B99">
        <w:rPr>
          <w:rFonts w:eastAsia="Times New Roman"/>
          <w:i/>
          <w:iCs/>
        </w:rPr>
        <w:t xml:space="preserve">Research in Organisational </w:t>
      </w:r>
      <w:proofErr w:type="spellStart"/>
      <w:r w:rsidRPr="00515B99">
        <w:rPr>
          <w:rFonts w:eastAsia="Times New Roman"/>
          <w:i/>
          <w:iCs/>
        </w:rPr>
        <w:t>Behavior</w:t>
      </w:r>
      <w:proofErr w:type="spellEnd"/>
      <w:r w:rsidRPr="00515B99">
        <w:rPr>
          <w:rFonts w:eastAsia="Times New Roman"/>
        </w:rPr>
        <w:t>, 10, pp. 123-167.</w:t>
      </w:r>
    </w:p>
    <w:p w:rsidR="00FD75D3" w:rsidRPr="00515B99" w:rsidRDefault="00FD75D3" w:rsidP="00515B99">
      <w:pPr>
        <w:spacing w:after="240" w:line="360" w:lineRule="auto"/>
        <w:ind w:left="720" w:hanging="720"/>
        <w:jc w:val="both"/>
      </w:pPr>
      <w:r w:rsidRPr="00515B99">
        <w:rPr>
          <w:rFonts w:eastAsia="Times New Roman"/>
        </w:rPr>
        <w:t xml:space="preserve">Ashford, S.J. and </w:t>
      </w:r>
      <w:proofErr w:type="spellStart"/>
      <w:r w:rsidRPr="00515B99">
        <w:rPr>
          <w:rFonts w:eastAsia="Times New Roman"/>
        </w:rPr>
        <w:t>Nurmohamed</w:t>
      </w:r>
      <w:proofErr w:type="spellEnd"/>
      <w:r w:rsidRPr="00515B99">
        <w:rPr>
          <w:rFonts w:eastAsia="Times New Roman"/>
        </w:rPr>
        <w:t>, S. (2021) '</w:t>
      </w:r>
      <w:proofErr w:type="gramStart"/>
      <w:r w:rsidRPr="00515B99">
        <w:rPr>
          <w:rFonts w:eastAsia="Times New Roman"/>
        </w:rPr>
        <w:t>From</w:t>
      </w:r>
      <w:proofErr w:type="gramEnd"/>
      <w:r w:rsidRPr="00515B99">
        <w:rPr>
          <w:rFonts w:eastAsia="Times New Roman"/>
        </w:rPr>
        <w:t xml:space="preserve"> research to practice: How our work should inform organisational socialisation practices', </w:t>
      </w:r>
      <w:r w:rsidRPr="00515B99">
        <w:rPr>
          <w:rFonts w:eastAsia="Times New Roman"/>
          <w:i/>
          <w:iCs/>
        </w:rPr>
        <w:t xml:space="preserve">Annual Review of Organizational Psychology and Organizational </w:t>
      </w:r>
      <w:proofErr w:type="spellStart"/>
      <w:r w:rsidRPr="00515B99">
        <w:rPr>
          <w:rFonts w:eastAsia="Times New Roman"/>
          <w:i/>
          <w:iCs/>
        </w:rPr>
        <w:t>Behavior</w:t>
      </w:r>
      <w:proofErr w:type="spellEnd"/>
      <w:r w:rsidRPr="00515B99">
        <w:rPr>
          <w:rFonts w:eastAsia="Times New Roman"/>
        </w:rPr>
        <w:t>, 8, pp. 367-390.</w:t>
      </w:r>
    </w:p>
    <w:p w:rsidR="00FD75D3" w:rsidRPr="00515B99" w:rsidRDefault="00FD75D3" w:rsidP="00515B99">
      <w:pPr>
        <w:spacing w:after="240" w:line="360" w:lineRule="auto"/>
        <w:ind w:left="720" w:hanging="720"/>
        <w:jc w:val="both"/>
      </w:pPr>
      <w:proofErr w:type="spellStart"/>
      <w:r w:rsidRPr="00515B99">
        <w:rPr>
          <w:rFonts w:eastAsia="Times New Roman"/>
        </w:rPr>
        <w:t>Ashforth</w:t>
      </w:r>
      <w:proofErr w:type="spellEnd"/>
      <w:r w:rsidRPr="00515B99">
        <w:rPr>
          <w:rFonts w:eastAsia="Times New Roman"/>
        </w:rPr>
        <w:t xml:space="preserve">, B.E. and </w:t>
      </w:r>
      <w:proofErr w:type="spellStart"/>
      <w:r w:rsidRPr="00515B99">
        <w:rPr>
          <w:rFonts w:eastAsia="Times New Roman"/>
        </w:rPr>
        <w:t>Mael</w:t>
      </w:r>
      <w:proofErr w:type="spellEnd"/>
      <w:r w:rsidRPr="00515B99">
        <w:rPr>
          <w:rFonts w:eastAsia="Times New Roman"/>
        </w:rPr>
        <w:t xml:space="preserve">, F. (1989) 'Social identity theory and the organisation', </w:t>
      </w:r>
      <w:r w:rsidRPr="00515B99">
        <w:rPr>
          <w:rFonts w:eastAsia="Times New Roman"/>
          <w:i/>
          <w:iCs/>
        </w:rPr>
        <w:t>Academy of Management Review</w:t>
      </w:r>
      <w:r w:rsidRPr="00515B99">
        <w:rPr>
          <w:rFonts w:eastAsia="Times New Roman"/>
        </w:rPr>
        <w:t>, 14(1), pp. 20-39.</w:t>
      </w:r>
    </w:p>
    <w:p w:rsidR="00FD75D3" w:rsidRPr="00515B99" w:rsidRDefault="00FD75D3" w:rsidP="00515B99">
      <w:pPr>
        <w:spacing w:after="240" w:line="360" w:lineRule="auto"/>
        <w:ind w:left="720" w:hanging="720"/>
        <w:jc w:val="both"/>
      </w:pPr>
      <w:proofErr w:type="gramStart"/>
      <w:r w:rsidRPr="00515B99">
        <w:rPr>
          <w:rFonts w:eastAsia="Times New Roman"/>
        </w:rPr>
        <w:t>Bal</w:t>
      </w:r>
      <w:proofErr w:type="gramEnd"/>
      <w:r w:rsidRPr="00515B99">
        <w:rPr>
          <w:rFonts w:eastAsia="Times New Roman"/>
        </w:rPr>
        <w:t xml:space="preserve">, P.M. and Rousseau, D.M. (eds.) (2020) </w:t>
      </w:r>
      <w:r w:rsidRPr="00515B99">
        <w:rPr>
          <w:rFonts w:eastAsia="Times New Roman"/>
          <w:i/>
          <w:iCs/>
        </w:rPr>
        <w:t>Idiosyncratic deals between employees and organizations: Conceptual issues, applications and the role of co-workers</w:t>
      </w:r>
      <w:r w:rsidRPr="00515B99">
        <w:rPr>
          <w:rFonts w:eastAsia="Times New Roman"/>
        </w:rPr>
        <w:t>. Abingdon: Routledge.</w:t>
      </w:r>
    </w:p>
    <w:p w:rsidR="00FD75D3" w:rsidRPr="00515B99" w:rsidRDefault="00FD75D3" w:rsidP="00515B99">
      <w:pPr>
        <w:spacing w:after="240" w:line="360" w:lineRule="auto"/>
        <w:ind w:left="720" w:hanging="720"/>
        <w:jc w:val="both"/>
      </w:pPr>
      <w:r w:rsidRPr="00515B99">
        <w:rPr>
          <w:rFonts w:eastAsia="Times New Roman"/>
        </w:rPr>
        <w:t>Bauer, T.N. (2023) '</w:t>
      </w:r>
      <w:proofErr w:type="spellStart"/>
      <w:r w:rsidRPr="00515B99">
        <w:rPr>
          <w:rFonts w:eastAsia="Times New Roman"/>
        </w:rPr>
        <w:t>Onboarding</w:t>
      </w:r>
      <w:proofErr w:type="spellEnd"/>
      <w:r w:rsidRPr="00515B99">
        <w:rPr>
          <w:rFonts w:eastAsia="Times New Roman"/>
        </w:rPr>
        <w:t xml:space="preserve"> in a digital world', </w:t>
      </w:r>
      <w:r w:rsidRPr="00515B99">
        <w:rPr>
          <w:rFonts w:eastAsia="Times New Roman"/>
          <w:i/>
          <w:iCs/>
        </w:rPr>
        <w:t xml:space="preserve">Annual Review of Organizational Psychology and Organizational </w:t>
      </w:r>
      <w:proofErr w:type="spellStart"/>
      <w:r w:rsidRPr="00515B99">
        <w:rPr>
          <w:rFonts w:eastAsia="Times New Roman"/>
          <w:i/>
          <w:iCs/>
        </w:rPr>
        <w:t>Behavior</w:t>
      </w:r>
      <w:proofErr w:type="spellEnd"/>
      <w:r w:rsidRPr="00515B99">
        <w:rPr>
          <w:rFonts w:eastAsia="Times New Roman"/>
        </w:rPr>
        <w:t>, 10, pp. 115-135.</w:t>
      </w:r>
    </w:p>
    <w:p w:rsidR="00FD75D3" w:rsidRPr="00515B99" w:rsidRDefault="00FD75D3" w:rsidP="00515B99">
      <w:pPr>
        <w:spacing w:after="240" w:line="360" w:lineRule="auto"/>
        <w:ind w:left="720" w:hanging="720"/>
        <w:jc w:val="both"/>
      </w:pPr>
      <w:r w:rsidRPr="00515B99">
        <w:rPr>
          <w:rFonts w:eastAsia="Times New Roman"/>
        </w:rPr>
        <w:lastRenderedPageBreak/>
        <w:t xml:space="preserve">Berg, J.M., Dutton, J.E. and </w:t>
      </w:r>
      <w:proofErr w:type="spellStart"/>
      <w:r w:rsidRPr="00515B99">
        <w:rPr>
          <w:rFonts w:eastAsia="Times New Roman"/>
        </w:rPr>
        <w:t>Wrzesniewski</w:t>
      </w:r>
      <w:proofErr w:type="spellEnd"/>
      <w:r w:rsidRPr="00515B99">
        <w:rPr>
          <w:rFonts w:eastAsia="Times New Roman"/>
        </w:rPr>
        <w:t xml:space="preserve">, A. (2013) 'Job crafting and meaningful work', in B.J. </w:t>
      </w:r>
      <w:proofErr w:type="spellStart"/>
      <w:r w:rsidRPr="00515B99">
        <w:rPr>
          <w:rFonts w:eastAsia="Times New Roman"/>
        </w:rPr>
        <w:t>Dik</w:t>
      </w:r>
      <w:proofErr w:type="spellEnd"/>
      <w:r w:rsidRPr="00515B99">
        <w:rPr>
          <w:rFonts w:eastAsia="Times New Roman"/>
        </w:rPr>
        <w:t xml:space="preserve">, Z.S. Byrne and M.F. Steger (eds.) </w:t>
      </w:r>
      <w:r w:rsidRPr="00515B99">
        <w:rPr>
          <w:rFonts w:eastAsia="Times New Roman"/>
          <w:i/>
          <w:iCs/>
        </w:rPr>
        <w:t>Purpose and meaning in the workplace</w:t>
      </w:r>
      <w:r w:rsidRPr="00515B99">
        <w:rPr>
          <w:rFonts w:eastAsia="Times New Roman"/>
        </w:rPr>
        <w:t>. Washington, DC: American Psychological Association, pp. 81-104.</w:t>
      </w:r>
    </w:p>
    <w:p w:rsidR="00FD75D3" w:rsidRPr="00515B99" w:rsidRDefault="00FD75D3" w:rsidP="00515B99">
      <w:pPr>
        <w:spacing w:after="240" w:line="360" w:lineRule="auto"/>
        <w:ind w:left="720" w:hanging="720"/>
        <w:jc w:val="both"/>
      </w:pPr>
      <w:proofErr w:type="spellStart"/>
      <w:r w:rsidRPr="00515B99">
        <w:rPr>
          <w:rFonts w:eastAsia="Times New Roman"/>
        </w:rPr>
        <w:t>Birkinshaw</w:t>
      </w:r>
      <w:proofErr w:type="spellEnd"/>
      <w:r w:rsidRPr="00515B99">
        <w:rPr>
          <w:rFonts w:eastAsia="Times New Roman"/>
        </w:rPr>
        <w:t xml:space="preserve">, J. (2021) </w:t>
      </w:r>
      <w:r w:rsidRPr="00515B99">
        <w:rPr>
          <w:rFonts w:eastAsia="Times New Roman"/>
          <w:i/>
          <w:iCs/>
        </w:rPr>
        <w:t>Becoming a better boss: Why good management is so difficult</w:t>
      </w:r>
      <w:r w:rsidRPr="00515B99">
        <w:rPr>
          <w:rFonts w:eastAsia="Times New Roman"/>
        </w:rPr>
        <w:t xml:space="preserve">. </w:t>
      </w:r>
      <w:proofErr w:type="spellStart"/>
      <w:r w:rsidRPr="00515B99">
        <w:rPr>
          <w:rFonts w:eastAsia="Times New Roman"/>
        </w:rPr>
        <w:t>Jossey</w:t>
      </w:r>
      <w:proofErr w:type="spellEnd"/>
      <w:r w:rsidRPr="00515B99">
        <w:rPr>
          <w:rFonts w:eastAsia="Times New Roman"/>
        </w:rPr>
        <w:t>-Bass.</w:t>
      </w:r>
    </w:p>
    <w:p w:rsidR="00FD75D3" w:rsidRPr="00515B99" w:rsidRDefault="00FD75D3" w:rsidP="00515B99">
      <w:pPr>
        <w:spacing w:after="240" w:line="360" w:lineRule="auto"/>
        <w:ind w:left="720" w:hanging="720"/>
        <w:jc w:val="both"/>
      </w:pPr>
      <w:r w:rsidRPr="00515B99">
        <w:rPr>
          <w:rFonts w:eastAsia="Times New Roman"/>
        </w:rPr>
        <w:t xml:space="preserve">Burt, R.S. (2004) 'Structural holes and good ideas', </w:t>
      </w:r>
      <w:r w:rsidRPr="00515B99">
        <w:rPr>
          <w:rFonts w:eastAsia="Times New Roman"/>
          <w:i/>
          <w:iCs/>
        </w:rPr>
        <w:t>American Journal of Sociology</w:t>
      </w:r>
      <w:r w:rsidRPr="00515B99">
        <w:rPr>
          <w:rFonts w:eastAsia="Times New Roman"/>
        </w:rPr>
        <w:t>, 110(2), pp. 349-399.</w:t>
      </w:r>
    </w:p>
    <w:p w:rsidR="00FD75D3" w:rsidRPr="00515B99" w:rsidRDefault="00FD75D3" w:rsidP="00515B99">
      <w:pPr>
        <w:spacing w:after="240" w:line="360" w:lineRule="auto"/>
        <w:ind w:left="720" w:hanging="720"/>
        <w:jc w:val="both"/>
      </w:pPr>
      <w:r w:rsidRPr="00515B99">
        <w:rPr>
          <w:rFonts w:eastAsia="Times New Roman"/>
        </w:rPr>
        <w:t xml:space="preserve">Cable, D.M., Gino, F. and </w:t>
      </w:r>
      <w:proofErr w:type="spellStart"/>
      <w:r w:rsidRPr="00515B99">
        <w:rPr>
          <w:rFonts w:eastAsia="Times New Roman"/>
        </w:rPr>
        <w:t>Staats</w:t>
      </w:r>
      <w:proofErr w:type="spellEnd"/>
      <w:r w:rsidRPr="00515B99">
        <w:rPr>
          <w:rFonts w:eastAsia="Times New Roman"/>
        </w:rPr>
        <w:t xml:space="preserve">, B.R. (2013) 'Breaking them in or eliciting their best? Reframing socialisation around newcomer self-expression', </w:t>
      </w:r>
      <w:r w:rsidRPr="00515B99">
        <w:rPr>
          <w:rFonts w:eastAsia="Times New Roman"/>
          <w:i/>
          <w:iCs/>
        </w:rPr>
        <w:t>Administrative Science Quarterly</w:t>
      </w:r>
      <w:r w:rsidRPr="00515B99">
        <w:rPr>
          <w:rFonts w:eastAsia="Times New Roman"/>
        </w:rPr>
        <w:t>, 58(1), pp. 1-36.</w:t>
      </w:r>
    </w:p>
    <w:p w:rsidR="00FD75D3" w:rsidRPr="00515B99" w:rsidRDefault="00FD75D3" w:rsidP="00515B99">
      <w:pPr>
        <w:spacing w:after="240" w:line="360" w:lineRule="auto"/>
        <w:ind w:left="720" w:hanging="720"/>
        <w:jc w:val="both"/>
      </w:pPr>
      <w:r w:rsidRPr="00515B99">
        <w:rPr>
          <w:rFonts w:eastAsia="Times New Roman"/>
        </w:rPr>
        <w:t xml:space="preserve">Carton, A.M. (2022) 'I’m not mopping the floors, I’m putting a man on the moon: How NASA leaders enhanced the meaningfulness of work by changing the meaning of work', </w:t>
      </w:r>
      <w:r w:rsidRPr="00515B99">
        <w:rPr>
          <w:rFonts w:eastAsia="Times New Roman"/>
          <w:i/>
          <w:iCs/>
        </w:rPr>
        <w:t>Administrative Science Quarterly</w:t>
      </w:r>
      <w:r w:rsidRPr="00515B99">
        <w:rPr>
          <w:rFonts w:eastAsia="Times New Roman"/>
        </w:rPr>
        <w:t>, 67(2), pp. 323-369.</w:t>
      </w:r>
    </w:p>
    <w:p w:rsidR="00FD75D3" w:rsidRPr="00515B99" w:rsidRDefault="00FD75D3" w:rsidP="00515B99">
      <w:pPr>
        <w:spacing w:after="240" w:line="360" w:lineRule="auto"/>
        <w:ind w:left="720" w:hanging="720"/>
        <w:jc w:val="both"/>
      </w:pPr>
      <w:proofErr w:type="spellStart"/>
      <w:r w:rsidRPr="00515B99">
        <w:rPr>
          <w:rFonts w:eastAsia="Times New Roman"/>
        </w:rPr>
        <w:t>Cialdini</w:t>
      </w:r>
      <w:proofErr w:type="spellEnd"/>
      <w:r w:rsidRPr="00515B99">
        <w:rPr>
          <w:rFonts w:eastAsia="Times New Roman"/>
        </w:rPr>
        <w:t xml:space="preserve">, R.B. (2007) </w:t>
      </w:r>
      <w:r w:rsidRPr="00515B99">
        <w:rPr>
          <w:rFonts w:eastAsia="Times New Roman"/>
          <w:i/>
          <w:iCs/>
        </w:rPr>
        <w:t>Influence: The psychology of persuasion</w:t>
      </w:r>
      <w:r w:rsidRPr="00515B99">
        <w:rPr>
          <w:rFonts w:eastAsia="Times New Roman"/>
        </w:rPr>
        <w:t>. New York: HarperCollins.</w:t>
      </w:r>
    </w:p>
    <w:p w:rsidR="00FD75D3" w:rsidRPr="00515B99" w:rsidRDefault="00FD75D3" w:rsidP="00515B99">
      <w:pPr>
        <w:spacing w:after="240" w:line="360" w:lineRule="auto"/>
        <w:ind w:left="720" w:hanging="720"/>
        <w:jc w:val="both"/>
      </w:pPr>
      <w:r w:rsidRPr="00515B99">
        <w:rPr>
          <w:rFonts w:eastAsia="Times New Roman"/>
        </w:rPr>
        <w:t xml:space="preserve">CIPD (2023) </w:t>
      </w:r>
      <w:r w:rsidRPr="00515B99">
        <w:rPr>
          <w:rFonts w:eastAsia="Times New Roman"/>
          <w:i/>
          <w:iCs/>
        </w:rPr>
        <w:t>Ethics at work: An employer’s guide</w:t>
      </w:r>
      <w:r w:rsidRPr="00515B99">
        <w:rPr>
          <w:rFonts w:eastAsia="Times New Roman"/>
        </w:rPr>
        <w:t>. London: Chartered Institute of Personnel and Development.</w:t>
      </w:r>
    </w:p>
    <w:p w:rsidR="00FD75D3" w:rsidRPr="00515B99" w:rsidRDefault="00FD75D3" w:rsidP="00515B99">
      <w:pPr>
        <w:spacing w:after="240" w:line="360" w:lineRule="auto"/>
        <w:ind w:left="720" w:hanging="720"/>
        <w:jc w:val="both"/>
      </w:pPr>
      <w:r w:rsidRPr="00515B99">
        <w:rPr>
          <w:rFonts w:eastAsia="Times New Roman"/>
        </w:rPr>
        <w:t xml:space="preserve">Coyle-Shapiro, J. and Kessler, I. (2000) 'Consequences of the psychological contract for the employment relationship: A large scale survey', </w:t>
      </w:r>
      <w:r w:rsidRPr="00515B99">
        <w:rPr>
          <w:rFonts w:eastAsia="Times New Roman"/>
          <w:i/>
          <w:iCs/>
        </w:rPr>
        <w:t>Journal of Management Studies</w:t>
      </w:r>
      <w:r w:rsidRPr="00515B99">
        <w:rPr>
          <w:rFonts w:eastAsia="Times New Roman"/>
        </w:rPr>
        <w:t>, 37(7), pp. 903-930.</w:t>
      </w:r>
    </w:p>
    <w:p w:rsidR="00FD75D3" w:rsidRPr="00515B99" w:rsidRDefault="00FD75D3" w:rsidP="00515B99">
      <w:pPr>
        <w:spacing w:after="240" w:line="360" w:lineRule="auto"/>
        <w:ind w:left="720" w:hanging="720"/>
        <w:jc w:val="both"/>
      </w:pPr>
      <w:r w:rsidRPr="00515B99">
        <w:rPr>
          <w:rFonts w:eastAsia="Times New Roman"/>
        </w:rPr>
        <w:t xml:space="preserve">Deci, E.L. and Ryan, R.M. (1985) </w:t>
      </w:r>
      <w:r w:rsidRPr="00515B99">
        <w:rPr>
          <w:rFonts w:eastAsia="Times New Roman"/>
          <w:i/>
          <w:iCs/>
        </w:rPr>
        <w:t xml:space="preserve">intrinsic motivation and self-determination in human </w:t>
      </w:r>
      <w:proofErr w:type="spellStart"/>
      <w:r w:rsidRPr="00515B99">
        <w:rPr>
          <w:rFonts w:eastAsia="Times New Roman"/>
          <w:i/>
          <w:iCs/>
        </w:rPr>
        <w:t>behavior</w:t>
      </w:r>
      <w:proofErr w:type="spellEnd"/>
      <w:r w:rsidRPr="00515B99">
        <w:rPr>
          <w:rFonts w:eastAsia="Times New Roman"/>
        </w:rPr>
        <w:t>. New York: Plenum Press.</w:t>
      </w:r>
    </w:p>
    <w:p w:rsidR="00FD75D3" w:rsidRPr="00515B99" w:rsidRDefault="00FD75D3" w:rsidP="00515B99">
      <w:pPr>
        <w:spacing w:after="240" w:line="360" w:lineRule="auto"/>
        <w:ind w:left="720" w:hanging="720"/>
        <w:jc w:val="both"/>
      </w:pPr>
      <w:r w:rsidRPr="00515B99">
        <w:rPr>
          <w:rFonts w:eastAsia="Times New Roman"/>
        </w:rPr>
        <w:t xml:space="preserve">Degreed and Harvard Business publishing (2021) </w:t>
      </w:r>
      <w:proofErr w:type="gramStart"/>
      <w:r w:rsidRPr="00515B99">
        <w:rPr>
          <w:rFonts w:eastAsia="Times New Roman"/>
          <w:i/>
          <w:iCs/>
        </w:rPr>
        <w:t>The</w:t>
      </w:r>
      <w:proofErr w:type="gramEnd"/>
      <w:r w:rsidRPr="00515B99">
        <w:rPr>
          <w:rFonts w:eastAsia="Times New Roman"/>
          <w:i/>
          <w:iCs/>
        </w:rPr>
        <w:t xml:space="preserve"> skills gap and the future of work</w:t>
      </w:r>
      <w:r w:rsidRPr="00515B99">
        <w:rPr>
          <w:rFonts w:eastAsia="Times New Roman"/>
        </w:rPr>
        <w:t>. Available at: https://degreed.com (Accessed: 5 June 2026).</w:t>
      </w:r>
    </w:p>
    <w:p w:rsidR="00FD75D3" w:rsidRPr="00515B99" w:rsidRDefault="00FD75D3" w:rsidP="00515B99">
      <w:pPr>
        <w:spacing w:after="240" w:line="360" w:lineRule="auto"/>
        <w:ind w:left="720" w:hanging="720"/>
        <w:jc w:val="both"/>
      </w:pPr>
      <w:r w:rsidRPr="00515B99">
        <w:rPr>
          <w:rFonts w:eastAsia="Times New Roman"/>
        </w:rPr>
        <w:t xml:space="preserve">Deloitte (2021) </w:t>
      </w:r>
      <w:proofErr w:type="gramStart"/>
      <w:r w:rsidRPr="00515B99">
        <w:rPr>
          <w:rFonts w:eastAsia="Times New Roman"/>
          <w:i/>
          <w:iCs/>
        </w:rPr>
        <w:t>The</w:t>
      </w:r>
      <w:proofErr w:type="gramEnd"/>
      <w:r w:rsidRPr="00515B99">
        <w:rPr>
          <w:rFonts w:eastAsia="Times New Roman"/>
          <w:i/>
          <w:iCs/>
        </w:rPr>
        <w:t xml:space="preserve"> skills-based organisation: A new operating model for work and the workforce</w:t>
      </w:r>
      <w:r w:rsidRPr="00515B99">
        <w:rPr>
          <w:rFonts w:eastAsia="Times New Roman"/>
        </w:rPr>
        <w:t>. London: Deloitte Insights.</w:t>
      </w:r>
    </w:p>
    <w:p w:rsidR="00FD75D3" w:rsidRPr="00515B99" w:rsidRDefault="00FD75D3" w:rsidP="00515B99">
      <w:pPr>
        <w:spacing w:after="240" w:line="360" w:lineRule="auto"/>
        <w:ind w:left="720" w:hanging="720"/>
        <w:jc w:val="both"/>
      </w:pPr>
      <w:r w:rsidRPr="00515B99">
        <w:rPr>
          <w:rFonts w:eastAsia="Times New Roman"/>
        </w:rPr>
        <w:t xml:space="preserve">Eccles, R.G. and </w:t>
      </w:r>
      <w:proofErr w:type="spellStart"/>
      <w:r w:rsidRPr="00515B99">
        <w:rPr>
          <w:rFonts w:eastAsia="Times New Roman"/>
        </w:rPr>
        <w:t>Klimenko</w:t>
      </w:r>
      <w:proofErr w:type="spellEnd"/>
      <w:r w:rsidRPr="00515B99">
        <w:rPr>
          <w:rFonts w:eastAsia="Times New Roman"/>
        </w:rPr>
        <w:t xml:space="preserve">, S. (2019) 'The investor revolution', </w:t>
      </w:r>
      <w:r w:rsidRPr="00515B99">
        <w:rPr>
          <w:rFonts w:eastAsia="Times New Roman"/>
          <w:i/>
          <w:iCs/>
        </w:rPr>
        <w:t>Harvard Business Review</w:t>
      </w:r>
      <w:r w:rsidRPr="00515B99">
        <w:rPr>
          <w:rFonts w:eastAsia="Times New Roman"/>
        </w:rPr>
        <w:t>, 97(3), pp. 106-116.</w:t>
      </w:r>
    </w:p>
    <w:p w:rsidR="00FD75D3" w:rsidRPr="00515B99" w:rsidRDefault="00FD75D3" w:rsidP="00515B99">
      <w:pPr>
        <w:spacing w:after="240" w:line="360" w:lineRule="auto"/>
        <w:ind w:left="720" w:hanging="720"/>
        <w:jc w:val="both"/>
      </w:pPr>
      <w:r w:rsidRPr="00515B99">
        <w:rPr>
          <w:rFonts w:eastAsia="Times New Roman"/>
        </w:rPr>
        <w:lastRenderedPageBreak/>
        <w:t xml:space="preserve">Edmondson, A. (1999) 'Psychological safety and learning behaviour in work teams', </w:t>
      </w:r>
      <w:r w:rsidRPr="00515B99">
        <w:rPr>
          <w:rFonts w:eastAsia="Times New Roman"/>
          <w:i/>
          <w:iCs/>
        </w:rPr>
        <w:t>Administrative Science Quarterly</w:t>
      </w:r>
      <w:r w:rsidRPr="00515B99">
        <w:rPr>
          <w:rFonts w:eastAsia="Times New Roman"/>
        </w:rPr>
        <w:t>, 44(2), pp. 350-383.</w:t>
      </w:r>
    </w:p>
    <w:p w:rsidR="00FD75D3" w:rsidRPr="00515B99" w:rsidRDefault="00FD75D3" w:rsidP="00515B99">
      <w:pPr>
        <w:spacing w:after="240" w:line="360" w:lineRule="auto"/>
        <w:ind w:left="720" w:hanging="720"/>
        <w:jc w:val="both"/>
      </w:pPr>
      <w:r w:rsidRPr="00515B99">
        <w:rPr>
          <w:rFonts w:eastAsia="Times New Roman"/>
        </w:rPr>
        <w:t xml:space="preserve">Edmondson, A.C. and Lei, Z. (2014) 'Psychological safety: The history, renaissance, and future of an interpersonal construct', </w:t>
      </w:r>
      <w:r w:rsidRPr="00515B99">
        <w:rPr>
          <w:rFonts w:eastAsia="Times New Roman"/>
          <w:i/>
          <w:iCs/>
        </w:rPr>
        <w:t xml:space="preserve">Annual Review of Organizational Psychology and Organizational </w:t>
      </w:r>
      <w:proofErr w:type="spellStart"/>
      <w:r w:rsidRPr="00515B99">
        <w:rPr>
          <w:rFonts w:eastAsia="Times New Roman"/>
          <w:i/>
          <w:iCs/>
        </w:rPr>
        <w:t>Behavior</w:t>
      </w:r>
      <w:proofErr w:type="spellEnd"/>
      <w:r w:rsidRPr="00515B99">
        <w:rPr>
          <w:rFonts w:eastAsia="Times New Roman"/>
        </w:rPr>
        <w:t>, 1, pp. 23-43.</w:t>
      </w:r>
    </w:p>
    <w:p w:rsidR="00FD75D3" w:rsidRPr="00515B99" w:rsidRDefault="00FD75D3" w:rsidP="00515B99">
      <w:pPr>
        <w:spacing w:after="240" w:line="360" w:lineRule="auto"/>
        <w:ind w:left="720" w:hanging="720"/>
        <w:jc w:val="both"/>
      </w:pPr>
      <w:r w:rsidRPr="00515B99">
        <w:rPr>
          <w:rFonts w:eastAsia="Times New Roman"/>
        </w:rPr>
        <w:t xml:space="preserve">Eubanks, V. (2018) </w:t>
      </w:r>
      <w:r w:rsidRPr="00515B99">
        <w:rPr>
          <w:rFonts w:eastAsia="Times New Roman"/>
          <w:i/>
          <w:iCs/>
        </w:rPr>
        <w:t>Automating inequality: How high-tech tools profile, police, and punish the poor</w:t>
      </w:r>
      <w:r w:rsidRPr="00515B99">
        <w:rPr>
          <w:rFonts w:eastAsia="Times New Roman"/>
        </w:rPr>
        <w:t>. New York: St. Martin’s Press.</w:t>
      </w:r>
    </w:p>
    <w:p w:rsidR="00FD75D3" w:rsidRPr="00515B99" w:rsidRDefault="00FD75D3" w:rsidP="00515B99">
      <w:pPr>
        <w:spacing w:after="240" w:line="360" w:lineRule="auto"/>
        <w:ind w:left="720" w:hanging="720"/>
        <w:jc w:val="both"/>
      </w:pPr>
      <w:proofErr w:type="spellStart"/>
      <w:r w:rsidRPr="00515B99">
        <w:rPr>
          <w:rFonts w:eastAsia="Times New Roman"/>
        </w:rPr>
        <w:t>Floridi</w:t>
      </w:r>
      <w:proofErr w:type="spellEnd"/>
      <w:r w:rsidRPr="00515B99">
        <w:rPr>
          <w:rFonts w:eastAsia="Times New Roman"/>
        </w:rPr>
        <w:t xml:space="preserve">, L. and Cowls, J. (2021) 'A unified framework of five principles for AI in society', </w:t>
      </w:r>
      <w:r w:rsidRPr="00515B99">
        <w:rPr>
          <w:rFonts w:eastAsia="Times New Roman"/>
          <w:i/>
          <w:iCs/>
        </w:rPr>
        <w:t>Harvard Data Science Review</w:t>
      </w:r>
      <w:r w:rsidRPr="00515B99">
        <w:rPr>
          <w:rFonts w:eastAsia="Times New Roman"/>
        </w:rPr>
        <w:t>, 1(1), pp. 1-15.</w:t>
      </w:r>
    </w:p>
    <w:p w:rsidR="00FD75D3" w:rsidRPr="00515B99" w:rsidRDefault="00FD75D3" w:rsidP="00515B99">
      <w:pPr>
        <w:spacing w:after="240" w:line="360" w:lineRule="auto"/>
        <w:ind w:left="720" w:hanging="720"/>
        <w:jc w:val="both"/>
      </w:pPr>
      <w:r w:rsidRPr="00515B99">
        <w:rPr>
          <w:rFonts w:eastAsia="Times New Roman"/>
        </w:rPr>
        <w:t xml:space="preserve">Freeman, R.E. (1984) </w:t>
      </w:r>
      <w:r w:rsidRPr="00515B99">
        <w:rPr>
          <w:rFonts w:eastAsia="Times New Roman"/>
          <w:i/>
          <w:iCs/>
        </w:rPr>
        <w:t>Strategic management: A stakeholder approach</w:t>
      </w:r>
      <w:r w:rsidRPr="00515B99">
        <w:rPr>
          <w:rFonts w:eastAsia="Times New Roman"/>
        </w:rPr>
        <w:t>. Boston: Pitman.</w:t>
      </w:r>
    </w:p>
    <w:p w:rsidR="00FD75D3" w:rsidRPr="00515B99" w:rsidRDefault="00FD75D3" w:rsidP="00515B99">
      <w:pPr>
        <w:spacing w:after="240" w:line="360" w:lineRule="auto"/>
        <w:ind w:left="720" w:hanging="720"/>
        <w:jc w:val="both"/>
      </w:pPr>
      <w:r w:rsidRPr="00515B99">
        <w:rPr>
          <w:rFonts w:eastAsia="Times New Roman"/>
        </w:rPr>
        <w:t xml:space="preserve">Gartner (2023) </w:t>
      </w:r>
      <w:r w:rsidRPr="00515B99">
        <w:rPr>
          <w:rFonts w:eastAsia="Times New Roman"/>
          <w:i/>
          <w:iCs/>
        </w:rPr>
        <w:t>Future of work: Internal mobility and the employee experience</w:t>
      </w:r>
      <w:r w:rsidRPr="00515B99">
        <w:rPr>
          <w:rFonts w:eastAsia="Times New Roman"/>
        </w:rPr>
        <w:t>. Stamford, CT: Gartner Research.</w:t>
      </w:r>
    </w:p>
    <w:p w:rsidR="00FD75D3" w:rsidRPr="00515B99" w:rsidRDefault="00FD75D3" w:rsidP="00515B99">
      <w:pPr>
        <w:spacing w:after="240" w:line="360" w:lineRule="auto"/>
        <w:ind w:left="720" w:hanging="720"/>
        <w:jc w:val="both"/>
      </w:pPr>
      <w:proofErr w:type="spellStart"/>
      <w:r w:rsidRPr="00515B99">
        <w:rPr>
          <w:rFonts w:eastAsia="Times New Roman"/>
        </w:rPr>
        <w:t>Gioia</w:t>
      </w:r>
      <w:proofErr w:type="spellEnd"/>
      <w:r w:rsidRPr="00515B99">
        <w:rPr>
          <w:rFonts w:eastAsia="Times New Roman"/>
        </w:rPr>
        <w:t xml:space="preserve">, D.A., </w:t>
      </w:r>
      <w:proofErr w:type="spellStart"/>
      <w:r w:rsidRPr="00515B99">
        <w:rPr>
          <w:rFonts w:eastAsia="Times New Roman"/>
        </w:rPr>
        <w:t>Patvardhan</w:t>
      </w:r>
      <w:proofErr w:type="spellEnd"/>
      <w:r w:rsidRPr="00515B99">
        <w:rPr>
          <w:rFonts w:eastAsia="Times New Roman"/>
        </w:rPr>
        <w:t xml:space="preserve">, S.D., Hamilton, A.L. and Corley, K.G. (2020) 'Organizational identity formation and change', </w:t>
      </w:r>
      <w:r w:rsidRPr="00515B99">
        <w:rPr>
          <w:rFonts w:eastAsia="Times New Roman"/>
          <w:i/>
          <w:iCs/>
        </w:rPr>
        <w:t>Academy of Management Annals</w:t>
      </w:r>
      <w:r w:rsidRPr="00515B99">
        <w:rPr>
          <w:rFonts w:eastAsia="Times New Roman"/>
        </w:rPr>
        <w:t>, 7(1), pp. 123-193.</w:t>
      </w:r>
    </w:p>
    <w:p w:rsidR="00FD75D3" w:rsidRPr="00515B99" w:rsidRDefault="00FD75D3" w:rsidP="00515B99">
      <w:pPr>
        <w:spacing w:after="240" w:line="360" w:lineRule="auto"/>
        <w:ind w:left="720" w:hanging="720"/>
        <w:jc w:val="both"/>
      </w:pPr>
      <w:r w:rsidRPr="00515B99">
        <w:rPr>
          <w:rFonts w:eastAsia="Times New Roman"/>
        </w:rPr>
        <w:t xml:space="preserve">Goddard, K., </w:t>
      </w:r>
      <w:proofErr w:type="spellStart"/>
      <w:r w:rsidRPr="00515B99">
        <w:rPr>
          <w:rFonts w:eastAsia="Times New Roman"/>
        </w:rPr>
        <w:t>Roudsari</w:t>
      </w:r>
      <w:proofErr w:type="spellEnd"/>
      <w:r w:rsidRPr="00515B99">
        <w:rPr>
          <w:rFonts w:eastAsia="Times New Roman"/>
        </w:rPr>
        <w:t xml:space="preserve">, A. and Wyatt, J.C. (2012) 'Automation bias: A systematic review of frequency, effect mediators, and </w:t>
      </w:r>
      <w:proofErr w:type="spellStart"/>
      <w:r w:rsidRPr="00515B99">
        <w:rPr>
          <w:rFonts w:eastAsia="Times New Roman"/>
        </w:rPr>
        <w:t>mitigators</w:t>
      </w:r>
      <w:proofErr w:type="spellEnd"/>
      <w:r w:rsidRPr="00515B99">
        <w:rPr>
          <w:rFonts w:eastAsia="Times New Roman"/>
        </w:rPr>
        <w:t xml:space="preserve">', </w:t>
      </w:r>
      <w:r w:rsidRPr="00515B99">
        <w:rPr>
          <w:rFonts w:eastAsia="Times New Roman"/>
          <w:i/>
          <w:iCs/>
        </w:rPr>
        <w:t>Journal of the American Medical Informatics Association</w:t>
      </w:r>
      <w:r w:rsidRPr="00515B99">
        <w:rPr>
          <w:rFonts w:eastAsia="Times New Roman"/>
        </w:rPr>
        <w:t>, 19(1), pp. 121-127.</w:t>
      </w:r>
    </w:p>
    <w:p w:rsidR="00FD75D3" w:rsidRPr="00515B99" w:rsidRDefault="00FD75D3" w:rsidP="00515B99">
      <w:pPr>
        <w:spacing w:after="240" w:line="360" w:lineRule="auto"/>
        <w:ind w:left="720" w:hanging="720"/>
        <w:jc w:val="both"/>
      </w:pPr>
      <w:r w:rsidRPr="00515B99">
        <w:rPr>
          <w:rFonts w:eastAsia="Times New Roman"/>
        </w:rPr>
        <w:t xml:space="preserve">Grant, A.M. and Parker, S.K. (2009) 'Redesigning work design theories: The rise of relational and proactive perspectives', </w:t>
      </w:r>
      <w:r w:rsidRPr="00515B99">
        <w:rPr>
          <w:rFonts w:eastAsia="Times New Roman"/>
          <w:i/>
          <w:iCs/>
        </w:rPr>
        <w:t>Academy of Management Annals</w:t>
      </w:r>
      <w:r w:rsidRPr="00515B99">
        <w:rPr>
          <w:rFonts w:eastAsia="Times New Roman"/>
        </w:rPr>
        <w:t>, 3(1), pp. 317-375.</w:t>
      </w:r>
    </w:p>
    <w:p w:rsidR="00FD75D3" w:rsidRPr="00515B99" w:rsidRDefault="00FD75D3" w:rsidP="00515B99">
      <w:pPr>
        <w:spacing w:after="240" w:line="360" w:lineRule="auto"/>
        <w:ind w:left="720" w:hanging="720"/>
        <w:jc w:val="both"/>
      </w:pPr>
      <w:proofErr w:type="spellStart"/>
      <w:r w:rsidRPr="00515B99">
        <w:rPr>
          <w:rFonts w:eastAsia="Times New Roman"/>
        </w:rPr>
        <w:t>Gruman</w:t>
      </w:r>
      <w:proofErr w:type="spellEnd"/>
      <w:r w:rsidRPr="00515B99">
        <w:rPr>
          <w:rFonts w:eastAsia="Times New Roman"/>
        </w:rPr>
        <w:t xml:space="preserve">, J.A., Saks, A.M. and Zweig, D.I. (2006) 'Organisational socialisation tactics and newcomer proactive </w:t>
      </w:r>
      <w:proofErr w:type="spellStart"/>
      <w:r w:rsidRPr="00515B99">
        <w:rPr>
          <w:rFonts w:eastAsia="Times New Roman"/>
        </w:rPr>
        <w:t>behaviors</w:t>
      </w:r>
      <w:proofErr w:type="spellEnd"/>
      <w:r w:rsidRPr="00515B99">
        <w:rPr>
          <w:rFonts w:eastAsia="Times New Roman"/>
        </w:rPr>
        <w:t xml:space="preserve">: An integrative study', </w:t>
      </w:r>
      <w:r w:rsidRPr="00515B99">
        <w:rPr>
          <w:rFonts w:eastAsia="Times New Roman"/>
          <w:i/>
          <w:iCs/>
        </w:rPr>
        <w:t xml:space="preserve">Journal of Vocational </w:t>
      </w:r>
      <w:proofErr w:type="spellStart"/>
      <w:r w:rsidRPr="00515B99">
        <w:rPr>
          <w:rFonts w:eastAsia="Times New Roman"/>
          <w:i/>
          <w:iCs/>
        </w:rPr>
        <w:t>Behavior</w:t>
      </w:r>
      <w:proofErr w:type="spellEnd"/>
      <w:r w:rsidRPr="00515B99">
        <w:rPr>
          <w:rFonts w:eastAsia="Times New Roman"/>
        </w:rPr>
        <w:t>, 69(1), pp. 90-104.</w:t>
      </w:r>
    </w:p>
    <w:p w:rsidR="00FD75D3" w:rsidRPr="00515B99" w:rsidRDefault="00FD75D3" w:rsidP="00515B99">
      <w:pPr>
        <w:spacing w:after="240" w:line="360" w:lineRule="auto"/>
        <w:ind w:left="720" w:hanging="720"/>
        <w:jc w:val="both"/>
      </w:pPr>
      <w:r w:rsidRPr="00515B99">
        <w:rPr>
          <w:rFonts w:eastAsia="Times New Roman"/>
        </w:rPr>
        <w:t xml:space="preserve">Hackman, J.R. and Oldham, G.R. (1976) 'Motivation through the design of work: Test of a theory', </w:t>
      </w:r>
      <w:r w:rsidRPr="00515B99">
        <w:rPr>
          <w:rFonts w:eastAsia="Times New Roman"/>
          <w:i/>
          <w:iCs/>
        </w:rPr>
        <w:t xml:space="preserve">Organizational </w:t>
      </w:r>
      <w:proofErr w:type="spellStart"/>
      <w:r w:rsidRPr="00515B99">
        <w:rPr>
          <w:rFonts w:eastAsia="Times New Roman"/>
          <w:i/>
          <w:iCs/>
        </w:rPr>
        <w:t>Behavior</w:t>
      </w:r>
      <w:proofErr w:type="spellEnd"/>
      <w:r w:rsidRPr="00515B99">
        <w:rPr>
          <w:rFonts w:eastAsia="Times New Roman"/>
          <w:i/>
          <w:iCs/>
        </w:rPr>
        <w:t xml:space="preserve"> and Human Performance</w:t>
      </w:r>
      <w:r w:rsidRPr="00515B99">
        <w:rPr>
          <w:rFonts w:eastAsia="Times New Roman"/>
        </w:rPr>
        <w:t>, 16(2), pp. 250-279.</w:t>
      </w:r>
    </w:p>
    <w:p w:rsidR="00FD75D3" w:rsidRPr="00515B99" w:rsidRDefault="00FD75D3" w:rsidP="00515B99">
      <w:pPr>
        <w:spacing w:after="240" w:line="360" w:lineRule="auto"/>
        <w:ind w:left="720" w:hanging="720"/>
        <w:jc w:val="both"/>
      </w:pPr>
      <w:r w:rsidRPr="00515B99">
        <w:rPr>
          <w:rFonts w:eastAsia="Times New Roman"/>
        </w:rPr>
        <w:t xml:space="preserve">Ibarra, H. and </w:t>
      </w:r>
      <w:proofErr w:type="spellStart"/>
      <w:r w:rsidRPr="00515B99">
        <w:rPr>
          <w:rFonts w:eastAsia="Times New Roman"/>
        </w:rPr>
        <w:t>Barbulescu</w:t>
      </w:r>
      <w:proofErr w:type="spellEnd"/>
      <w:r w:rsidRPr="00515B99">
        <w:rPr>
          <w:rFonts w:eastAsia="Times New Roman"/>
        </w:rPr>
        <w:t xml:space="preserve">, R. (2019) 'Identity as narrative: Prevalence, effectiveness, and consequences of narrative identity work in macro work role transitions', </w:t>
      </w:r>
      <w:r w:rsidRPr="00515B99">
        <w:rPr>
          <w:rFonts w:eastAsia="Times New Roman"/>
          <w:i/>
          <w:iCs/>
        </w:rPr>
        <w:t>Academy of Management Review</w:t>
      </w:r>
      <w:r w:rsidRPr="00515B99">
        <w:rPr>
          <w:rFonts w:eastAsia="Times New Roman"/>
        </w:rPr>
        <w:t>, 35(1), pp. 135-154.</w:t>
      </w:r>
    </w:p>
    <w:p w:rsidR="00FD75D3" w:rsidRPr="00515B99" w:rsidRDefault="00FD75D3" w:rsidP="00515B99">
      <w:pPr>
        <w:spacing w:after="240" w:line="360" w:lineRule="auto"/>
        <w:ind w:left="720" w:hanging="720"/>
        <w:jc w:val="both"/>
      </w:pPr>
      <w:proofErr w:type="spellStart"/>
      <w:r w:rsidRPr="00515B99">
        <w:rPr>
          <w:rFonts w:eastAsia="Times New Roman"/>
        </w:rPr>
        <w:t>Kahneman</w:t>
      </w:r>
      <w:proofErr w:type="spellEnd"/>
      <w:r w:rsidRPr="00515B99">
        <w:rPr>
          <w:rFonts w:eastAsia="Times New Roman"/>
        </w:rPr>
        <w:t xml:space="preserve">, D. (2011) </w:t>
      </w:r>
      <w:r w:rsidRPr="00515B99">
        <w:rPr>
          <w:rFonts w:eastAsia="Times New Roman"/>
          <w:i/>
          <w:iCs/>
        </w:rPr>
        <w:t>Thinking, fast and slow</w:t>
      </w:r>
      <w:r w:rsidRPr="00515B99">
        <w:rPr>
          <w:rFonts w:eastAsia="Times New Roman"/>
        </w:rPr>
        <w:t>. London: Allen Lane.</w:t>
      </w:r>
    </w:p>
    <w:p w:rsidR="00FD75D3" w:rsidRPr="00515B99" w:rsidRDefault="00FD75D3" w:rsidP="00515B99">
      <w:pPr>
        <w:spacing w:after="240" w:line="360" w:lineRule="auto"/>
        <w:ind w:left="720" w:hanging="720"/>
        <w:jc w:val="both"/>
      </w:pPr>
      <w:r w:rsidRPr="00515B99">
        <w:rPr>
          <w:rFonts w:eastAsia="Times New Roman"/>
        </w:rPr>
        <w:lastRenderedPageBreak/>
        <w:t xml:space="preserve">Klein, H.J., </w:t>
      </w:r>
      <w:proofErr w:type="spellStart"/>
      <w:r w:rsidRPr="00515B99">
        <w:rPr>
          <w:rFonts w:eastAsia="Times New Roman"/>
        </w:rPr>
        <w:t>Polin</w:t>
      </w:r>
      <w:proofErr w:type="spellEnd"/>
      <w:r w:rsidRPr="00515B99">
        <w:rPr>
          <w:rFonts w:eastAsia="Times New Roman"/>
        </w:rPr>
        <w:t xml:space="preserve">, B. and Sutton, K.L. (2022) 'Specific </w:t>
      </w:r>
      <w:proofErr w:type="spellStart"/>
      <w:r w:rsidRPr="00515B99">
        <w:rPr>
          <w:rFonts w:eastAsia="Times New Roman"/>
        </w:rPr>
        <w:t>onboarding</w:t>
      </w:r>
      <w:proofErr w:type="spellEnd"/>
      <w:r w:rsidRPr="00515B99">
        <w:rPr>
          <w:rFonts w:eastAsia="Times New Roman"/>
        </w:rPr>
        <w:t xml:space="preserve"> practices for the socialization of new employees', </w:t>
      </w:r>
      <w:r w:rsidRPr="00515B99">
        <w:rPr>
          <w:rFonts w:eastAsia="Times New Roman"/>
          <w:i/>
          <w:iCs/>
        </w:rPr>
        <w:t>International Journal of Selection and Assessment</w:t>
      </w:r>
      <w:r w:rsidRPr="00515B99">
        <w:rPr>
          <w:rFonts w:eastAsia="Times New Roman"/>
        </w:rPr>
        <w:t>, 23(3), pp. 263-283.</w:t>
      </w:r>
    </w:p>
    <w:p w:rsidR="00FD75D3" w:rsidRPr="00515B99" w:rsidRDefault="00FD75D3" w:rsidP="00515B99">
      <w:pPr>
        <w:spacing w:after="240" w:line="360" w:lineRule="auto"/>
        <w:ind w:left="720" w:hanging="720"/>
        <w:jc w:val="both"/>
      </w:pPr>
      <w:proofErr w:type="spellStart"/>
      <w:r w:rsidRPr="00515B99">
        <w:rPr>
          <w:rFonts w:eastAsia="Times New Roman"/>
        </w:rPr>
        <w:t>Morgeson</w:t>
      </w:r>
      <w:proofErr w:type="spellEnd"/>
      <w:r w:rsidRPr="00515B99">
        <w:rPr>
          <w:rFonts w:eastAsia="Times New Roman"/>
        </w:rPr>
        <w:t xml:space="preserve">, F.P. and Humphrey, S.E. (2006) 'The Work Design Questionnaire (WDQ): Developing and validating a comprehensive measure for assessing job design and the nature of work', </w:t>
      </w:r>
      <w:r w:rsidRPr="00515B99">
        <w:rPr>
          <w:rFonts w:eastAsia="Times New Roman"/>
          <w:i/>
          <w:iCs/>
        </w:rPr>
        <w:t>Journal of Applied Psychology</w:t>
      </w:r>
      <w:r w:rsidRPr="00515B99">
        <w:rPr>
          <w:rFonts w:eastAsia="Times New Roman"/>
        </w:rPr>
        <w:t>, 91(6), pp. 1321-1339.</w:t>
      </w:r>
    </w:p>
    <w:p w:rsidR="00FD75D3" w:rsidRPr="00515B99" w:rsidRDefault="00FD75D3" w:rsidP="00515B99">
      <w:pPr>
        <w:spacing w:after="240" w:line="360" w:lineRule="auto"/>
        <w:ind w:left="720" w:hanging="720"/>
        <w:jc w:val="both"/>
      </w:pPr>
      <w:r w:rsidRPr="00515B99">
        <w:rPr>
          <w:rFonts w:eastAsia="Times New Roman"/>
        </w:rPr>
        <w:t xml:space="preserve">Parker, S.K. (2020) 'Not the actor? The job characteristics model revisited from a different angle', in Ones, D.S., Anderson, N., </w:t>
      </w:r>
      <w:proofErr w:type="spellStart"/>
      <w:r w:rsidRPr="00515B99">
        <w:rPr>
          <w:rFonts w:eastAsia="Times New Roman"/>
        </w:rPr>
        <w:t>Viswesvaran</w:t>
      </w:r>
      <w:proofErr w:type="spellEnd"/>
      <w:r w:rsidRPr="00515B99">
        <w:rPr>
          <w:rFonts w:eastAsia="Times New Roman"/>
        </w:rPr>
        <w:t xml:space="preserve">, C. and </w:t>
      </w:r>
      <w:proofErr w:type="spellStart"/>
      <w:r w:rsidRPr="00515B99">
        <w:rPr>
          <w:rFonts w:eastAsia="Times New Roman"/>
        </w:rPr>
        <w:t>Sinangil</w:t>
      </w:r>
      <w:proofErr w:type="spellEnd"/>
      <w:r w:rsidRPr="00515B99">
        <w:rPr>
          <w:rFonts w:eastAsia="Times New Roman"/>
        </w:rPr>
        <w:t xml:space="preserve">, H.K. (eds.) </w:t>
      </w:r>
      <w:r w:rsidRPr="00515B99">
        <w:rPr>
          <w:rFonts w:eastAsia="Times New Roman"/>
          <w:i/>
          <w:iCs/>
        </w:rPr>
        <w:t>The SAGE handbook of industrial, work and organizational psychology</w:t>
      </w:r>
      <w:r w:rsidRPr="00515B99">
        <w:rPr>
          <w:rFonts w:eastAsia="Times New Roman"/>
        </w:rPr>
        <w:t>. London: SAGE, pp. 255-275.</w:t>
      </w:r>
    </w:p>
    <w:p w:rsidR="00FD75D3" w:rsidRPr="00515B99" w:rsidRDefault="00FD75D3" w:rsidP="00515B99">
      <w:pPr>
        <w:spacing w:after="240" w:line="360" w:lineRule="auto"/>
        <w:ind w:left="720" w:hanging="720"/>
        <w:jc w:val="both"/>
      </w:pPr>
      <w:r w:rsidRPr="00515B99">
        <w:rPr>
          <w:rFonts w:eastAsia="Times New Roman"/>
        </w:rPr>
        <w:t xml:space="preserve">Pratt, M.G. (1998) 'To be or not to be? Central questions in organisational identification', in D.A. </w:t>
      </w:r>
      <w:proofErr w:type="spellStart"/>
      <w:r w:rsidRPr="00515B99">
        <w:rPr>
          <w:rFonts w:eastAsia="Times New Roman"/>
        </w:rPr>
        <w:t>Whetten</w:t>
      </w:r>
      <w:proofErr w:type="spellEnd"/>
      <w:r w:rsidRPr="00515B99">
        <w:rPr>
          <w:rFonts w:eastAsia="Times New Roman"/>
        </w:rPr>
        <w:t xml:space="preserve"> and P.C. Godfrey (eds.) </w:t>
      </w:r>
      <w:r w:rsidRPr="00515B99">
        <w:rPr>
          <w:rFonts w:eastAsia="Times New Roman"/>
          <w:i/>
          <w:iCs/>
        </w:rPr>
        <w:t>Identity in organisations</w:t>
      </w:r>
      <w:r w:rsidRPr="00515B99">
        <w:rPr>
          <w:rFonts w:eastAsia="Times New Roman"/>
        </w:rPr>
        <w:t>. Thousand Oaks: Sage, pp. 171-207.</w:t>
      </w:r>
    </w:p>
    <w:p w:rsidR="00FD75D3" w:rsidRPr="00515B99" w:rsidRDefault="00FD75D3" w:rsidP="00515B99">
      <w:pPr>
        <w:spacing w:after="240" w:line="360" w:lineRule="auto"/>
        <w:ind w:left="720" w:hanging="720"/>
        <w:jc w:val="both"/>
      </w:pPr>
      <w:proofErr w:type="spellStart"/>
      <w:r w:rsidRPr="00515B99">
        <w:rPr>
          <w:rFonts w:eastAsia="Times New Roman"/>
        </w:rPr>
        <w:t>Raghavan</w:t>
      </w:r>
      <w:proofErr w:type="spellEnd"/>
      <w:r w:rsidRPr="00515B99">
        <w:rPr>
          <w:rFonts w:eastAsia="Times New Roman"/>
        </w:rPr>
        <w:t xml:space="preserve">, M., </w:t>
      </w:r>
      <w:proofErr w:type="spellStart"/>
      <w:r w:rsidRPr="00515B99">
        <w:rPr>
          <w:rFonts w:eastAsia="Times New Roman"/>
        </w:rPr>
        <w:t>Barocas</w:t>
      </w:r>
      <w:proofErr w:type="spellEnd"/>
      <w:r w:rsidRPr="00515B99">
        <w:rPr>
          <w:rFonts w:eastAsia="Times New Roman"/>
        </w:rPr>
        <w:t xml:space="preserve">, S., Kleinberg, J. and Levy, K. (2020) 'Mitigating bias in algorithmic hiring: Evaluating claims and practices', in </w:t>
      </w:r>
      <w:r w:rsidRPr="00515B99">
        <w:rPr>
          <w:rFonts w:eastAsia="Times New Roman"/>
          <w:i/>
          <w:iCs/>
        </w:rPr>
        <w:t>Proceedings of the 2020 Conference on Fairness, Accountability, and Transparency</w:t>
      </w:r>
      <w:r w:rsidRPr="00515B99">
        <w:rPr>
          <w:rFonts w:eastAsia="Times New Roman"/>
        </w:rPr>
        <w:t>. New York: ACM, pp. 469-481.</w:t>
      </w:r>
    </w:p>
    <w:p w:rsidR="00FD75D3" w:rsidRPr="00515B99" w:rsidRDefault="00FD75D3" w:rsidP="00515B99">
      <w:pPr>
        <w:spacing w:after="240" w:line="360" w:lineRule="auto"/>
        <w:ind w:left="720" w:hanging="720"/>
        <w:jc w:val="both"/>
      </w:pPr>
      <w:r w:rsidRPr="00515B99">
        <w:rPr>
          <w:rFonts w:eastAsia="Times New Roman"/>
        </w:rPr>
        <w:t xml:space="preserve">Rousseau, D.M. (1989) 'Psychological and implied contracts in organisations', </w:t>
      </w:r>
      <w:r w:rsidRPr="00515B99">
        <w:rPr>
          <w:rFonts w:eastAsia="Times New Roman"/>
          <w:i/>
          <w:iCs/>
        </w:rPr>
        <w:t>Employee Responsibilities and Rights Journal</w:t>
      </w:r>
      <w:r w:rsidRPr="00515B99">
        <w:rPr>
          <w:rFonts w:eastAsia="Times New Roman"/>
        </w:rPr>
        <w:t>, 2(2), pp. 121-139.</w:t>
      </w:r>
    </w:p>
    <w:p w:rsidR="00FD75D3" w:rsidRPr="00515B99" w:rsidRDefault="00FD75D3" w:rsidP="00515B99">
      <w:pPr>
        <w:spacing w:after="240" w:line="360" w:lineRule="auto"/>
        <w:ind w:left="720" w:hanging="720"/>
        <w:jc w:val="both"/>
      </w:pPr>
      <w:r w:rsidRPr="00515B99">
        <w:rPr>
          <w:rFonts w:eastAsia="Times New Roman"/>
        </w:rPr>
        <w:t xml:space="preserve">Saks, A.M. and </w:t>
      </w:r>
      <w:proofErr w:type="spellStart"/>
      <w:r w:rsidRPr="00515B99">
        <w:rPr>
          <w:rFonts w:eastAsia="Times New Roman"/>
        </w:rPr>
        <w:t>Gruman</w:t>
      </w:r>
      <w:proofErr w:type="spellEnd"/>
      <w:r w:rsidRPr="00515B99">
        <w:rPr>
          <w:rFonts w:eastAsia="Times New Roman"/>
        </w:rPr>
        <w:t>, J.A. (2012) '</w:t>
      </w:r>
      <w:proofErr w:type="gramStart"/>
      <w:r w:rsidRPr="00515B99">
        <w:rPr>
          <w:rFonts w:eastAsia="Times New Roman"/>
        </w:rPr>
        <w:t>Getting</w:t>
      </w:r>
      <w:proofErr w:type="gramEnd"/>
      <w:r w:rsidRPr="00515B99">
        <w:rPr>
          <w:rFonts w:eastAsia="Times New Roman"/>
        </w:rPr>
        <w:t xml:space="preserve"> newcomers engaged: The role of socialisation tactics', </w:t>
      </w:r>
      <w:r w:rsidRPr="00515B99">
        <w:rPr>
          <w:rFonts w:eastAsia="Times New Roman"/>
          <w:i/>
          <w:iCs/>
        </w:rPr>
        <w:t>Journal of Managerial Psychology</w:t>
      </w:r>
      <w:r w:rsidRPr="00515B99">
        <w:rPr>
          <w:rFonts w:eastAsia="Times New Roman"/>
        </w:rPr>
        <w:t>, 26(5), pp. 383-402.</w:t>
      </w:r>
    </w:p>
    <w:p w:rsidR="00FD75D3" w:rsidRPr="00515B99" w:rsidRDefault="00FD75D3" w:rsidP="00515B99">
      <w:pPr>
        <w:spacing w:after="240" w:line="360" w:lineRule="auto"/>
        <w:ind w:left="720" w:hanging="720"/>
        <w:jc w:val="both"/>
      </w:pPr>
      <w:r w:rsidRPr="00515B99">
        <w:rPr>
          <w:rFonts w:eastAsia="Times New Roman"/>
        </w:rPr>
        <w:t xml:space="preserve">Saks, A.M., </w:t>
      </w:r>
      <w:proofErr w:type="spellStart"/>
      <w:r w:rsidRPr="00515B99">
        <w:rPr>
          <w:rFonts w:eastAsia="Times New Roman"/>
        </w:rPr>
        <w:t>Gruman</w:t>
      </w:r>
      <w:proofErr w:type="spellEnd"/>
      <w:r w:rsidRPr="00515B99">
        <w:rPr>
          <w:rFonts w:eastAsia="Times New Roman"/>
        </w:rPr>
        <w:t xml:space="preserve">, J.A. and Cooper-Thomas, H. (2021) 'The neglected role of proactive </w:t>
      </w:r>
      <w:proofErr w:type="spellStart"/>
      <w:r w:rsidRPr="00515B99">
        <w:rPr>
          <w:rFonts w:eastAsia="Times New Roman"/>
        </w:rPr>
        <w:t>behavior</w:t>
      </w:r>
      <w:proofErr w:type="spellEnd"/>
      <w:r w:rsidRPr="00515B99">
        <w:rPr>
          <w:rFonts w:eastAsia="Times New Roman"/>
        </w:rPr>
        <w:t xml:space="preserve"> and outcomes in newcomer socialization', </w:t>
      </w:r>
      <w:r w:rsidRPr="00515B99">
        <w:rPr>
          <w:rFonts w:eastAsia="Times New Roman"/>
          <w:i/>
          <w:iCs/>
        </w:rPr>
        <w:t xml:space="preserve">Journal of Vocational </w:t>
      </w:r>
      <w:proofErr w:type="spellStart"/>
      <w:r w:rsidRPr="00515B99">
        <w:rPr>
          <w:rFonts w:eastAsia="Times New Roman"/>
          <w:i/>
          <w:iCs/>
        </w:rPr>
        <w:t>Behavior</w:t>
      </w:r>
      <w:proofErr w:type="spellEnd"/>
      <w:r w:rsidRPr="00515B99">
        <w:rPr>
          <w:rFonts w:eastAsia="Times New Roman"/>
        </w:rPr>
        <w:t>, 65(3), pp. 373-385.</w:t>
      </w:r>
    </w:p>
    <w:p w:rsidR="00FD75D3" w:rsidRPr="00515B99" w:rsidRDefault="00FD75D3" w:rsidP="00515B99">
      <w:pPr>
        <w:spacing w:after="240" w:line="360" w:lineRule="auto"/>
        <w:ind w:left="720" w:hanging="720"/>
        <w:jc w:val="both"/>
      </w:pPr>
      <w:proofErr w:type="spellStart"/>
      <w:r w:rsidRPr="00515B99">
        <w:rPr>
          <w:rFonts w:eastAsia="Times New Roman"/>
        </w:rPr>
        <w:t>Slemp</w:t>
      </w:r>
      <w:proofErr w:type="spellEnd"/>
      <w:r w:rsidRPr="00515B99">
        <w:rPr>
          <w:rFonts w:eastAsia="Times New Roman"/>
        </w:rPr>
        <w:t>, G.R. and Vella-</w:t>
      </w:r>
      <w:proofErr w:type="spellStart"/>
      <w:r w:rsidRPr="00515B99">
        <w:rPr>
          <w:rFonts w:eastAsia="Times New Roman"/>
        </w:rPr>
        <w:t>Brodrick</w:t>
      </w:r>
      <w:proofErr w:type="spellEnd"/>
      <w:r w:rsidRPr="00515B99">
        <w:rPr>
          <w:rFonts w:eastAsia="Times New Roman"/>
        </w:rPr>
        <w:t xml:space="preserve">, D.A. (2014) 'Optimising employee mental health: The relationship between intrinsic need satisfaction, job crafting, and employee well-being', </w:t>
      </w:r>
      <w:r w:rsidRPr="00515B99">
        <w:rPr>
          <w:rFonts w:eastAsia="Times New Roman"/>
          <w:i/>
          <w:iCs/>
        </w:rPr>
        <w:t>Journal of Happiness Studies</w:t>
      </w:r>
      <w:r w:rsidRPr="00515B99">
        <w:rPr>
          <w:rFonts w:eastAsia="Times New Roman"/>
        </w:rPr>
        <w:t>, 15(4), pp. 957-977.</w:t>
      </w:r>
    </w:p>
    <w:p w:rsidR="00FD75D3" w:rsidRPr="00515B99" w:rsidRDefault="00FD75D3" w:rsidP="00515B99">
      <w:pPr>
        <w:spacing w:after="240" w:line="360" w:lineRule="auto"/>
        <w:ind w:left="720" w:hanging="720"/>
        <w:jc w:val="both"/>
      </w:pPr>
      <w:proofErr w:type="spellStart"/>
      <w:r w:rsidRPr="00515B99">
        <w:rPr>
          <w:rFonts w:eastAsia="Times New Roman"/>
        </w:rPr>
        <w:t>Tajfel</w:t>
      </w:r>
      <w:proofErr w:type="spellEnd"/>
      <w:r w:rsidRPr="00515B99">
        <w:rPr>
          <w:rFonts w:eastAsia="Times New Roman"/>
        </w:rPr>
        <w:t xml:space="preserve">, H. and Turner, J.C. (1979) 'An integrative theory of intergroup conflict', in W.G. Austin and S. </w:t>
      </w:r>
      <w:proofErr w:type="spellStart"/>
      <w:r w:rsidRPr="00515B99">
        <w:rPr>
          <w:rFonts w:eastAsia="Times New Roman"/>
        </w:rPr>
        <w:t>Worchel</w:t>
      </w:r>
      <w:proofErr w:type="spellEnd"/>
      <w:r w:rsidRPr="00515B99">
        <w:rPr>
          <w:rFonts w:eastAsia="Times New Roman"/>
        </w:rPr>
        <w:t xml:space="preserve"> (eds.) </w:t>
      </w:r>
      <w:proofErr w:type="gramStart"/>
      <w:r w:rsidRPr="00515B99">
        <w:rPr>
          <w:rFonts w:eastAsia="Times New Roman"/>
          <w:i/>
          <w:iCs/>
        </w:rPr>
        <w:t>The</w:t>
      </w:r>
      <w:proofErr w:type="gramEnd"/>
      <w:r w:rsidRPr="00515B99">
        <w:rPr>
          <w:rFonts w:eastAsia="Times New Roman"/>
          <w:i/>
          <w:iCs/>
        </w:rPr>
        <w:t xml:space="preserve"> social psychology of intergroup relations</w:t>
      </w:r>
      <w:r w:rsidRPr="00515B99">
        <w:rPr>
          <w:rFonts w:eastAsia="Times New Roman"/>
        </w:rPr>
        <w:t>. Monterey: Brooks/Cole, pp. 33-47.</w:t>
      </w:r>
    </w:p>
    <w:p w:rsidR="00FD75D3" w:rsidRPr="00515B99" w:rsidRDefault="00FD75D3" w:rsidP="00515B99">
      <w:pPr>
        <w:spacing w:after="240" w:line="360" w:lineRule="auto"/>
        <w:ind w:left="720" w:hanging="720"/>
        <w:jc w:val="both"/>
      </w:pPr>
      <w:r w:rsidRPr="00515B99">
        <w:rPr>
          <w:rFonts w:eastAsia="Times New Roman"/>
        </w:rPr>
        <w:lastRenderedPageBreak/>
        <w:t xml:space="preserve">Ulrich, D., </w:t>
      </w:r>
      <w:proofErr w:type="spellStart"/>
      <w:r w:rsidRPr="00515B99">
        <w:rPr>
          <w:rFonts w:eastAsia="Times New Roman"/>
        </w:rPr>
        <w:t>Kryscynski</w:t>
      </w:r>
      <w:proofErr w:type="spellEnd"/>
      <w:r w:rsidRPr="00515B99">
        <w:rPr>
          <w:rFonts w:eastAsia="Times New Roman"/>
        </w:rPr>
        <w:t xml:space="preserve">, D., Ulrich, M. and </w:t>
      </w:r>
      <w:proofErr w:type="spellStart"/>
      <w:r w:rsidRPr="00515B99">
        <w:rPr>
          <w:rFonts w:eastAsia="Times New Roman"/>
        </w:rPr>
        <w:t>Brockbank</w:t>
      </w:r>
      <w:proofErr w:type="spellEnd"/>
      <w:r w:rsidRPr="00515B99">
        <w:rPr>
          <w:rFonts w:eastAsia="Times New Roman"/>
        </w:rPr>
        <w:t xml:space="preserve">, W. (2017) </w:t>
      </w:r>
      <w:r w:rsidRPr="00515B99">
        <w:rPr>
          <w:rFonts w:eastAsia="Times New Roman"/>
          <w:i/>
          <w:iCs/>
        </w:rPr>
        <w:t>Victory through organisation</w:t>
      </w:r>
      <w:r w:rsidRPr="00515B99">
        <w:rPr>
          <w:rFonts w:eastAsia="Times New Roman"/>
        </w:rPr>
        <w:t>. New York: McGraw-Hill.</w:t>
      </w:r>
    </w:p>
    <w:p w:rsidR="00FD75D3" w:rsidRPr="00515B99" w:rsidRDefault="00FD75D3" w:rsidP="00515B99">
      <w:pPr>
        <w:spacing w:after="240" w:line="360" w:lineRule="auto"/>
        <w:ind w:left="720" w:hanging="720"/>
        <w:jc w:val="both"/>
      </w:pPr>
      <w:r w:rsidRPr="00515B99">
        <w:rPr>
          <w:rFonts w:eastAsia="Times New Roman"/>
        </w:rPr>
        <w:t xml:space="preserve">Van </w:t>
      </w:r>
      <w:proofErr w:type="spellStart"/>
      <w:r w:rsidRPr="00515B99">
        <w:rPr>
          <w:rFonts w:eastAsia="Times New Roman"/>
        </w:rPr>
        <w:t>Maanen</w:t>
      </w:r>
      <w:proofErr w:type="spellEnd"/>
      <w:r w:rsidRPr="00515B99">
        <w:rPr>
          <w:rFonts w:eastAsia="Times New Roman"/>
        </w:rPr>
        <w:t xml:space="preserve">, J. and Schein, E.H. (1979) 'Toward a theory of organizational socialization', </w:t>
      </w:r>
      <w:r w:rsidRPr="00515B99">
        <w:rPr>
          <w:rFonts w:eastAsia="Times New Roman"/>
          <w:i/>
          <w:iCs/>
        </w:rPr>
        <w:t xml:space="preserve">Research in Organizational </w:t>
      </w:r>
      <w:proofErr w:type="spellStart"/>
      <w:r w:rsidRPr="00515B99">
        <w:rPr>
          <w:rFonts w:eastAsia="Times New Roman"/>
          <w:i/>
          <w:iCs/>
        </w:rPr>
        <w:t>Behavior</w:t>
      </w:r>
      <w:proofErr w:type="spellEnd"/>
      <w:r w:rsidRPr="00515B99">
        <w:rPr>
          <w:rFonts w:eastAsia="Times New Roman"/>
        </w:rPr>
        <w:t>, 1, pp. 209-264.</w:t>
      </w:r>
    </w:p>
    <w:p w:rsidR="00FD75D3" w:rsidRPr="00515B99" w:rsidRDefault="00FD75D3" w:rsidP="00515B99">
      <w:pPr>
        <w:spacing w:after="240" w:line="360" w:lineRule="auto"/>
        <w:ind w:left="720" w:hanging="720"/>
        <w:jc w:val="both"/>
      </w:pPr>
      <w:r w:rsidRPr="00515B99">
        <w:rPr>
          <w:rFonts w:eastAsia="Times New Roman"/>
        </w:rPr>
        <w:t xml:space="preserve">World Economic Forum (2020) </w:t>
      </w:r>
      <w:r w:rsidRPr="00515B99">
        <w:rPr>
          <w:rFonts w:eastAsia="Times New Roman"/>
          <w:i/>
          <w:iCs/>
        </w:rPr>
        <w:t>Davos Manifesto 2020: The universal purpose of a company in the fourth industrial revolution</w:t>
      </w:r>
      <w:r w:rsidRPr="00515B99">
        <w:rPr>
          <w:rFonts w:eastAsia="Times New Roman"/>
        </w:rPr>
        <w:t>. Available at: https://www.weforum.org (Accessed: 5 June 2026).</w:t>
      </w:r>
    </w:p>
    <w:p w:rsidR="00FD75D3" w:rsidRPr="00515B99" w:rsidRDefault="00FD75D3" w:rsidP="00515B99">
      <w:pPr>
        <w:spacing w:after="240" w:line="360" w:lineRule="auto"/>
        <w:ind w:left="720" w:hanging="720"/>
        <w:jc w:val="both"/>
      </w:pPr>
      <w:proofErr w:type="spellStart"/>
      <w:r w:rsidRPr="00515B99">
        <w:rPr>
          <w:rFonts w:eastAsia="Times New Roman"/>
        </w:rPr>
        <w:t>Wrzesniewski</w:t>
      </w:r>
      <w:proofErr w:type="spellEnd"/>
      <w:r w:rsidRPr="00515B99">
        <w:rPr>
          <w:rFonts w:eastAsia="Times New Roman"/>
        </w:rPr>
        <w:t xml:space="preserve">, A. and Dutton, J.E. (2001) 'Crafting a job: </w:t>
      </w:r>
      <w:proofErr w:type="spellStart"/>
      <w:r w:rsidRPr="00515B99">
        <w:rPr>
          <w:rFonts w:eastAsia="Times New Roman"/>
        </w:rPr>
        <w:t>Revisioning</w:t>
      </w:r>
      <w:proofErr w:type="spellEnd"/>
      <w:r w:rsidRPr="00515B99">
        <w:rPr>
          <w:rFonts w:eastAsia="Times New Roman"/>
        </w:rPr>
        <w:t xml:space="preserve"> employees as active crafters of their work', </w:t>
      </w:r>
      <w:r w:rsidRPr="00515B99">
        <w:rPr>
          <w:rFonts w:eastAsia="Times New Roman"/>
          <w:i/>
          <w:iCs/>
        </w:rPr>
        <w:t>Academy of Management Review</w:t>
      </w:r>
      <w:r w:rsidRPr="00515B99">
        <w:rPr>
          <w:rFonts w:eastAsia="Times New Roman"/>
        </w:rPr>
        <w:t>, 26(2), pp. 179-201.</w:t>
      </w:r>
    </w:p>
    <w:p w:rsidR="00A65346" w:rsidRDefault="00FD75D3" w:rsidP="00F47473">
      <w:pPr>
        <w:spacing w:after="240" w:line="360" w:lineRule="auto"/>
        <w:ind w:left="720" w:hanging="720"/>
        <w:jc w:val="both"/>
      </w:pPr>
      <w:r w:rsidRPr="00515B99">
        <w:rPr>
          <w:rFonts w:eastAsia="Times New Roman"/>
        </w:rPr>
        <w:t xml:space="preserve">Zhang, F. and Parker, S.K. (2021) 'Reorienting job crafting research: A hierarchical structure of job crafting concepts and integrative review', </w:t>
      </w:r>
      <w:r w:rsidRPr="00515B99">
        <w:rPr>
          <w:rFonts w:eastAsia="Times New Roman"/>
          <w:i/>
          <w:iCs/>
        </w:rPr>
        <w:t xml:space="preserve">Journal of Organizational </w:t>
      </w:r>
      <w:proofErr w:type="spellStart"/>
      <w:r w:rsidRPr="00515B99">
        <w:rPr>
          <w:rFonts w:eastAsia="Times New Roman"/>
          <w:i/>
          <w:iCs/>
        </w:rPr>
        <w:t>Behavior</w:t>
      </w:r>
      <w:proofErr w:type="spellEnd"/>
      <w:r w:rsidRPr="00515B99">
        <w:rPr>
          <w:rFonts w:eastAsia="Times New Roman"/>
        </w:rPr>
        <w:t>, 40(2), pp. 126-146.</w:t>
      </w:r>
    </w:p>
    <w:p w:rsidR="00E460EB" w:rsidRPr="00A65346" w:rsidRDefault="00E460EB" w:rsidP="00515B99">
      <w:pPr>
        <w:pStyle w:val="Heading1"/>
        <w:spacing w:line="360" w:lineRule="auto"/>
        <w:rPr>
          <w:rStyle w:val="Strong"/>
          <w:b/>
          <w:bCs/>
          <w:szCs w:val="24"/>
        </w:rPr>
      </w:pPr>
      <w:r w:rsidRPr="00A65346">
        <w:rPr>
          <w:szCs w:val="24"/>
        </w:rPr>
        <w:t>Appendix</w:t>
      </w:r>
    </w:p>
    <w:p w:rsidR="00E460EB" w:rsidRPr="00515B99" w:rsidRDefault="00E460EB" w:rsidP="00515B99">
      <w:pPr>
        <w:pStyle w:val="font-claude-response-body"/>
        <w:spacing w:line="360" w:lineRule="auto"/>
        <w:rPr>
          <w:rFonts w:ascii="Arial" w:hAnsi="Arial" w:cs="Arial"/>
        </w:rPr>
      </w:pPr>
      <w:r w:rsidRPr="00515B99">
        <w:rPr>
          <w:rStyle w:val="Strong"/>
          <w:rFonts w:ascii="Arial" w:hAnsi="Arial" w:cs="Arial"/>
        </w:rPr>
        <w:t>APPENDIX A: Supplementary Online Resource</w:t>
      </w:r>
    </w:p>
    <w:p w:rsidR="00E460EB" w:rsidRPr="00515B99" w:rsidRDefault="00E460EB" w:rsidP="00515B99">
      <w:pPr>
        <w:pStyle w:val="font-claude-response-body"/>
        <w:spacing w:line="360" w:lineRule="auto"/>
        <w:jc w:val="both"/>
        <w:rPr>
          <w:rFonts w:ascii="Arial" w:hAnsi="Arial" w:cs="Arial"/>
        </w:rPr>
      </w:pPr>
      <w:r w:rsidRPr="00515B99">
        <w:rPr>
          <w:rStyle w:val="Strong"/>
          <w:rFonts w:ascii="Arial" w:hAnsi="Arial" w:cs="Arial"/>
        </w:rPr>
        <w:t>Title:</w:t>
      </w:r>
      <w:r w:rsidRPr="00515B99">
        <w:rPr>
          <w:rFonts w:ascii="Arial" w:hAnsi="Arial" w:cs="Arial"/>
        </w:rPr>
        <w:t xml:space="preserve"> Helios Urban Mobility: Human Capital Architecture Visual Overview</w:t>
      </w:r>
    </w:p>
    <w:p w:rsidR="00E460EB" w:rsidRPr="00515B99" w:rsidRDefault="00E460EB" w:rsidP="00515B99">
      <w:pPr>
        <w:pStyle w:val="font-claude-response-body"/>
        <w:spacing w:line="360" w:lineRule="auto"/>
        <w:jc w:val="both"/>
        <w:rPr>
          <w:rFonts w:ascii="Arial" w:hAnsi="Arial" w:cs="Arial"/>
        </w:rPr>
      </w:pPr>
      <w:r w:rsidRPr="00515B99">
        <w:rPr>
          <w:rStyle w:val="Strong"/>
          <w:rFonts w:ascii="Arial" w:hAnsi="Arial" w:cs="Arial"/>
        </w:rPr>
        <w:t>Author:</w:t>
      </w:r>
      <w:r w:rsidRPr="00515B99">
        <w:rPr>
          <w:rFonts w:ascii="Arial" w:hAnsi="Arial" w:cs="Arial"/>
        </w:rPr>
        <w:t xml:space="preserve"> Zarna Patel (Student (2536013), LCMB7023 Human Capital Management, University of Wales Trinity Saint David, Birmingham Campus)</w:t>
      </w:r>
    </w:p>
    <w:p w:rsidR="00E460EB" w:rsidRPr="00515B99" w:rsidRDefault="00E460EB" w:rsidP="00515B99">
      <w:pPr>
        <w:pStyle w:val="font-claude-response-body"/>
        <w:spacing w:line="360" w:lineRule="auto"/>
        <w:jc w:val="both"/>
        <w:rPr>
          <w:rFonts w:ascii="Arial" w:hAnsi="Arial" w:cs="Arial"/>
        </w:rPr>
      </w:pPr>
      <w:r w:rsidRPr="00515B99">
        <w:rPr>
          <w:rStyle w:val="Strong"/>
          <w:rFonts w:ascii="Arial" w:hAnsi="Arial" w:cs="Arial"/>
        </w:rPr>
        <w:t>Purpose:</w:t>
      </w:r>
      <w:r w:rsidRPr="00515B99">
        <w:rPr>
          <w:rFonts w:ascii="Arial" w:hAnsi="Arial" w:cs="Arial"/>
        </w:rPr>
        <w:t xml:space="preserve"> This online resource was created by the author to provide a supplementary visual overview of the human capital frameworks applied in this report, including Van </w:t>
      </w:r>
      <w:proofErr w:type="spellStart"/>
      <w:r w:rsidRPr="00515B99">
        <w:rPr>
          <w:rFonts w:ascii="Arial" w:hAnsi="Arial" w:cs="Arial"/>
        </w:rPr>
        <w:t>Maanen</w:t>
      </w:r>
      <w:proofErr w:type="spellEnd"/>
      <w:r w:rsidRPr="00515B99">
        <w:rPr>
          <w:rFonts w:ascii="Arial" w:hAnsi="Arial" w:cs="Arial"/>
        </w:rPr>
        <w:t xml:space="preserve"> and Schein's Socialisation Tactics, Rousseau's Psychological Contract Theory, the Three-Phase Socialisation Framework, Hackman and Oldham's Job Characteristics Model, Job Crafting Theory, the Internal Talent Marketplace architecture, Self-Determination Theory, and the Personal Capability Development Plan. It is intended to enhance the reader's understanding of the analytical content presented in Tasks A, B, and C.</w:t>
      </w:r>
    </w:p>
    <w:p w:rsidR="00E460EB" w:rsidRPr="00515B99" w:rsidRDefault="00E460EB" w:rsidP="00515B99">
      <w:pPr>
        <w:pStyle w:val="font-claude-response-body"/>
        <w:spacing w:line="360" w:lineRule="auto"/>
        <w:jc w:val="both"/>
        <w:rPr>
          <w:rFonts w:ascii="Arial" w:hAnsi="Arial" w:cs="Arial"/>
        </w:rPr>
      </w:pPr>
      <w:r w:rsidRPr="00515B99">
        <w:rPr>
          <w:rStyle w:val="Strong"/>
          <w:rFonts w:ascii="Arial" w:hAnsi="Arial" w:cs="Arial"/>
        </w:rPr>
        <w:t>Access:</w:t>
      </w:r>
      <w:r w:rsidRPr="00515B99">
        <w:rPr>
          <w:rFonts w:ascii="Arial" w:hAnsi="Arial" w:cs="Arial"/>
        </w:rPr>
        <w:t xml:space="preserve"> Available at: </w:t>
      </w:r>
      <w:hyperlink r:id="rId18" w:history="1">
        <w:r w:rsidRPr="00515B99">
          <w:rPr>
            <w:rStyle w:val="Hyperlink"/>
            <w:rFonts w:ascii="Arial" w:hAnsi="Arial" w:cs="Arial"/>
          </w:rPr>
          <w:t>https://sites.google.com/view/human-capital-by-zarna/home</w:t>
        </w:r>
      </w:hyperlink>
      <w:r w:rsidRPr="00515B99">
        <w:rPr>
          <w:rFonts w:ascii="Arial" w:hAnsi="Arial" w:cs="Arial"/>
        </w:rPr>
        <w:t xml:space="preserve"> (Accessed: June 2026).</w:t>
      </w:r>
    </w:p>
    <w:p w:rsidR="006A7079" w:rsidRPr="00F47473" w:rsidRDefault="00E460EB" w:rsidP="00F47473">
      <w:pPr>
        <w:pStyle w:val="font-claude-response-body"/>
        <w:spacing w:line="360" w:lineRule="auto"/>
        <w:jc w:val="both"/>
        <w:rPr>
          <w:rFonts w:ascii="Arial" w:hAnsi="Arial" w:cs="Arial"/>
        </w:rPr>
      </w:pPr>
      <w:r w:rsidRPr="00515B99">
        <w:rPr>
          <w:rStyle w:val="Strong"/>
          <w:rFonts w:ascii="Arial" w:hAnsi="Arial" w:cs="Arial"/>
        </w:rPr>
        <w:t>Note:</w:t>
      </w:r>
      <w:r w:rsidRPr="00515B99">
        <w:rPr>
          <w:rFonts w:ascii="Arial" w:hAnsi="Arial" w:cs="Arial"/>
        </w:rPr>
        <w:t xml:space="preserve"> This resource is an original creation by the author and does not form part of the assessed word count.</w:t>
      </w:r>
    </w:p>
    <w:sectPr w:rsidR="006A7079" w:rsidRPr="00F47473" w:rsidSect="009632EF">
      <w:headerReference w:type="default" r:id="rId19"/>
      <w:footerReference w:type="default" r:id="rId20"/>
      <w:pgSz w:w="11906" w:h="16838"/>
      <w:pgMar w:top="1080" w:right="1080" w:bottom="1080" w:left="108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BD6" w:rsidRDefault="00D55BD6">
      <w:r>
        <w:separator/>
      </w:r>
    </w:p>
  </w:endnote>
  <w:endnote w:type="continuationSeparator" w:id="0">
    <w:p w:rsidR="00D55BD6" w:rsidRDefault="00D55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079" w:rsidRDefault="003537B9">
    <w:pPr>
      <w:jc w:val="right"/>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F47473">
      <w:rPr>
        <w:noProof/>
        <w:color w:val="888888"/>
        <w:sz w:val="18"/>
        <w:szCs w:val="18"/>
      </w:rPr>
      <w:t>20</w:t>
    </w:r>
    <w:r>
      <w:rPr>
        <w:color w:val="888888"/>
        <w:sz w:val="18"/>
        <w:szCs w:val="18"/>
      </w:rPr>
      <w:fldChar w:fldCharType="end"/>
    </w:r>
    <w:r>
      <w:rPr>
        <w:color w:val="888888"/>
        <w:sz w:val="18"/>
        <w:szCs w:val="18"/>
      </w:rPr>
      <w:t xml:space="preserve"> of </w:t>
    </w:r>
    <w:r>
      <w:rPr>
        <w:color w:val="888888"/>
        <w:sz w:val="18"/>
        <w:szCs w:val="18"/>
      </w:rPr>
      <w:fldChar w:fldCharType="begin"/>
    </w:r>
    <w:r>
      <w:rPr>
        <w:color w:val="888888"/>
        <w:sz w:val="18"/>
        <w:szCs w:val="18"/>
      </w:rPr>
      <w:instrText>NUMPAGES</w:instrText>
    </w:r>
    <w:r>
      <w:rPr>
        <w:color w:val="888888"/>
        <w:sz w:val="18"/>
        <w:szCs w:val="18"/>
      </w:rPr>
      <w:fldChar w:fldCharType="separate"/>
    </w:r>
    <w:r w:rsidR="00F47473">
      <w:rPr>
        <w:noProof/>
        <w:color w:val="888888"/>
        <w:sz w:val="18"/>
        <w:szCs w:val="18"/>
      </w:rPr>
      <w:t>20</w:t>
    </w:r>
    <w:r>
      <w:rPr>
        <w:color w:val="888888"/>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BD6" w:rsidRDefault="00D55BD6">
      <w:r>
        <w:separator/>
      </w:r>
    </w:p>
  </w:footnote>
  <w:footnote w:type="continuationSeparator" w:id="0">
    <w:p w:rsidR="00D55BD6" w:rsidRDefault="00D55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079" w:rsidRDefault="003537B9">
    <w:pPr>
      <w:pBdr>
        <w:bottom w:val="single" w:sz="4" w:space="6" w:color="2E5496"/>
      </w:pBdr>
    </w:pPr>
    <w:r>
      <w:rPr>
        <w:color w:val="2E5496"/>
        <w:sz w:val="18"/>
        <w:szCs w:val="18"/>
      </w:rPr>
      <w:t>Helios Urban Mobility | Human Capital Management | LCMB7023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264C9"/>
    <w:multiLevelType w:val="hybridMultilevel"/>
    <w:tmpl w:val="66E24F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EA131A2"/>
    <w:multiLevelType w:val="hybridMultilevel"/>
    <w:tmpl w:val="9B28BD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2EA20FD"/>
    <w:multiLevelType w:val="hybridMultilevel"/>
    <w:tmpl w:val="5E64AFEE"/>
    <w:lvl w:ilvl="0" w:tplc="CCAEC22C">
      <w:start w:val="1"/>
      <w:numFmt w:val="bullet"/>
      <w:lvlText w:val="●"/>
      <w:lvlJc w:val="left"/>
      <w:pPr>
        <w:ind w:left="720" w:hanging="360"/>
      </w:pPr>
    </w:lvl>
    <w:lvl w:ilvl="1" w:tplc="B8E00A84">
      <w:start w:val="1"/>
      <w:numFmt w:val="bullet"/>
      <w:lvlText w:val="○"/>
      <w:lvlJc w:val="left"/>
      <w:pPr>
        <w:ind w:left="1440" w:hanging="360"/>
      </w:pPr>
    </w:lvl>
    <w:lvl w:ilvl="2" w:tplc="AA749516">
      <w:start w:val="1"/>
      <w:numFmt w:val="bullet"/>
      <w:lvlText w:val="■"/>
      <w:lvlJc w:val="left"/>
      <w:pPr>
        <w:ind w:left="2160" w:hanging="360"/>
      </w:pPr>
    </w:lvl>
    <w:lvl w:ilvl="3" w:tplc="E566F714">
      <w:start w:val="1"/>
      <w:numFmt w:val="bullet"/>
      <w:lvlText w:val="●"/>
      <w:lvlJc w:val="left"/>
      <w:pPr>
        <w:ind w:left="2880" w:hanging="360"/>
      </w:pPr>
    </w:lvl>
    <w:lvl w:ilvl="4" w:tplc="464C4880">
      <w:start w:val="1"/>
      <w:numFmt w:val="bullet"/>
      <w:lvlText w:val="○"/>
      <w:lvlJc w:val="left"/>
      <w:pPr>
        <w:ind w:left="3600" w:hanging="360"/>
      </w:pPr>
    </w:lvl>
    <w:lvl w:ilvl="5" w:tplc="E75C687C">
      <w:start w:val="1"/>
      <w:numFmt w:val="bullet"/>
      <w:lvlText w:val="■"/>
      <w:lvlJc w:val="left"/>
      <w:pPr>
        <w:ind w:left="4320" w:hanging="360"/>
      </w:pPr>
    </w:lvl>
    <w:lvl w:ilvl="6" w:tplc="F45059F4">
      <w:start w:val="1"/>
      <w:numFmt w:val="bullet"/>
      <w:lvlText w:val="●"/>
      <w:lvlJc w:val="left"/>
      <w:pPr>
        <w:ind w:left="5040" w:hanging="360"/>
      </w:pPr>
    </w:lvl>
    <w:lvl w:ilvl="7" w:tplc="3F90D738">
      <w:start w:val="1"/>
      <w:numFmt w:val="bullet"/>
      <w:lvlText w:val="●"/>
      <w:lvlJc w:val="left"/>
      <w:pPr>
        <w:ind w:left="5760" w:hanging="360"/>
      </w:pPr>
    </w:lvl>
    <w:lvl w:ilvl="8" w:tplc="2748481C">
      <w:start w:val="1"/>
      <w:numFmt w:val="bullet"/>
      <w:lvlText w:val="●"/>
      <w:lvlJc w:val="left"/>
      <w:pPr>
        <w:ind w:left="6480" w:hanging="360"/>
      </w:pPr>
    </w:lvl>
  </w:abstractNum>
  <w:abstractNum w:abstractNumId="3" w15:restartNumberingAfterBreak="0">
    <w:nsid w:val="64611E52"/>
    <w:multiLevelType w:val="hybridMultilevel"/>
    <w:tmpl w:val="AF0AA8C6"/>
    <w:lvl w:ilvl="0" w:tplc="367C8E2A">
      <w:start w:val="1"/>
      <w:numFmt w:val="bullet"/>
      <w:lvlText w:val="•"/>
      <w:lvlJc w:val="left"/>
      <w:pPr>
        <w:ind w:left="720" w:hanging="360"/>
      </w:pPr>
    </w:lvl>
    <w:lvl w:ilvl="1" w:tplc="690EC19C">
      <w:numFmt w:val="decimal"/>
      <w:lvlText w:val=""/>
      <w:lvlJc w:val="left"/>
    </w:lvl>
    <w:lvl w:ilvl="2" w:tplc="EE50170C">
      <w:numFmt w:val="decimal"/>
      <w:lvlText w:val=""/>
      <w:lvlJc w:val="left"/>
    </w:lvl>
    <w:lvl w:ilvl="3" w:tplc="8E06F70E">
      <w:numFmt w:val="decimal"/>
      <w:lvlText w:val=""/>
      <w:lvlJc w:val="left"/>
    </w:lvl>
    <w:lvl w:ilvl="4" w:tplc="6C4ADCEC">
      <w:numFmt w:val="decimal"/>
      <w:lvlText w:val=""/>
      <w:lvlJc w:val="left"/>
    </w:lvl>
    <w:lvl w:ilvl="5" w:tplc="D82E1B80">
      <w:numFmt w:val="decimal"/>
      <w:lvlText w:val=""/>
      <w:lvlJc w:val="left"/>
    </w:lvl>
    <w:lvl w:ilvl="6" w:tplc="756AEF6A">
      <w:numFmt w:val="decimal"/>
      <w:lvlText w:val=""/>
      <w:lvlJc w:val="left"/>
    </w:lvl>
    <w:lvl w:ilvl="7" w:tplc="56DCA326">
      <w:numFmt w:val="decimal"/>
      <w:lvlText w:val=""/>
      <w:lvlJc w:val="left"/>
    </w:lvl>
    <w:lvl w:ilvl="8" w:tplc="77D80846">
      <w:numFmt w:val="decimal"/>
      <w:lvlText w:val=""/>
      <w:lvlJc w:val="left"/>
    </w:lvl>
  </w:abstractNum>
  <w:num w:numId="1">
    <w:abstractNumId w:val="2"/>
    <w:lvlOverride w:ilvl="0">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079"/>
    <w:rsid w:val="00014A42"/>
    <w:rsid w:val="00041624"/>
    <w:rsid w:val="00111C51"/>
    <w:rsid w:val="001505D7"/>
    <w:rsid w:val="001518B7"/>
    <w:rsid w:val="00172429"/>
    <w:rsid w:val="001E6FDC"/>
    <w:rsid w:val="002672A2"/>
    <w:rsid w:val="002B122C"/>
    <w:rsid w:val="00326F29"/>
    <w:rsid w:val="003315CE"/>
    <w:rsid w:val="003537B9"/>
    <w:rsid w:val="00384DDE"/>
    <w:rsid w:val="003A1D7A"/>
    <w:rsid w:val="0042777B"/>
    <w:rsid w:val="00432313"/>
    <w:rsid w:val="004605D2"/>
    <w:rsid w:val="00482B1C"/>
    <w:rsid w:val="00482FA6"/>
    <w:rsid w:val="00497AC8"/>
    <w:rsid w:val="004B3B63"/>
    <w:rsid w:val="004F5867"/>
    <w:rsid w:val="00515B99"/>
    <w:rsid w:val="00583DC7"/>
    <w:rsid w:val="00626997"/>
    <w:rsid w:val="00630601"/>
    <w:rsid w:val="006A7079"/>
    <w:rsid w:val="006B0A1B"/>
    <w:rsid w:val="006E7C3E"/>
    <w:rsid w:val="00762CC9"/>
    <w:rsid w:val="00780E00"/>
    <w:rsid w:val="00857170"/>
    <w:rsid w:val="008871F4"/>
    <w:rsid w:val="008C0001"/>
    <w:rsid w:val="008C3FF2"/>
    <w:rsid w:val="008D0581"/>
    <w:rsid w:val="00920792"/>
    <w:rsid w:val="009632EF"/>
    <w:rsid w:val="009A2104"/>
    <w:rsid w:val="009D5456"/>
    <w:rsid w:val="00A06369"/>
    <w:rsid w:val="00A14652"/>
    <w:rsid w:val="00A36571"/>
    <w:rsid w:val="00A65346"/>
    <w:rsid w:val="00A83C62"/>
    <w:rsid w:val="00AA63FF"/>
    <w:rsid w:val="00B340AD"/>
    <w:rsid w:val="00B55E16"/>
    <w:rsid w:val="00BB463C"/>
    <w:rsid w:val="00C03E24"/>
    <w:rsid w:val="00C05ACE"/>
    <w:rsid w:val="00C84A09"/>
    <w:rsid w:val="00D012F2"/>
    <w:rsid w:val="00D55BD6"/>
    <w:rsid w:val="00E06FA6"/>
    <w:rsid w:val="00E40F4A"/>
    <w:rsid w:val="00E460EB"/>
    <w:rsid w:val="00E85803"/>
    <w:rsid w:val="00E90CA9"/>
    <w:rsid w:val="00EB3C27"/>
    <w:rsid w:val="00EE31D3"/>
    <w:rsid w:val="00F0480B"/>
    <w:rsid w:val="00F05AE4"/>
    <w:rsid w:val="00F15F7D"/>
    <w:rsid w:val="00F32875"/>
    <w:rsid w:val="00F47473"/>
    <w:rsid w:val="00F6202D"/>
    <w:rsid w:val="00FC76D0"/>
    <w:rsid w:val="00FD2333"/>
    <w:rsid w:val="00FD75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518EB5-6D53-43E9-959F-3AFC01492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320" w:after="160"/>
      <w:outlineLvl w:val="0"/>
    </w:pPr>
    <w:rPr>
      <w:b/>
      <w:bCs/>
      <w:color w:val="1F3864"/>
      <w:sz w:val="28"/>
      <w:szCs w:val="28"/>
    </w:rPr>
  </w:style>
  <w:style w:type="paragraph" w:styleId="Heading2">
    <w:name w:val="heading 2"/>
    <w:qFormat/>
    <w:pPr>
      <w:spacing w:before="240" w:after="120"/>
      <w:outlineLvl w:val="1"/>
    </w:pPr>
    <w:rPr>
      <w:b/>
      <w:bCs/>
      <w:color w:val="2E549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B3C27"/>
    <w:pPr>
      <w:spacing w:after="100"/>
    </w:pPr>
  </w:style>
  <w:style w:type="paragraph" w:styleId="TOC2">
    <w:name w:val="toc 2"/>
    <w:basedOn w:val="Normal"/>
    <w:next w:val="Normal"/>
    <w:autoRedefine/>
    <w:uiPriority w:val="39"/>
    <w:unhideWhenUsed/>
    <w:rsid w:val="00EB3C27"/>
    <w:pPr>
      <w:spacing w:after="100"/>
      <w:ind w:left="240"/>
    </w:pPr>
  </w:style>
  <w:style w:type="paragraph" w:styleId="NormalWeb">
    <w:name w:val="Normal (Web)"/>
    <w:basedOn w:val="Normal"/>
    <w:uiPriority w:val="99"/>
    <w:unhideWhenUsed/>
    <w:rsid w:val="00F0480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014A42"/>
    <w:rPr>
      <w:b/>
      <w:bCs/>
    </w:rPr>
  </w:style>
  <w:style w:type="paragraph" w:customStyle="1" w:styleId="font-claude-response-body">
    <w:name w:val="font-claude-response-body"/>
    <w:basedOn w:val="Normal"/>
    <w:rsid w:val="00E460E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90043">
      <w:bodyDiv w:val="1"/>
      <w:marLeft w:val="0"/>
      <w:marRight w:val="0"/>
      <w:marTop w:val="0"/>
      <w:marBottom w:val="0"/>
      <w:divBdr>
        <w:top w:val="none" w:sz="0" w:space="0" w:color="auto"/>
        <w:left w:val="none" w:sz="0" w:space="0" w:color="auto"/>
        <w:bottom w:val="none" w:sz="0" w:space="0" w:color="auto"/>
        <w:right w:val="none" w:sz="0" w:space="0" w:color="auto"/>
      </w:divBdr>
    </w:div>
    <w:div w:id="124205945">
      <w:bodyDiv w:val="1"/>
      <w:marLeft w:val="0"/>
      <w:marRight w:val="0"/>
      <w:marTop w:val="0"/>
      <w:marBottom w:val="0"/>
      <w:divBdr>
        <w:top w:val="none" w:sz="0" w:space="0" w:color="auto"/>
        <w:left w:val="none" w:sz="0" w:space="0" w:color="auto"/>
        <w:bottom w:val="none" w:sz="0" w:space="0" w:color="auto"/>
        <w:right w:val="none" w:sz="0" w:space="0" w:color="auto"/>
      </w:divBdr>
    </w:div>
    <w:div w:id="172036752">
      <w:bodyDiv w:val="1"/>
      <w:marLeft w:val="0"/>
      <w:marRight w:val="0"/>
      <w:marTop w:val="0"/>
      <w:marBottom w:val="0"/>
      <w:divBdr>
        <w:top w:val="none" w:sz="0" w:space="0" w:color="auto"/>
        <w:left w:val="none" w:sz="0" w:space="0" w:color="auto"/>
        <w:bottom w:val="none" w:sz="0" w:space="0" w:color="auto"/>
        <w:right w:val="none" w:sz="0" w:space="0" w:color="auto"/>
      </w:divBdr>
    </w:div>
    <w:div w:id="175047540">
      <w:bodyDiv w:val="1"/>
      <w:marLeft w:val="0"/>
      <w:marRight w:val="0"/>
      <w:marTop w:val="0"/>
      <w:marBottom w:val="0"/>
      <w:divBdr>
        <w:top w:val="none" w:sz="0" w:space="0" w:color="auto"/>
        <w:left w:val="none" w:sz="0" w:space="0" w:color="auto"/>
        <w:bottom w:val="none" w:sz="0" w:space="0" w:color="auto"/>
        <w:right w:val="none" w:sz="0" w:space="0" w:color="auto"/>
      </w:divBdr>
    </w:div>
    <w:div w:id="238713361">
      <w:bodyDiv w:val="1"/>
      <w:marLeft w:val="0"/>
      <w:marRight w:val="0"/>
      <w:marTop w:val="0"/>
      <w:marBottom w:val="0"/>
      <w:divBdr>
        <w:top w:val="none" w:sz="0" w:space="0" w:color="auto"/>
        <w:left w:val="none" w:sz="0" w:space="0" w:color="auto"/>
        <w:bottom w:val="none" w:sz="0" w:space="0" w:color="auto"/>
        <w:right w:val="none" w:sz="0" w:space="0" w:color="auto"/>
      </w:divBdr>
    </w:div>
    <w:div w:id="536432188">
      <w:bodyDiv w:val="1"/>
      <w:marLeft w:val="0"/>
      <w:marRight w:val="0"/>
      <w:marTop w:val="0"/>
      <w:marBottom w:val="0"/>
      <w:divBdr>
        <w:top w:val="none" w:sz="0" w:space="0" w:color="auto"/>
        <w:left w:val="none" w:sz="0" w:space="0" w:color="auto"/>
        <w:bottom w:val="none" w:sz="0" w:space="0" w:color="auto"/>
        <w:right w:val="none" w:sz="0" w:space="0" w:color="auto"/>
      </w:divBdr>
    </w:div>
    <w:div w:id="575893422">
      <w:bodyDiv w:val="1"/>
      <w:marLeft w:val="0"/>
      <w:marRight w:val="0"/>
      <w:marTop w:val="0"/>
      <w:marBottom w:val="0"/>
      <w:divBdr>
        <w:top w:val="none" w:sz="0" w:space="0" w:color="auto"/>
        <w:left w:val="none" w:sz="0" w:space="0" w:color="auto"/>
        <w:bottom w:val="none" w:sz="0" w:space="0" w:color="auto"/>
        <w:right w:val="none" w:sz="0" w:space="0" w:color="auto"/>
      </w:divBdr>
    </w:div>
    <w:div w:id="631785873">
      <w:bodyDiv w:val="1"/>
      <w:marLeft w:val="0"/>
      <w:marRight w:val="0"/>
      <w:marTop w:val="0"/>
      <w:marBottom w:val="0"/>
      <w:divBdr>
        <w:top w:val="none" w:sz="0" w:space="0" w:color="auto"/>
        <w:left w:val="none" w:sz="0" w:space="0" w:color="auto"/>
        <w:bottom w:val="none" w:sz="0" w:space="0" w:color="auto"/>
        <w:right w:val="none" w:sz="0" w:space="0" w:color="auto"/>
      </w:divBdr>
    </w:div>
    <w:div w:id="741177887">
      <w:bodyDiv w:val="1"/>
      <w:marLeft w:val="0"/>
      <w:marRight w:val="0"/>
      <w:marTop w:val="0"/>
      <w:marBottom w:val="0"/>
      <w:divBdr>
        <w:top w:val="none" w:sz="0" w:space="0" w:color="auto"/>
        <w:left w:val="none" w:sz="0" w:space="0" w:color="auto"/>
        <w:bottom w:val="none" w:sz="0" w:space="0" w:color="auto"/>
        <w:right w:val="none" w:sz="0" w:space="0" w:color="auto"/>
      </w:divBdr>
    </w:div>
    <w:div w:id="891774974">
      <w:bodyDiv w:val="1"/>
      <w:marLeft w:val="0"/>
      <w:marRight w:val="0"/>
      <w:marTop w:val="0"/>
      <w:marBottom w:val="0"/>
      <w:divBdr>
        <w:top w:val="none" w:sz="0" w:space="0" w:color="auto"/>
        <w:left w:val="none" w:sz="0" w:space="0" w:color="auto"/>
        <w:bottom w:val="none" w:sz="0" w:space="0" w:color="auto"/>
        <w:right w:val="none" w:sz="0" w:space="0" w:color="auto"/>
      </w:divBdr>
    </w:div>
    <w:div w:id="1038318372">
      <w:bodyDiv w:val="1"/>
      <w:marLeft w:val="0"/>
      <w:marRight w:val="0"/>
      <w:marTop w:val="0"/>
      <w:marBottom w:val="0"/>
      <w:divBdr>
        <w:top w:val="none" w:sz="0" w:space="0" w:color="auto"/>
        <w:left w:val="none" w:sz="0" w:space="0" w:color="auto"/>
        <w:bottom w:val="none" w:sz="0" w:space="0" w:color="auto"/>
        <w:right w:val="none" w:sz="0" w:space="0" w:color="auto"/>
      </w:divBdr>
    </w:div>
    <w:div w:id="1326205369">
      <w:bodyDiv w:val="1"/>
      <w:marLeft w:val="0"/>
      <w:marRight w:val="0"/>
      <w:marTop w:val="0"/>
      <w:marBottom w:val="0"/>
      <w:divBdr>
        <w:top w:val="none" w:sz="0" w:space="0" w:color="auto"/>
        <w:left w:val="none" w:sz="0" w:space="0" w:color="auto"/>
        <w:bottom w:val="none" w:sz="0" w:space="0" w:color="auto"/>
        <w:right w:val="none" w:sz="0" w:space="0" w:color="auto"/>
      </w:divBdr>
    </w:div>
    <w:div w:id="1376587073">
      <w:bodyDiv w:val="1"/>
      <w:marLeft w:val="0"/>
      <w:marRight w:val="0"/>
      <w:marTop w:val="0"/>
      <w:marBottom w:val="0"/>
      <w:divBdr>
        <w:top w:val="none" w:sz="0" w:space="0" w:color="auto"/>
        <w:left w:val="none" w:sz="0" w:space="0" w:color="auto"/>
        <w:bottom w:val="none" w:sz="0" w:space="0" w:color="auto"/>
        <w:right w:val="none" w:sz="0" w:space="0" w:color="auto"/>
      </w:divBdr>
    </w:div>
    <w:div w:id="1528256924">
      <w:bodyDiv w:val="1"/>
      <w:marLeft w:val="0"/>
      <w:marRight w:val="0"/>
      <w:marTop w:val="0"/>
      <w:marBottom w:val="0"/>
      <w:divBdr>
        <w:top w:val="none" w:sz="0" w:space="0" w:color="auto"/>
        <w:left w:val="none" w:sz="0" w:space="0" w:color="auto"/>
        <w:bottom w:val="none" w:sz="0" w:space="0" w:color="auto"/>
        <w:right w:val="none" w:sz="0" w:space="0" w:color="auto"/>
      </w:divBdr>
    </w:div>
    <w:div w:id="1652369724">
      <w:bodyDiv w:val="1"/>
      <w:marLeft w:val="0"/>
      <w:marRight w:val="0"/>
      <w:marTop w:val="0"/>
      <w:marBottom w:val="0"/>
      <w:divBdr>
        <w:top w:val="none" w:sz="0" w:space="0" w:color="auto"/>
        <w:left w:val="none" w:sz="0" w:space="0" w:color="auto"/>
        <w:bottom w:val="none" w:sz="0" w:space="0" w:color="auto"/>
        <w:right w:val="none" w:sz="0" w:space="0" w:color="auto"/>
      </w:divBdr>
    </w:div>
    <w:div w:id="1727214620">
      <w:bodyDiv w:val="1"/>
      <w:marLeft w:val="0"/>
      <w:marRight w:val="0"/>
      <w:marTop w:val="0"/>
      <w:marBottom w:val="0"/>
      <w:divBdr>
        <w:top w:val="none" w:sz="0" w:space="0" w:color="auto"/>
        <w:left w:val="none" w:sz="0" w:space="0" w:color="auto"/>
        <w:bottom w:val="none" w:sz="0" w:space="0" w:color="auto"/>
        <w:right w:val="none" w:sz="0" w:space="0" w:color="auto"/>
      </w:divBdr>
    </w:div>
    <w:div w:id="1730684698">
      <w:bodyDiv w:val="1"/>
      <w:marLeft w:val="0"/>
      <w:marRight w:val="0"/>
      <w:marTop w:val="0"/>
      <w:marBottom w:val="0"/>
      <w:divBdr>
        <w:top w:val="none" w:sz="0" w:space="0" w:color="auto"/>
        <w:left w:val="none" w:sz="0" w:space="0" w:color="auto"/>
        <w:bottom w:val="none" w:sz="0" w:space="0" w:color="auto"/>
        <w:right w:val="none" w:sz="0" w:space="0" w:color="auto"/>
      </w:divBdr>
    </w:div>
    <w:div w:id="1879006295">
      <w:bodyDiv w:val="1"/>
      <w:marLeft w:val="0"/>
      <w:marRight w:val="0"/>
      <w:marTop w:val="0"/>
      <w:marBottom w:val="0"/>
      <w:divBdr>
        <w:top w:val="none" w:sz="0" w:space="0" w:color="auto"/>
        <w:left w:val="none" w:sz="0" w:space="0" w:color="auto"/>
        <w:bottom w:val="none" w:sz="0" w:space="0" w:color="auto"/>
        <w:right w:val="none" w:sz="0" w:space="0" w:color="auto"/>
      </w:divBdr>
    </w:div>
    <w:div w:id="1952005742">
      <w:bodyDiv w:val="1"/>
      <w:marLeft w:val="0"/>
      <w:marRight w:val="0"/>
      <w:marTop w:val="0"/>
      <w:marBottom w:val="0"/>
      <w:divBdr>
        <w:top w:val="none" w:sz="0" w:space="0" w:color="auto"/>
        <w:left w:val="none" w:sz="0" w:space="0" w:color="auto"/>
        <w:bottom w:val="none" w:sz="0" w:space="0" w:color="auto"/>
        <w:right w:val="none" w:sz="0" w:space="0" w:color="auto"/>
      </w:divBdr>
    </w:div>
    <w:div w:id="1952081393">
      <w:bodyDiv w:val="1"/>
      <w:marLeft w:val="0"/>
      <w:marRight w:val="0"/>
      <w:marTop w:val="0"/>
      <w:marBottom w:val="0"/>
      <w:divBdr>
        <w:top w:val="none" w:sz="0" w:space="0" w:color="auto"/>
        <w:left w:val="none" w:sz="0" w:space="0" w:color="auto"/>
        <w:bottom w:val="none" w:sz="0" w:space="0" w:color="auto"/>
        <w:right w:val="none" w:sz="0" w:space="0" w:color="auto"/>
      </w:divBdr>
    </w:div>
    <w:div w:id="2044017739">
      <w:bodyDiv w:val="1"/>
      <w:marLeft w:val="0"/>
      <w:marRight w:val="0"/>
      <w:marTop w:val="0"/>
      <w:marBottom w:val="0"/>
      <w:divBdr>
        <w:top w:val="none" w:sz="0" w:space="0" w:color="auto"/>
        <w:left w:val="none" w:sz="0" w:space="0" w:color="auto"/>
        <w:bottom w:val="none" w:sz="0" w:space="0" w:color="auto"/>
        <w:right w:val="none" w:sz="0" w:space="0" w:color="auto"/>
      </w:divBdr>
    </w:div>
    <w:div w:id="2085563935">
      <w:bodyDiv w:val="1"/>
      <w:marLeft w:val="0"/>
      <w:marRight w:val="0"/>
      <w:marTop w:val="0"/>
      <w:marBottom w:val="0"/>
      <w:divBdr>
        <w:top w:val="none" w:sz="0" w:space="0" w:color="auto"/>
        <w:left w:val="none" w:sz="0" w:space="0" w:color="auto"/>
        <w:bottom w:val="none" w:sz="0" w:space="0" w:color="auto"/>
        <w:right w:val="none" w:sz="0" w:space="0" w:color="auto"/>
      </w:divBdr>
    </w:div>
    <w:div w:id="2144738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sites.google.com/view/human-capital-by-zarna/hom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79B62-B8D9-4598-BA47-738FEAFAF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20</Pages>
  <Words>4905</Words>
  <Characters>27961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account</cp:lastModifiedBy>
  <cp:revision>25</cp:revision>
  <dcterms:created xsi:type="dcterms:W3CDTF">2026-06-13T21:56:00Z</dcterms:created>
  <dcterms:modified xsi:type="dcterms:W3CDTF">2026-06-25T00:07:00Z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10fed40e-6d97-407d-9cbb-92cfed5fc316</vt:lpwstr>
  </property>
</Properties>
</file>