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80C77" w14:textId="5150EBCB" w:rsidR="00BE5988" w:rsidRDefault="00F83F90" w:rsidP="00F949B7">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rsidP="00F949B7"/>
    <w:p w14:paraId="60CEE847" w14:textId="07FE95D9" w:rsidR="00BE5988" w:rsidRDefault="009F46EA" w:rsidP="00F949B7">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32C551C0" w:rsidR="00B70D61" w:rsidRPr="00EC73FB" w:rsidRDefault="00000000" w:rsidP="00003DAB">
                            <w:pPr>
                              <w:jc w:val="center"/>
                              <w:rPr>
                                <w:b/>
                                <w:bCs/>
                                <w:color w:val="156082" w:themeColor="accent1"/>
                                <w:sz w:val="42"/>
                                <w:szCs w:val="42"/>
                              </w:rPr>
                            </w:pPr>
                            <w:sdt>
                              <w:sdtPr>
                                <w:rPr>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003DAB">
                                  <w:rPr>
                                    <w:b/>
                                    <w:bCs/>
                                    <w:caps/>
                                    <w:color w:val="156082" w:themeColor="accent1"/>
                                    <w:sz w:val="40"/>
                                    <w:szCs w:val="40"/>
                                  </w:rPr>
                                  <w:t xml:space="preserve">Component </w:t>
                                </w:r>
                                <w:r w:rsidR="00030B70" w:rsidRPr="00003DAB">
                                  <w:rPr>
                                    <w:b/>
                                    <w:bCs/>
                                    <w:caps/>
                                    <w:color w:val="156082" w:themeColor="accent1"/>
                                    <w:sz w:val="40"/>
                                    <w:szCs w:val="40"/>
                                  </w:rPr>
                                  <w:t>1</w:t>
                                </w:r>
                                <w:r w:rsidR="0012308D" w:rsidRPr="00003DAB">
                                  <w:rPr>
                                    <w:b/>
                                    <w:bCs/>
                                    <w:caps/>
                                    <w:color w:val="156082" w:themeColor="accent1"/>
                                    <w:sz w:val="40"/>
                                    <w:szCs w:val="40"/>
                                  </w:rPr>
                                  <w:t xml:space="preserve">: </w:t>
                                </w:r>
                                <w:r w:rsidR="00003DAB" w:rsidRPr="00003DAB">
                                  <w:rPr>
                                    <w:b/>
                                    <w:bCs/>
                                    <w:caps/>
                                    <w:color w:val="156082" w:themeColor="accent1"/>
                                    <w:sz w:val="40"/>
                                    <w:szCs w:val="40"/>
                                  </w:rPr>
                                  <w:t xml:space="preserve">Digital innovation </w:t>
                                </w:r>
                                <w:r w:rsidR="0012308D" w:rsidRPr="00003DAB">
                                  <w:rPr>
                                    <w:b/>
                                    <w:bCs/>
                                    <w:caps/>
                                    <w:color w:val="156082" w:themeColor="accent1"/>
                                    <w:sz w:val="40"/>
                                    <w:szCs w:val="40"/>
                                  </w:rPr>
                                  <w:t>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293E4291" w:rsidR="00B70D61" w:rsidRDefault="00030B70" w:rsidP="0012308D">
                                <w:pPr>
                                  <w:jc w:val="center"/>
                                  <w:rPr>
                                    <w:smallCaps/>
                                    <w:color w:val="404040" w:themeColor="text1" w:themeTint="BF"/>
                                    <w:sz w:val="36"/>
                                    <w:szCs w:val="36"/>
                                  </w:rPr>
                                </w:pPr>
                                <w:r w:rsidRPr="00030B70">
                                  <w:rPr>
                                    <w:sz w:val="36"/>
                                    <w:szCs w:val="36"/>
                                  </w:rPr>
                                  <w:t>Digital Transformation in the Health and Care Professions (BMHP6026)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32C551C0" w:rsidR="00B70D61" w:rsidRPr="00EC73FB" w:rsidRDefault="00000000" w:rsidP="00003DAB">
                      <w:pPr>
                        <w:jc w:val="center"/>
                        <w:rPr>
                          <w:b/>
                          <w:bCs/>
                          <w:color w:val="156082" w:themeColor="accent1"/>
                          <w:sz w:val="42"/>
                          <w:szCs w:val="42"/>
                        </w:rPr>
                      </w:pPr>
                      <w:sdt>
                        <w:sdtPr>
                          <w:rPr>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003DAB">
                            <w:rPr>
                              <w:b/>
                              <w:bCs/>
                              <w:caps/>
                              <w:color w:val="156082" w:themeColor="accent1"/>
                              <w:sz w:val="40"/>
                              <w:szCs w:val="40"/>
                            </w:rPr>
                            <w:t xml:space="preserve">Component </w:t>
                          </w:r>
                          <w:r w:rsidR="00030B70" w:rsidRPr="00003DAB">
                            <w:rPr>
                              <w:b/>
                              <w:bCs/>
                              <w:caps/>
                              <w:color w:val="156082" w:themeColor="accent1"/>
                              <w:sz w:val="40"/>
                              <w:szCs w:val="40"/>
                            </w:rPr>
                            <w:t>1</w:t>
                          </w:r>
                          <w:r w:rsidR="0012308D" w:rsidRPr="00003DAB">
                            <w:rPr>
                              <w:b/>
                              <w:bCs/>
                              <w:caps/>
                              <w:color w:val="156082" w:themeColor="accent1"/>
                              <w:sz w:val="40"/>
                              <w:szCs w:val="40"/>
                            </w:rPr>
                            <w:t xml:space="preserve">: </w:t>
                          </w:r>
                          <w:r w:rsidR="00003DAB" w:rsidRPr="00003DAB">
                            <w:rPr>
                              <w:b/>
                              <w:bCs/>
                              <w:caps/>
                              <w:color w:val="156082" w:themeColor="accent1"/>
                              <w:sz w:val="40"/>
                              <w:szCs w:val="40"/>
                            </w:rPr>
                            <w:t xml:space="preserve">Digital innovation </w:t>
                          </w:r>
                          <w:r w:rsidR="0012308D" w:rsidRPr="00003DAB">
                            <w:rPr>
                              <w:b/>
                              <w:bCs/>
                              <w:caps/>
                              <w:color w:val="156082" w:themeColor="accent1"/>
                              <w:sz w:val="40"/>
                              <w:szCs w:val="40"/>
                            </w:rPr>
                            <w:t>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293E4291" w:rsidR="00B70D61" w:rsidRDefault="00030B70" w:rsidP="0012308D">
                          <w:pPr>
                            <w:jc w:val="center"/>
                            <w:rPr>
                              <w:smallCaps/>
                              <w:color w:val="404040" w:themeColor="text1" w:themeTint="BF"/>
                              <w:sz w:val="36"/>
                              <w:szCs w:val="36"/>
                            </w:rPr>
                          </w:pPr>
                          <w:r w:rsidRPr="00030B70">
                            <w:rPr>
                              <w:sz w:val="36"/>
                              <w:szCs w:val="36"/>
                            </w:rPr>
                            <w:t>Digital Transformation in the Health and Care Professions (BMHP6026)</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sidP="00F949B7">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rsidP="00F949B7">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3DB6EA27" w:rsidR="005E495A" w:rsidRPr="00EC73FB" w:rsidRDefault="005E495A">
                                <w:pPr>
                                  <w:rPr>
                                    <w:sz w:val="36"/>
                                    <w:szCs w:val="36"/>
                                  </w:rPr>
                                </w:pPr>
                                <w:r w:rsidRPr="00EC73FB">
                                  <w:rPr>
                                    <w:sz w:val="36"/>
                                    <w:szCs w:val="36"/>
                                  </w:rPr>
                                  <w:t xml:space="preserve">Tutor Name: </w:t>
                                </w:r>
                                <w:r w:rsidR="00EC73FB" w:rsidRPr="00EC73FB">
                                  <w:rPr>
                                    <w:sz w:val="36"/>
                                    <w:szCs w:val="36"/>
                                  </w:rPr>
                                  <w:t>Zakiyyah Ahmed</w:t>
                                </w:r>
                              </w:p>
                              <w:p w14:paraId="111FDBC9" w14:textId="62F3D092" w:rsidR="005E495A" w:rsidRPr="00EC73FB" w:rsidRDefault="005E495A">
                                <w:pPr>
                                  <w:rPr>
                                    <w:sz w:val="36"/>
                                    <w:szCs w:val="36"/>
                                  </w:rPr>
                                </w:pPr>
                                <w:r w:rsidRPr="00EC73FB">
                                  <w:rPr>
                                    <w:sz w:val="36"/>
                                    <w:szCs w:val="36"/>
                                  </w:rPr>
                                  <w:t>Syed Mudassar Hussain (2407258)</w:t>
                                </w:r>
                              </w:p>
                              <w:p w14:paraId="072F0422" w14:textId="5CC302DB" w:rsidR="00F83F90" w:rsidRDefault="00030B70">
                                <w:pPr>
                                  <w:rPr>
                                    <w:sz w:val="36"/>
                                    <w:szCs w:val="36"/>
                                  </w:rPr>
                                </w:pPr>
                                <w:r>
                                  <w:rPr>
                                    <w:sz w:val="36"/>
                                    <w:szCs w:val="36"/>
                                  </w:rPr>
                                  <w:t>1</w:t>
                                </w:r>
                                <w:r w:rsidR="00310469">
                                  <w:rPr>
                                    <w:sz w:val="36"/>
                                    <w:szCs w:val="36"/>
                                  </w:rPr>
                                  <w:t>8</w:t>
                                </w:r>
                                <w:r>
                                  <w:rPr>
                                    <w:sz w:val="36"/>
                                    <w:szCs w:val="36"/>
                                  </w:rPr>
                                  <w:t>t</w:t>
                                </w:r>
                                <w:r w:rsidR="00245B63">
                                  <w:rPr>
                                    <w:sz w:val="36"/>
                                    <w:szCs w:val="36"/>
                                  </w:rPr>
                                  <w:t>h</w:t>
                                </w:r>
                                <w:r w:rsidR="00CD10A4">
                                  <w:rPr>
                                    <w:sz w:val="36"/>
                                    <w:szCs w:val="36"/>
                                  </w:rPr>
                                  <w:t xml:space="preserve"> </w:t>
                                </w:r>
                                <w:r>
                                  <w:rPr>
                                    <w:sz w:val="36"/>
                                    <w:szCs w:val="36"/>
                                  </w:rPr>
                                  <w:t>October</w:t>
                                </w:r>
                                <w:r w:rsidR="00AE742F">
                                  <w:rPr>
                                    <w:sz w:val="36"/>
                                    <w:szCs w:val="36"/>
                                  </w:rPr>
                                  <w:t xml:space="preserve"> 202</w:t>
                                </w:r>
                                <w:r w:rsidR="006C1449">
                                  <w:rPr>
                                    <w:sz w:val="36"/>
                                    <w:szCs w:val="36"/>
                                  </w:rPr>
                                  <w:t>6</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3DB6EA27" w:rsidR="005E495A" w:rsidRPr="00EC73FB" w:rsidRDefault="005E495A">
                          <w:pPr>
                            <w:rPr>
                              <w:sz w:val="36"/>
                              <w:szCs w:val="36"/>
                            </w:rPr>
                          </w:pPr>
                          <w:r w:rsidRPr="00EC73FB">
                            <w:rPr>
                              <w:sz w:val="36"/>
                              <w:szCs w:val="36"/>
                            </w:rPr>
                            <w:t xml:space="preserve">Tutor Name: </w:t>
                          </w:r>
                          <w:r w:rsidR="00EC73FB" w:rsidRPr="00EC73FB">
                            <w:rPr>
                              <w:sz w:val="36"/>
                              <w:szCs w:val="36"/>
                            </w:rPr>
                            <w:t>Zakiyyah Ahmed</w:t>
                          </w:r>
                        </w:p>
                        <w:p w14:paraId="111FDBC9" w14:textId="62F3D092" w:rsidR="005E495A" w:rsidRPr="00EC73FB" w:rsidRDefault="005E495A">
                          <w:pPr>
                            <w:rPr>
                              <w:sz w:val="36"/>
                              <w:szCs w:val="36"/>
                            </w:rPr>
                          </w:pPr>
                          <w:r w:rsidRPr="00EC73FB">
                            <w:rPr>
                              <w:sz w:val="36"/>
                              <w:szCs w:val="36"/>
                            </w:rPr>
                            <w:t>Syed Mudassar Hussain (2407258)</w:t>
                          </w:r>
                        </w:p>
                        <w:p w14:paraId="072F0422" w14:textId="5CC302DB" w:rsidR="00F83F90" w:rsidRDefault="00030B70">
                          <w:pPr>
                            <w:rPr>
                              <w:sz w:val="36"/>
                              <w:szCs w:val="36"/>
                            </w:rPr>
                          </w:pPr>
                          <w:r>
                            <w:rPr>
                              <w:sz w:val="36"/>
                              <w:szCs w:val="36"/>
                            </w:rPr>
                            <w:t>1</w:t>
                          </w:r>
                          <w:r w:rsidR="00310469">
                            <w:rPr>
                              <w:sz w:val="36"/>
                              <w:szCs w:val="36"/>
                            </w:rPr>
                            <w:t>8</w:t>
                          </w:r>
                          <w:r>
                            <w:rPr>
                              <w:sz w:val="36"/>
                              <w:szCs w:val="36"/>
                            </w:rPr>
                            <w:t>t</w:t>
                          </w:r>
                          <w:r w:rsidR="00245B63">
                            <w:rPr>
                              <w:sz w:val="36"/>
                              <w:szCs w:val="36"/>
                            </w:rPr>
                            <w:t>h</w:t>
                          </w:r>
                          <w:r w:rsidR="00CD10A4">
                            <w:rPr>
                              <w:sz w:val="36"/>
                              <w:szCs w:val="36"/>
                            </w:rPr>
                            <w:t xml:space="preserve"> </w:t>
                          </w:r>
                          <w:r>
                            <w:rPr>
                              <w:sz w:val="36"/>
                              <w:szCs w:val="36"/>
                            </w:rPr>
                            <w:t>October</w:t>
                          </w:r>
                          <w:r w:rsidR="00AE742F">
                            <w:rPr>
                              <w:sz w:val="36"/>
                              <w:szCs w:val="36"/>
                            </w:rPr>
                            <w:t xml:space="preserve"> 202</w:t>
                          </w:r>
                          <w:r w:rsidR="006C1449">
                            <w:rPr>
                              <w:sz w:val="36"/>
                              <w:szCs w:val="36"/>
                            </w:rPr>
                            <w:t>6</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rsidP="00F949B7">
          <w:pPr>
            <w:pStyle w:val="TOCHeading"/>
            <w:spacing w:line="360" w:lineRule="auto"/>
            <w:rPr>
              <w:rFonts w:ascii="Arial" w:hAnsi="Arial" w:cs="Arial"/>
              <w:color w:val="auto"/>
            </w:rPr>
          </w:pPr>
          <w:r w:rsidRPr="007F6584">
            <w:rPr>
              <w:rFonts w:ascii="Arial" w:hAnsi="Arial" w:cs="Arial"/>
              <w:color w:val="auto"/>
            </w:rPr>
            <w:t>Contents</w:t>
          </w:r>
        </w:p>
        <w:p w14:paraId="7D938A99" w14:textId="4823E54A" w:rsidR="00C75026" w:rsidRDefault="007F6584">
          <w:pPr>
            <w:pStyle w:val="TOC2"/>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43249800" w:history="1">
            <w:r w:rsidR="00C75026" w:rsidRPr="00AB6393">
              <w:rPr>
                <w:rStyle w:val="Hyperlink"/>
                <w:rFonts w:cs="Arial"/>
                <w:noProof/>
              </w:rPr>
              <w:t>Critical Evaluation of Limbic Access: AI Mental-Health Referral and Triage</w:t>
            </w:r>
            <w:r w:rsidR="00C75026">
              <w:rPr>
                <w:noProof/>
                <w:webHidden/>
              </w:rPr>
              <w:tab/>
            </w:r>
            <w:r w:rsidR="00C75026">
              <w:rPr>
                <w:noProof/>
                <w:webHidden/>
              </w:rPr>
              <w:fldChar w:fldCharType="begin"/>
            </w:r>
            <w:r w:rsidR="00C75026">
              <w:rPr>
                <w:noProof/>
                <w:webHidden/>
              </w:rPr>
              <w:instrText xml:space="preserve"> PAGEREF _Toc243249800 \h </w:instrText>
            </w:r>
            <w:r w:rsidR="00C75026">
              <w:rPr>
                <w:noProof/>
                <w:webHidden/>
              </w:rPr>
            </w:r>
            <w:r w:rsidR="00C75026">
              <w:rPr>
                <w:noProof/>
                <w:webHidden/>
              </w:rPr>
              <w:fldChar w:fldCharType="separate"/>
            </w:r>
            <w:r w:rsidR="00C75026">
              <w:rPr>
                <w:noProof/>
                <w:webHidden/>
              </w:rPr>
              <w:t>2</w:t>
            </w:r>
            <w:r w:rsidR="00C75026">
              <w:rPr>
                <w:noProof/>
                <w:webHidden/>
              </w:rPr>
              <w:fldChar w:fldCharType="end"/>
            </w:r>
          </w:hyperlink>
        </w:p>
        <w:p w14:paraId="2038F916" w14:textId="7ED1B25A" w:rsidR="00C75026" w:rsidRDefault="00C75026">
          <w:pPr>
            <w:pStyle w:val="TOC2"/>
            <w:tabs>
              <w:tab w:val="right" w:leader="dot" w:pos="9016"/>
            </w:tabs>
            <w:rPr>
              <w:rFonts w:asciiTheme="minorHAnsi" w:eastAsiaTheme="minorEastAsia" w:hAnsiTheme="minorHAnsi"/>
              <w:noProof/>
              <w:sz w:val="24"/>
              <w:lang w:eastAsia="en-GB"/>
            </w:rPr>
          </w:pPr>
          <w:hyperlink w:anchor="_Toc243249801" w:history="1">
            <w:r w:rsidRPr="00AB6393">
              <w:rPr>
                <w:rStyle w:val="Hyperlink"/>
                <w:rFonts w:cs="Arial"/>
                <w:noProof/>
              </w:rPr>
              <w:t>1. Introduction</w:t>
            </w:r>
            <w:r>
              <w:rPr>
                <w:noProof/>
                <w:webHidden/>
              </w:rPr>
              <w:tab/>
            </w:r>
            <w:r>
              <w:rPr>
                <w:noProof/>
                <w:webHidden/>
              </w:rPr>
              <w:fldChar w:fldCharType="begin"/>
            </w:r>
            <w:r>
              <w:rPr>
                <w:noProof/>
                <w:webHidden/>
              </w:rPr>
              <w:instrText xml:space="preserve"> PAGEREF _Toc243249801 \h </w:instrText>
            </w:r>
            <w:r>
              <w:rPr>
                <w:noProof/>
                <w:webHidden/>
              </w:rPr>
            </w:r>
            <w:r>
              <w:rPr>
                <w:noProof/>
                <w:webHidden/>
              </w:rPr>
              <w:fldChar w:fldCharType="separate"/>
            </w:r>
            <w:r>
              <w:rPr>
                <w:noProof/>
                <w:webHidden/>
              </w:rPr>
              <w:t>3</w:t>
            </w:r>
            <w:r>
              <w:rPr>
                <w:noProof/>
                <w:webHidden/>
              </w:rPr>
              <w:fldChar w:fldCharType="end"/>
            </w:r>
          </w:hyperlink>
        </w:p>
        <w:p w14:paraId="44B878AA" w14:textId="117C0BCB" w:rsidR="00C75026" w:rsidRDefault="00C75026">
          <w:pPr>
            <w:pStyle w:val="TOC2"/>
            <w:tabs>
              <w:tab w:val="right" w:leader="dot" w:pos="9016"/>
            </w:tabs>
            <w:rPr>
              <w:rFonts w:asciiTheme="minorHAnsi" w:eastAsiaTheme="minorEastAsia" w:hAnsiTheme="minorHAnsi"/>
              <w:noProof/>
              <w:sz w:val="24"/>
              <w:lang w:eastAsia="en-GB"/>
            </w:rPr>
          </w:pPr>
          <w:hyperlink w:anchor="_Toc243249802" w:history="1">
            <w:r w:rsidRPr="00AB6393">
              <w:rPr>
                <w:rStyle w:val="Hyperlink"/>
                <w:noProof/>
              </w:rPr>
              <w:t>2. Service Delivery</w:t>
            </w:r>
            <w:r>
              <w:rPr>
                <w:noProof/>
                <w:webHidden/>
              </w:rPr>
              <w:tab/>
            </w:r>
            <w:r>
              <w:rPr>
                <w:noProof/>
                <w:webHidden/>
              </w:rPr>
              <w:fldChar w:fldCharType="begin"/>
            </w:r>
            <w:r>
              <w:rPr>
                <w:noProof/>
                <w:webHidden/>
              </w:rPr>
              <w:instrText xml:space="preserve"> PAGEREF _Toc243249802 \h </w:instrText>
            </w:r>
            <w:r>
              <w:rPr>
                <w:noProof/>
                <w:webHidden/>
              </w:rPr>
            </w:r>
            <w:r>
              <w:rPr>
                <w:noProof/>
                <w:webHidden/>
              </w:rPr>
              <w:fldChar w:fldCharType="separate"/>
            </w:r>
            <w:r>
              <w:rPr>
                <w:noProof/>
                <w:webHidden/>
              </w:rPr>
              <w:t>4</w:t>
            </w:r>
            <w:r>
              <w:rPr>
                <w:noProof/>
                <w:webHidden/>
              </w:rPr>
              <w:fldChar w:fldCharType="end"/>
            </w:r>
          </w:hyperlink>
        </w:p>
        <w:p w14:paraId="73F9EA05" w14:textId="6441DDDA" w:rsidR="00C75026" w:rsidRDefault="00C75026">
          <w:pPr>
            <w:pStyle w:val="TOC3"/>
            <w:tabs>
              <w:tab w:val="right" w:leader="dot" w:pos="9016"/>
            </w:tabs>
            <w:rPr>
              <w:rFonts w:asciiTheme="minorHAnsi" w:eastAsiaTheme="minorEastAsia" w:hAnsiTheme="minorHAnsi"/>
              <w:noProof/>
              <w:sz w:val="24"/>
              <w:lang w:eastAsia="en-GB"/>
            </w:rPr>
          </w:pPr>
          <w:hyperlink w:anchor="_Toc243249803" w:history="1">
            <w:r w:rsidRPr="00AB6393">
              <w:rPr>
                <w:rStyle w:val="Hyperlink"/>
                <w:noProof/>
              </w:rPr>
              <w:t>2.1 Workflow, communication and efficiency</w:t>
            </w:r>
            <w:r>
              <w:rPr>
                <w:noProof/>
                <w:webHidden/>
              </w:rPr>
              <w:tab/>
            </w:r>
            <w:r>
              <w:rPr>
                <w:noProof/>
                <w:webHidden/>
              </w:rPr>
              <w:fldChar w:fldCharType="begin"/>
            </w:r>
            <w:r>
              <w:rPr>
                <w:noProof/>
                <w:webHidden/>
              </w:rPr>
              <w:instrText xml:space="preserve"> PAGEREF _Toc243249803 \h </w:instrText>
            </w:r>
            <w:r>
              <w:rPr>
                <w:noProof/>
                <w:webHidden/>
              </w:rPr>
            </w:r>
            <w:r>
              <w:rPr>
                <w:noProof/>
                <w:webHidden/>
              </w:rPr>
              <w:fldChar w:fldCharType="separate"/>
            </w:r>
            <w:r>
              <w:rPr>
                <w:noProof/>
                <w:webHidden/>
              </w:rPr>
              <w:t>4</w:t>
            </w:r>
            <w:r>
              <w:rPr>
                <w:noProof/>
                <w:webHidden/>
              </w:rPr>
              <w:fldChar w:fldCharType="end"/>
            </w:r>
          </w:hyperlink>
        </w:p>
        <w:p w14:paraId="5593C0F8" w14:textId="788551CF" w:rsidR="00C75026" w:rsidRDefault="00C75026">
          <w:pPr>
            <w:pStyle w:val="TOC3"/>
            <w:tabs>
              <w:tab w:val="right" w:leader="dot" w:pos="9016"/>
            </w:tabs>
            <w:rPr>
              <w:rFonts w:asciiTheme="minorHAnsi" w:eastAsiaTheme="minorEastAsia" w:hAnsiTheme="minorHAnsi"/>
              <w:noProof/>
              <w:sz w:val="24"/>
              <w:lang w:eastAsia="en-GB"/>
            </w:rPr>
          </w:pPr>
          <w:hyperlink w:anchor="_Toc243249804" w:history="1">
            <w:r w:rsidRPr="00AB6393">
              <w:rPr>
                <w:rStyle w:val="Hyperlink"/>
                <w:noProof/>
              </w:rPr>
              <w:t>2.2 Short-term challenges: cost, integration, workforce and evidence maturity</w:t>
            </w:r>
            <w:r>
              <w:rPr>
                <w:noProof/>
                <w:webHidden/>
              </w:rPr>
              <w:tab/>
            </w:r>
            <w:r>
              <w:rPr>
                <w:noProof/>
                <w:webHidden/>
              </w:rPr>
              <w:fldChar w:fldCharType="begin"/>
            </w:r>
            <w:r>
              <w:rPr>
                <w:noProof/>
                <w:webHidden/>
              </w:rPr>
              <w:instrText xml:space="preserve"> PAGEREF _Toc243249804 \h </w:instrText>
            </w:r>
            <w:r>
              <w:rPr>
                <w:noProof/>
                <w:webHidden/>
              </w:rPr>
            </w:r>
            <w:r>
              <w:rPr>
                <w:noProof/>
                <w:webHidden/>
              </w:rPr>
              <w:fldChar w:fldCharType="separate"/>
            </w:r>
            <w:r>
              <w:rPr>
                <w:noProof/>
                <w:webHidden/>
              </w:rPr>
              <w:t>5</w:t>
            </w:r>
            <w:r>
              <w:rPr>
                <w:noProof/>
                <w:webHidden/>
              </w:rPr>
              <w:fldChar w:fldCharType="end"/>
            </w:r>
          </w:hyperlink>
        </w:p>
        <w:p w14:paraId="205ECD60" w14:textId="7BFBF1A5" w:rsidR="00C75026" w:rsidRDefault="00C75026">
          <w:pPr>
            <w:pStyle w:val="TOC2"/>
            <w:tabs>
              <w:tab w:val="right" w:leader="dot" w:pos="9016"/>
            </w:tabs>
            <w:rPr>
              <w:rFonts w:asciiTheme="minorHAnsi" w:eastAsiaTheme="minorEastAsia" w:hAnsiTheme="minorHAnsi"/>
              <w:noProof/>
              <w:sz w:val="24"/>
              <w:lang w:eastAsia="en-GB"/>
            </w:rPr>
          </w:pPr>
          <w:hyperlink w:anchor="_Toc243249805" w:history="1">
            <w:r w:rsidRPr="00AB6393">
              <w:rPr>
                <w:rStyle w:val="Hyperlink"/>
                <w:noProof/>
              </w:rPr>
              <w:t>3. Patient/Service User</w:t>
            </w:r>
            <w:r>
              <w:rPr>
                <w:noProof/>
                <w:webHidden/>
              </w:rPr>
              <w:tab/>
            </w:r>
            <w:r>
              <w:rPr>
                <w:noProof/>
                <w:webHidden/>
              </w:rPr>
              <w:fldChar w:fldCharType="begin"/>
            </w:r>
            <w:r>
              <w:rPr>
                <w:noProof/>
                <w:webHidden/>
              </w:rPr>
              <w:instrText xml:space="preserve"> PAGEREF _Toc243249805 \h </w:instrText>
            </w:r>
            <w:r>
              <w:rPr>
                <w:noProof/>
                <w:webHidden/>
              </w:rPr>
            </w:r>
            <w:r>
              <w:rPr>
                <w:noProof/>
                <w:webHidden/>
              </w:rPr>
              <w:fldChar w:fldCharType="separate"/>
            </w:r>
            <w:r>
              <w:rPr>
                <w:noProof/>
                <w:webHidden/>
              </w:rPr>
              <w:t>7</w:t>
            </w:r>
            <w:r>
              <w:rPr>
                <w:noProof/>
                <w:webHidden/>
              </w:rPr>
              <w:fldChar w:fldCharType="end"/>
            </w:r>
          </w:hyperlink>
        </w:p>
        <w:p w14:paraId="6FF9A933" w14:textId="3B98B752" w:rsidR="00C75026" w:rsidRDefault="00C75026">
          <w:pPr>
            <w:pStyle w:val="TOC3"/>
            <w:tabs>
              <w:tab w:val="right" w:leader="dot" w:pos="9016"/>
            </w:tabs>
            <w:rPr>
              <w:rFonts w:asciiTheme="minorHAnsi" w:eastAsiaTheme="minorEastAsia" w:hAnsiTheme="minorHAnsi"/>
              <w:noProof/>
              <w:sz w:val="24"/>
              <w:lang w:eastAsia="en-GB"/>
            </w:rPr>
          </w:pPr>
          <w:hyperlink w:anchor="_Toc243249806" w:history="1">
            <w:r w:rsidRPr="00AB6393">
              <w:rPr>
                <w:rStyle w:val="Hyperlink"/>
                <w:noProof/>
              </w:rPr>
              <w:t>3.1 Access, convenience and satisfaction</w:t>
            </w:r>
            <w:r>
              <w:rPr>
                <w:noProof/>
                <w:webHidden/>
              </w:rPr>
              <w:tab/>
            </w:r>
            <w:r>
              <w:rPr>
                <w:noProof/>
                <w:webHidden/>
              </w:rPr>
              <w:fldChar w:fldCharType="begin"/>
            </w:r>
            <w:r>
              <w:rPr>
                <w:noProof/>
                <w:webHidden/>
              </w:rPr>
              <w:instrText xml:space="preserve"> PAGEREF _Toc243249806 \h </w:instrText>
            </w:r>
            <w:r>
              <w:rPr>
                <w:noProof/>
                <w:webHidden/>
              </w:rPr>
            </w:r>
            <w:r>
              <w:rPr>
                <w:noProof/>
                <w:webHidden/>
              </w:rPr>
              <w:fldChar w:fldCharType="separate"/>
            </w:r>
            <w:r>
              <w:rPr>
                <w:noProof/>
                <w:webHidden/>
              </w:rPr>
              <w:t>7</w:t>
            </w:r>
            <w:r>
              <w:rPr>
                <w:noProof/>
                <w:webHidden/>
              </w:rPr>
              <w:fldChar w:fldCharType="end"/>
            </w:r>
          </w:hyperlink>
        </w:p>
        <w:p w14:paraId="57DCF4C0" w14:textId="431665AB" w:rsidR="00C75026" w:rsidRDefault="00C75026">
          <w:pPr>
            <w:pStyle w:val="TOC3"/>
            <w:tabs>
              <w:tab w:val="right" w:leader="dot" w:pos="9016"/>
            </w:tabs>
            <w:rPr>
              <w:rFonts w:asciiTheme="minorHAnsi" w:eastAsiaTheme="minorEastAsia" w:hAnsiTheme="minorHAnsi"/>
              <w:noProof/>
              <w:sz w:val="24"/>
              <w:lang w:eastAsia="en-GB"/>
            </w:rPr>
          </w:pPr>
          <w:hyperlink w:anchor="_Toc243249807" w:history="1">
            <w:r w:rsidRPr="00AB6393">
              <w:rPr>
                <w:rStyle w:val="Hyperlink"/>
                <w:noProof/>
              </w:rPr>
              <w:t>3.2 Privacy, clinical safety and fairness of access</w:t>
            </w:r>
            <w:r>
              <w:rPr>
                <w:noProof/>
                <w:webHidden/>
              </w:rPr>
              <w:tab/>
            </w:r>
            <w:r>
              <w:rPr>
                <w:noProof/>
                <w:webHidden/>
              </w:rPr>
              <w:fldChar w:fldCharType="begin"/>
            </w:r>
            <w:r>
              <w:rPr>
                <w:noProof/>
                <w:webHidden/>
              </w:rPr>
              <w:instrText xml:space="preserve"> PAGEREF _Toc243249807 \h </w:instrText>
            </w:r>
            <w:r>
              <w:rPr>
                <w:noProof/>
                <w:webHidden/>
              </w:rPr>
            </w:r>
            <w:r>
              <w:rPr>
                <w:noProof/>
                <w:webHidden/>
              </w:rPr>
              <w:fldChar w:fldCharType="separate"/>
            </w:r>
            <w:r>
              <w:rPr>
                <w:noProof/>
                <w:webHidden/>
              </w:rPr>
              <w:t>7</w:t>
            </w:r>
            <w:r>
              <w:rPr>
                <w:noProof/>
                <w:webHidden/>
              </w:rPr>
              <w:fldChar w:fldCharType="end"/>
            </w:r>
          </w:hyperlink>
        </w:p>
        <w:p w14:paraId="52A640E4" w14:textId="3C25C99D" w:rsidR="00C75026" w:rsidRDefault="00C75026">
          <w:pPr>
            <w:pStyle w:val="TOC2"/>
            <w:tabs>
              <w:tab w:val="right" w:leader="dot" w:pos="9016"/>
            </w:tabs>
            <w:rPr>
              <w:rFonts w:asciiTheme="minorHAnsi" w:eastAsiaTheme="minorEastAsia" w:hAnsiTheme="minorHAnsi"/>
              <w:noProof/>
              <w:sz w:val="24"/>
              <w:lang w:eastAsia="en-GB"/>
            </w:rPr>
          </w:pPr>
          <w:hyperlink w:anchor="_Toc243249808" w:history="1">
            <w:r w:rsidRPr="00AB6393">
              <w:rPr>
                <w:rStyle w:val="Hyperlink"/>
                <w:noProof/>
              </w:rPr>
              <w:t>4. Conclusion and Recommendations</w:t>
            </w:r>
            <w:r>
              <w:rPr>
                <w:noProof/>
                <w:webHidden/>
              </w:rPr>
              <w:tab/>
            </w:r>
            <w:r>
              <w:rPr>
                <w:noProof/>
                <w:webHidden/>
              </w:rPr>
              <w:fldChar w:fldCharType="begin"/>
            </w:r>
            <w:r>
              <w:rPr>
                <w:noProof/>
                <w:webHidden/>
              </w:rPr>
              <w:instrText xml:space="preserve"> PAGEREF _Toc243249808 \h </w:instrText>
            </w:r>
            <w:r>
              <w:rPr>
                <w:noProof/>
                <w:webHidden/>
              </w:rPr>
            </w:r>
            <w:r>
              <w:rPr>
                <w:noProof/>
                <w:webHidden/>
              </w:rPr>
              <w:fldChar w:fldCharType="separate"/>
            </w:r>
            <w:r>
              <w:rPr>
                <w:noProof/>
                <w:webHidden/>
              </w:rPr>
              <w:t>9</w:t>
            </w:r>
            <w:r>
              <w:rPr>
                <w:noProof/>
                <w:webHidden/>
              </w:rPr>
              <w:fldChar w:fldCharType="end"/>
            </w:r>
          </w:hyperlink>
        </w:p>
        <w:p w14:paraId="4F144E2F" w14:textId="703FBBE0" w:rsidR="00C75026" w:rsidRDefault="00C75026">
          <w:pPr>
            <w:pStyle w:val="TOC2"/>
            <w:tabs>
              <w:tab w:val="right" w:leader="dot" w:pos="9016"/>
            </w:tabs>
            <w:rPr>
              <w:rFonts w:asciiTheme="minorHAnsi" w:eastAsiaTheme="minorEastAsia" w:hAnsiTheme="minorHAnsi"/>
              <w:noProof/>
              <w:sz w:val="24"/>
              <w:lang w:eastAsia="en-GB"/>
            </w:rPr>
          </w:pPr>
          <w:hyperlink w:anchor="_Toc243249809" w:history="1">
            <w:r w:rsidRPr="00AB6393">
              <w:rPr>
                <w:rStyle w:val="Hyperlink"/>
                <w:noProof/>
              </w:rPr>
              <w:t>5. References</w:t>
            </w:r>
            <w:r>
              <w:rPr>
                <w:noProof/>
                <w:webHidden/>
              </w:rPr>
              <w:tab/>
            </w:r>
            <w:r>
              <w:rPr>
                <w:noProof/>
                <w:webHidden/>
              </w:rPr>
              <w:fldChar w:fldCharType="begin"/>
            </w:r>
            <w:r>
              <w:rPr>
                <w:noProof/>
                <w:webHidden/>
              </w:rPr>
              <w:instrText xml:space="preserve"> PAGEREF _Toc243249809 \h </w:instrText>
            </w:r>
            <w:r>
              <w:rPr>
                <w:noProof/>
                <w:webHidden/>
              </w:rPr>
            </w:r>
            <w:r>
              <w:rPr>
                <w:noProof/>
                <w:webHidden/>
              </w:rPr>
              <w:fldChar w:fldCharType="separate"/>
            </w:r>
            <w:r>
              <w:rPr>
                <w:noProof/>
                <w:webHidden/>
              </w:rPr>
              <w:t>10</w:t>
            </w:r>
            <w:r>
              <w:rPr>
                <w:noProof/>
                <w:webHidden/>
              </w:rPr>
              <w:fldChar w:fldCharType="end"/>
            </w:r>
          </w:hyperlink>
        </w:p>
        <w:p w14:paraId="5DE48CE3" w14:textId="5908355E" w:rsidR="007F6584" w:rsidRPr="00B71B15" w:rsidRDefault="007F6584" w:rsidP="00F949B7">
          <w:r>
            <w:rPr>
              <w:b/>
              <w:bCs/>
              <w:noProof/>
            </w:rPr>
            <w:fldChar w:fldCharType="end"/>
          </w:r>
        </w:p>
      </w:sdtContent>
    </w:sdt>
    <w:p w14:paraId="0464386B" w14:textId="77777777" w:rsidR="008E2180" w:rsidRDefault="008E2180" w:rsidP="00F949B7">
      <w:pPr>
        <w:pStyle w:val="Heading2"/>
        <w:jc w:val="center"/>
        <w:rPr>
          <w:rFonts w:cs="Arial"/>
        </w:rPr>
      </w:pPr>
    </w:p>
    <w:p w14:paraId="1AD3C7E8" w14:textId="77777777" w:rsidR="00F63354" w:rsidRDefault="00F63354" w:rsidP="00F949B7"/>
    <w:p w14:paraId="0CC2D91D" w14:textId="77777777" w:rsidR="00F63354" w:rsidRDefault="00F63354" w:rsidP="00F949B7"/>
    <w:p w14:paraId="483CAA87" w14:textId="77777777" w:rsidR="009F256D" w:rsidRDefault="009F256D" w:rsidP="00F949B7"/>
    <w:p w14:paraId="394E4DC1" w14:textId="77777777" w:rsidR="009F256D" w:rsidRDefault="009F256D" w:rsidP="00F949B7"/>
    <w:p w14:paraId="6AE15FFA" w14:textId="77777777" w:rsidR="009F256D" w:rsidRDefault="009F256D" w:rsidP="00F949B7"/>
    <w:p w14:paraId="271B4169" w14:textId="77777777" w:rsidR="009F256D" w:rsidRDefault="009F256D" w:rsidP="00F949B7"/>
    <w:p w14:paraId="03E7ECCD" w14:textId="77777777" w:rsidR="009F256D" w:rsidRDefault="009F256D" w:rsidP="00F949B7"/>
    <w:p w14:paraId="4BB7353B" w14:textId="77777777" w:rsidR="009F256D" w:rsidRDefault="009F256D" w:rsidP="00F949B7"/>
    <w:p w14:paraId="6BCAA6FE" w14:textId="77777777" w:rsidR="009F256D" w:rsidRDefault="009F256D" w:rsidP="00F949B7"/>
    <w:p w14:paraId="3DC89600" w14:textId="77777777" w:rsidR="00F63354" w:rsidRPr="00F63354" w:rsidRDefault="00F63354" w:rsidP="00F949B7"/>
    <w:p w14:paraId="00BB0C7A" w14:textId="19A5DF63" w:rsidR="00B71B15" w:rsidRPr="00C80196" w:rsidRDefault="006D2C88" w:rsidP="00521D67">
      <w:pPr>
        <w:pStyle w:val="Heading2"/>
        <w:jc w:val="center"/>
        <w:rPr>
          <w:rFonts w:cs="Arial"/>
        </w:rPr>
      </w:pPr>
      <w:bookmarkStart w:id="0" w:name="_Toc243249800"/>
      <w:r w:rsidRPr="006D2C88">
        <w:rPr>
          <w:rFonts w:cs="Arial"/>
        </w:rPr>
        <w:lastRenderedPageBreak/>
        <w:t>Critical Evaluation of Limbic Access</w:t>
      </w:r>
      <w:r w:rsidR="00637EB8">
        <w:rPr>
          <w:rFonts w:cs="Arial"/>
        </w:rPr>
        <w:t>:</w:t>
      </w:r>
      <w:r w:rsidRPr="006D2C88">
        <w:rPr>
          <w:rFonts w:cs="Arial"/>
        </w:rPr>
        <w:t xml:space="preserve"> AI Mental-Health Referral and Triage</w:t>
      </w:r>
      <w:bookmarkEnd w:id="0"/>
    </w:p>
    <w:p w14:paraId="3DCEED7A" w14:textId="77777777" w:rsidR="00521D67" w:rsidRDefault="00521D67" w:rsidP="00F949B7">
      <w:pPr>
        <w:pStyle w:val="Heading2"/>
        <w:rPr>
          <w:rFonts w:cs="Arial"/>
        </w:rPr>
      </w:pPr>
    </w:p>
    <w:p w14:paraId="3892BE58" w14:textId="77777777" w:rsidR="007E6500" w:rsidRDefault="007E6500">
      <w:pPr>
        <w:rPr>
          <w:rFonts w:eastAsiaTheme="majorEastAsia" w:cs="Arial"/>
          <w:b/>
          <w:color w:val="000000" w:themeColor="text1"/>
          <w:sz w:val="36"/>
          <w:szCs w:val="32"/>
        </w:rPr>
      </w:pPr>
      <w:r>
        <w:rPr>
          <w:rFonts w:cs="Arial"/>
        </w:rPr>
        <w:br w:type="page"/>
      </w:r>
    </w:p>
    <w:p w14:paraId="424D80EF" w14:textId="77777777" w:rsidR="0010333B" w:rsidRDefault="007F31C4" w:rsidP="007E6500">
      <w:pPr>
        <w:pStyle w:val="Heading2"/>
        <w:rPr>
          <w:rFonts w:cs="Arial"/>
        </w:rPr>
      </w:pPr>
      <w:bookmarkStart w:id="1" w:name="_Toc243249801"/>
      <w:r w:rsidRPr="00C80196">
        <w:rPr>
          <w:rFonts w:cs="Arial"/>
        </w:rPr>
        <w:lastRenderedPageBreak/>
        <w:t>1</w:t>
      </w:r>
      <w:r w:rsidR="00521D67">
        <w:rPr>
          <w:rFonts w:cs="Arial"/>
        </w:rPr>
        <w:t>.</w:t>
      </w:r>
      <w:r w:rsidRPr="00C80196">
        <w:rPr>
          <w:rFonts w:cs="Arial"/>
        </w:rPr>
        <w:t xml:space="preserve"> Introduction</w:t>
      </w:r>
      <w:bookmarkEnd w:id="1"/>
    </w:p>
    <w:p w14:paraId="53D3FD7F" w14:textId="4DEF49F5" w:rsidR="00F96A87" w:rsidRPr="00C83119" w:rsidRDefault="001715E2" w:rsidP="00954CB3">
      <w:pPr>
        <w:rPr>
          <w:rFonts w:cs="Arial"/>
          <w:szCs w:val="22"/>
        </w:rPr>
      </w:pPr>
      <w:r w:rsidRPr="00C83119">
        <w:rPr>
          <w:rFonts w:cs="Arial"/>
          <w:szCs w:val="22"/>
        </w:rPr>
        <w:t>Limbic Access</w:t>
      </w:r>
      <w:r w:rsidR="00893B00" w:rsidRPr="00C83119">
        <w:rPr>
          <w:rFonts w:cs="Arial"/>
          <w:szCs w:val="22"/>
        </w:rPr>
        <w:t xml:space="preserve"> (LA)</w:t>
      </w:r>
      <w:r w:rsidRPr="00C83119">
        <w:rPr>
          <w:rFonts w:cs="Arial"/>
          <w:szCs w:val="22"/>
        </w:rPr>
        <w:t xml:space="preserve"> is an </w:t>
      </w:r>
      <w:r w:rsidRPr="00C83119">
        <w:rPr>
          <w:rFonts w:eastAsia="Calibri" w:cs="Arial"/>
          <w:szCs w:val="22"/>
        </w:rPr>
        <w:t>artificial intelligence (AI)</w:t>
      </w:r>
      <w:r w:rsidRPr="00C83119">
        <w:rPr>
          <w:rFonts w:cs="Arial"/>
          <w:szCs w:val="22"/>
        </w:rPr>
        <w:t xml:space="preserve">-augmented chatbot that helps patients self-refer and complete preliminary screening for NHS mental health services (Health Research Authority, 2022). At Essex Partnership University NHS Foundation Trust, the </w:t>
      </w:r>
      <w:r w:rsidR="00893B00" w:rsidRPr="00C83119">
        <w:rPr>
          <w:rFonts w:cs="Arial"/>
          <w:szCs w:val="22"/>
        </w:rPr>
        <w:t>chatbot</w:t>
      </w:r>
      <w:r w:rsidRPr="00C83119">
        <w:rPr>
          <w:rFonts w:cs="Arial"/>
          <w:szCs w:val="22"/>
        </w:rPr>
        <w:t xml:space="preserve"> generated 4,117 additional referrals following its local launch in </w:t>
      </w:r>
      <w:r w:rsidRPr="00C83119">
        <w:rPr>
          <w:rFonts w:cs="Arial"/>
          <w:color w:val="000000" w:themeColor="text1"/>
          <w:szCs w:val="22"/>
        </w:rPr>
        <w:t>December 2022</w:t>
      </w:r>
      <w:r w:rsidRPr="00C83119">
        <w:rPr>
          <w:rFonts w:cs="Arial"/>
          <w:color w:val="EE0000"/>
          <w:szCs w:val="22"/>
        </w:rPr>
        <w:t xml:space="preserve"> </w:t>
      </w:r>
      <w:r w:rsidRPr="00C83119">
        <w:rPr>
          <w:rFonts w:cs="Arial"/>
          <w:szCs w:val="22"/>
        </w:rPr>
        <w:t>(Essex Partnership University NHS Foundation Trust, 2024).</w:t>
      </w:r>
      <w:r w:rsidR="00E9068D" w:rsidRPr="00C83119">
        <w:rPr>
          <w:rFonts w:cs="Arial"/>
          <w:szCs w:val="22"/>
        </w:rPr>
        <w:t xml:space="preserve"> </w:t>
      </w:r>
      <w:r w:rsidR="00BB75E7" w:rsidRPr="00BB75E7">
        <w:rPr>
          <w:rFonts w:cs="Arial"/>
          <w:szCs w:val="22"/>
        </w:rPr>
        <w:t>These Trust figures warrant caution: they have not been independently reviewed, and increased referrals signal rising demand, not faster assessments or treatment.</w:t>
      </w:r>
      <w:r w:rsidR="00D55D60" w:rsidRPr="00C83119">
        <w:rPr>
          <w:rFonts w:cs="Arial"/>
          <w:szCs w:val="22"/>
        </w:rPr>
        <w:t xml:space="preserve"> </w:t>
      </w:r>
      <w:r w:rsidR="00893B00" w:rsidRPr="00C83119">
        <w:rPr>
          <w:rFonts w:cs="Arial"/>
          <w:szCs w:val="22"/>
        </w:rPr>
        <w:t>LA</w:t>
      </w:r>
      <w:r w:rsidR="00754659" w:rsidRPr="00C83119">
        <w:rPr>
          <w:rFonts w:cs="Arial"/>
          <w:szCs w:val="22"/>
        </w:rPr>
        <w:t xml:space="preserve"> became the first AI mental-health chatbot to achieve Class IIa UKCA medical-device status, classifying it as a regulated device rather than merely an administrative tool (Surrey and Borders Partnership NHS Foundation Trust, 2023).</w:t>
      </w:r>
      <w:r w:rsidRPr="00C83119">
        <w:rPr>
          <w:rFonts w:cs="Arial"/>
          <w:szCs w:val="22"/>
        </w:rPr>
        <w:t xml:space="preserve"> However, </w:t>
      </w:r>
      <w:r w:rsidR="00954CB3" w:rsidRPr="00C83119">
        <w:rPr>
          <w:rFonts w:cs="Arial"/>
          <w:szCs w:val="22"/>
        </w:rPr>
        <w:t>the National Institute for Health and Care Excellence (NICE) (2025) permits LA during a three-year evidence-generation period, subject to conditions</w:t>
      </w:r>
      <w:r w:rsidR="001E2BE8" w:rsidRPr="00C83119">
        <w:rPr>
          <w:rFonts w:cs="Arial"/>
          <w:szCs w:val="22"/>
        </w:rPr>
        <w:t>,</w:t>
      </w:r>
      <w:r w:rsidR="001E2BE8" w:rsidRPr="00C83119">
        <w:rPr>
          <w:rFonts w:eastAsia="Calibri" w:cs="Arial"/>
          <w:szCs w:val="22"/>
        </w:rPr>
        <w:t xml:space="preserve"> because evidence of its clinical impact is limited. </w:t>
      </w:r>
      <w:r w:rsidRPr="00C83119">
        <w:rPr>
          <w:rFonts w:cs="Arial"/>
          <w:szCs w:val="22"/>
        </w:rPr>
        <w:t>This matters given the scale of demand: in 2024–25, NHS Talking Therapies</w:t>
      </w:r>
      <w:r w:rsidR="00893B00" w:rsidRPr="00C83119">
        <w:rPr>
          <w:rFonts w:cs="Arial"/>
          <w:szCs w:val="22"/>
        </w:rPr>
        <w:t xml:space="preserve"> (</w:t>
      </w:r>
      <w:r w:rsidR="00F8280A">
        <w:rPr>
          <w:rFonts w:cs="Arial"/>
          <w:szCs w:val="22"/>
        </w:rPr>
        <w:t xml:space="preserve">NHS </w:t>
      </w:r>
      <w:r w:rsidR="00893B00" w:rsidRPr="00C83119">
        <w:rPr>
          <w:rFonts w:cs="Arial"/>
          <w:szCs w:val="22"/>
        </w:rPr>
        <w:t>TT)</w:t>
      </w:r>
      <w:r w:rsidRPr="00C83119">
        <w:rPr>
          <w:rFonts w:cs="Arial"/>
          <w:szCs w:val="22"/>
        </w:rPr>
        <w:t xml:space="preserve"> processed 1.81 million referrals, with 91.6% accessing services within six weeks and 50.5% achieving recovery (NHS England, 2025), figures underscoring the need for efficient service access and delivery.</w:t>
      </w:r>
      <w:r w:rsidR="00F96A87" w:rsidRPr="00C83119">
        <w:rPr>
          <w:rFonts w:cs="Arial"/>
          <w:szCs w:val="22"/>
        </w:rPr>
        <w:t xml:space="preserve"> This report critically evaluates LA across two domains: service delivery and patient/service user experience. It weighs benefits against limitations using UK-based evidence and policy, including the What Good Looks Like framework </w:t>
      </w:r>
      <w:r w:rsidR="00824E2E" w:rsidRPr="00C83119">
        <w:rPr>
          <w:rFonts w:cs="Arial"/>
          <w:szCs w:val="22"/>
        </w:rPr>
        <w:t>(Department of Health and Social Care, 2023)</w:t>
      </w:r>
      <w:r w:rsidR="00F96A87" w:rsidRPr="00C83119">
        <w:rPr>
          <w:rFonts w:cs="Arial"/>
          <w:szCs w:val="22"/>
        </w:rPr>
        <w:t xml:space="preserve">, </w:t>
      </w:r>
      <w:r w:rsidR="00E92051" w:rsidRPr="00E92051">
        <w:rPr>
          <w:rFonts w:cs="Arial"/>
          <w:szCs w:val="22"/>
        </w:rPr>
        <w:t>NICE’s</w:t>
      </w:r>
      <w:r w:rsidR="00F96A87" w:rsidRPr="00C83119">
        <w:rPr>
          <w:rFonts w:cs="Arial"/>
          <w:szCs w:val="22"/>
        </w:rPr>
        <w:t xml:space="preserve"> early value assessment and </w:t>
      </w:r>
      <w:r w:rsidR="00282D06" w:rsidRPr="00C83119">
        <w:rPr>
          <w:rFonts w:cs="Arial"/>
          <w:szCs w:val="22"/>
        </w:rPr>
        <w:t xml:space="preserve">the </w:t>
      </w:r>
      <w:r w:rsidR="00F96A87" w:rsidRPr="00C83119">
        <w:rPr>
          <w:rFonts w:cs="Arial"/>
          <w:szCs w:val="22"/>
        </w:rPr>
        <w:t xml:space="preserve">UK </w:t>
      </w:r>
      <w:r w:rsidR="004F73B4" w:rsidRPr="00C83119">
        <w:rPr>
          <w:rFonts w:cs="Arial"/>
          <w:szCs w:val="22"/>
        </w:rPr>
        <w:t>General Data Protection Regulation (</w:t>
      </w:r>
      <w:r w:rsidR="00F96A87" w:rsidRPr="00C83119">
        <w:rPr>
          <w:rFonts w:cs="Arial"/>
          <w:szCs w:val="22"/>
        </w:rPr>
        <w:t>GDPR</w:t>
      </w:r>
      <w:r w:rsidR="004F73B4" w:rsidRPr="00C83119">
        <w:rPr>
          <w:rFonts w:cs="Arial"/>
          <w:szCs w:val="22"/>
        </w:rPr>
        <w:t>)</w:t>
      </w:r>
      <w:r w:rsidR="00F96A87" w:rsidRPr="00C83119">
        <w:rPr>
          <w:rFonts w:cs="Arial"/>
          <w:szCs w:val="22"/>
        </w:rPr>
        <w:t>, and ends with recommendations.</w:t>
      </w:r>
    </w:p>
    <w:p w14:paraId="08BE146E" w14:textId="7F0CBBEA" w:rsidR="00C84DD1" w:rsidRDefault="00C84DD1" w:rsidP="00A06167"/>
    <w:p w14:paraId="406B9F36" w14:textId="77777777" w:rsidR="00EF5190" w:rsidRPr="00C84DD1" w:rsidRDefault="00EF5190" w:rsidP="00A06167">
      <w:pPr>
        <w:rPr>
          <w:color w:val="000000" w:themeColor="text1"/>
        </w:rPr>
      </w:pPr>
    </w:p>
    <w:p w14:paraId="3E39CE4C" w14:textId="2B735333" w:rsidR="00AC218F" w:rsidRPr="00AC218F" w:rsidRDefault="00AC218F" w:rsidP="00AC218F"/>
    <w:p w14:paraId="42D3C9E6" w14:textId="4AAC1492" w:rsidR="00452C80" w:rsidRDefault="00452C80" w:rsidP="00452C80"/>
    <w:p w14:paraId="39205A31" w14:textId="77777777" w:rsidR="00AC218F" w:rsidRDefault="00AC218F" w:rsidP="00452C80"/>
    <w:p w14:paraId="40AC714D" w14:textId="3602B919" w:rsidR="00CB5BF7" w:rsidRDefault="00CB5BF7" w:rsidP="0019308C">
      <w:pPr>
        <w:rPr>
          <w:rFonts w:cs="Arial"/>
          <w:szCs w:val="22"/>
        </w:rPr>
      </w:pPr>
    </w:p>
    <w:p w14:paraId="77164EC5" w14:textId="19CDBD20" w:rsidR="00DF6882" w:rsidRDefault="00F519EA" w:rsidP="0019308C">
      <w:pPr>
        <w:rPr>
          <w:rFonts w:cs="Arial"/>
          <w:szCs w:val="22"/>
        </w:rPr>
      </w:pPr>
      <w:r>
        <w:rPr>
          <w:rFonts w:cs="Arial"/>
          <w:szCs w:val="22"/>
        </w:rPr>
        <w:t xml:space="preserve"> </w:t>
      </w:r>
    </w:p>
    <w:p w14:paraId="04DD3D62" w14:textId="77777777" w:rsidR="00DF6882" w:rsidRDefault="00DF6882">
      <w:pPr>
        <w:rPr>
          <w:rFonts w:cs="Arial"/>
          <w:szCs w:val="22"/>
        </w:rPr>
      </w:pPr>
      <w:r>
        <w:rPr>
          <w:rFonts w:cs="Arial"/>
          <w:szCs w:val="22"/>
        </w:rPr>
        <w:br w:type="page"/>
      </w:r>
    </w:p>
    <w:p w14:paraId="68798AC6" w14:textId="33056BC4" w:rsidR="00F519EA" w:rsidRDefault="00171504" w:rsidP="00687D62">
      <w:pPr>
        <w:pStyle w:val="Heading2"/>
        <w:rPr>
          <w:rFonts w:asciiTheme="minorBidi" w:hAnsiTheme="minorBidi"/>
          <w:bCs/>
          <w:color w:val="7030A0"/>
        </w:rPr>
      </w:pPr>
      <w:bookmarkStart w:id="2" w:name="_Toc243249802"/>
      <w:r>
        <w:lastRenderedPageBreak/>
        <w:t xml:space="preserve">2. </w:t>
      </w:r>
      <w:r w:rsidR="00687D62">
        <w:t>Service Delivery</w:t>
      </w:r>
      <w:bookmarkEnd w:id="2"/>
    </w:p>
    <w:p w14:paraId="6A1CD1ED" w14:textId="776F97FB" w:rsidR="00171504" w:rsidRDefault="00171504" w:rsidP="00171504">
      <w:pPr>
        <w:pStyle w:val="Heading3"/>
        <w:rPr>
          <w:color w:val="EE0000"/>
        </w:rPr>
      </w:pPr>
      <w:bookmarkStart w:id="3" w:name="_Toc243249803"/>
      <w:r w:rsidRPr="00043B51">
        <w:rPr>
          <w:color w:val="000000" w:themeColor="text1"/>
        </w:rPr>
        <w:t>2.1 Workflow, communication and efficiency</w:t>
      </w:r>
      <w:bookmarkEnd w:id="3"/>
    </w:p>
    <w:p w14:paraId="112D724B" w14:textId="53A1B509" w:rsidR="002B7621" w:rsidRPr="00F30F97" w:rsidRDefault="002B7621" w:rsidP="00BB4191">
      <w:pPr>
        <w:rPr>
          <w:szCs w:val="22"/>
        </w:rPr>
      </w:pPr>
      <w:r w:rsidRPr="00B90957">
        <w:rPr>
          <w:rFonts w:eastAsia="Calibri" w:cs="Arial"/>
          <w:szCs w:val="22"/>
        </w:rPr>
        <w:t xml:space="preserve">Before digital front-door technologies, NHS TT referral procedures and the information collected varied between providers, so clinicians sometimes gathered additional information during appointments, adding to workload (NICE, 2025). </w:t>
      </w:r>
      <w:r w:rsidR="00F30F97" w:rsidRPr="004070A4">
        <w:rPr>
          <w:szCs w:val="22"/>
        </w:rPr>
        <w:t>Digital front-door chatbots such as LA can gather demographic and eligibility details and standardised measures, namely the Patient Health Questionnaire-9 (PHQ-9), the Generalized Anxiety Disorder-7 scale (GAD-7) and the Work and Social Adjustment Scale (WSAS), before assessment, aligning with NHS TT assessment and outcome-monitoring practice (NHS England, 2024b; NICE, 2025).</w:t>
      </w:r>
      <w:r w:rsidR="00F30F97">
        <w:rPr>
          <w:szCs w:val="22"/>
        </w:rPr>
        <w:t xml:space="preserve"> </w:t>
      </w:r>
      <w:r w:rsidR="00F43D72" w:rsidRPr="00B90957">
        <w:rPr>
          <w:rFonts w:cs="Arial"/>
          <w:szCs w:val="22"/>
        </w:rPr>
        <w:t xml:space="preserve">An NHS AI and Digital Regulations Service case study describes an NHS mental health service that adopted an AI chatbot to tackle staff shortages and high referral volumes; the chatbot collected preliminary information before appointments, allowing clinicians to focus on clinical assessment. Importantly, it supported administrative tasks without making independent clinical decisions </w:t>
      </w:r>
      <w:r w:rsidR="00824171" w:rsidRPr="00B90957">
        <w:rPr>
          <w:rFonts w:cs="Arial"/>
          <w:color w:val="000000" w:themeColor="text1"/>
          <w:szCs w:val="22"/>
        </w:rPr>
        <w:t>(AI and Digital Regulations Service for health and social care, 2024)</w:t>
      </w:r>
      <w:r w:rsidR="00F43D72" w:rsidRPr="00B90957">
        <w:rPr>
          <w:rFonts w:cs="Arial"/>
          <w:szCs w:val="22"/>
        </w:rPr>
        <w:t xml:space="preserve">. </w:t>
      </w:r>
      <w:r w:rsidR="005A23E9" w:rsidRPr="0077334B">
        <w:rPr>
          <w:szCs w:val="22"/>
        </w:rPr>
        <w:t>This limits one clinical-safety concern</w:t>
      </w:r>
      <w:r w:rsidRPr="00B90957">
        <w:rPr>
          <w:rFonts w:eastAsia="Calibri" w:cs="Arial"/>
          <w:szCs w:val="22"/>
        </w:rPr>
        <w:t>, but the case study names neither developer nor trust and reports no evaluation, so it shows intended use, not effectiveness.</w:t>
      </w:r>
      <w:r w:rsidR="00EF634E" w:rsidRPr="00B90957">
        <w:rPr>
          <w:rFonts w:cs="Arial"/>
          <w:szCs w:val="22"/>
        </w:rPr>
        <w:t xml:space="preserve"> </w:t>
      </w:r>
    </w:p>
    <w:p w14:paraId="50CEB650" w14:textId="70DDEA68" w:rsidR="00813832" w:rsidRPr="00B90957" w:rsidRDefault="00813832" w:rsidP="006A2C51">
      <w:pPr>
        <w:spacing w:after="200"/>
        <w:rPr>
          <w:rFonts w:eastAsia="Calibri" w:cs="Arial"/>
          <w:b/>
          <w:bCs/>
          <w:i/>
          <w:iCs/>
          <w:szCs w:val="22"/>
        </w:rPr>
      </w:pPr>
      <w:proofErr w:type="spellStart"/>
      <w:r w:rsidRPr="00B90957">
        <w:rPr>
          <w:rFonts w:eastAsia="Calibri" w:cs="Arial"/>
          <w:szCs w:val="22"/>
        </w:rPr>
        <w:t>Rollwage</w:t>
      </w:r>
      <w:proofErr w:type="spellEnd"/>
      <w:r w:rsidRPr="00B90957">
        <w:rPr>
          <w:rFonts w:eastAsia="Calibri" w:cs="Arial"/>
          <w:szCs w:val="22"/>
        </w:rPr>
        <w:t xml:space="preserve"> </w:t>
      </w:r>
      <w:r w:rsidRPr="00B90957">
        <w:rPr>
          <w:rFonts w:eastAsia="Calibri" w:cs="Arial"/>
          <w:i/>
          <w:iCs/>
          <w:szCs w:val="22"/>
        </w:rPr>
        <w:t>et al</w:t>
      </w:r>
      <w:r w:rsidRPr="00B90957">
        <w:rPr>
          <w:rFonts w:eastAsia="Calibri" w:cs="Arial"/>
          <w:szCs w:val="22"/>
        </w:rPr>
        <w:t xml:space="preserve">. (2023) studied 64,862 NHS TT patients. Assessments following chatbot referrals averaged 41.6 minutes, compared with 54.4 minutes for other routes, while drop-out rates fell from 26.7% to 21.9%. Better-prepared assessments and easier engagement may explain these differences, but the observational design cannot establish that LA caused them; most authors are also Limbic employees and shareholders. Trust reports </w:t>
      </w:r>
      <w:r w:rsidR="00B954C4">
        <w:rPr>
          <w:rFonts w:eastAsia="Calibri" w:cs="Arial"/>
          <w:szCs w:val="22"/>
        </w:rPr>
        <w:t>point the same way</w:t>
      </w:r>
      <w:r w:rsidRPr="00B90957">
        <w:rPr>
          <w:rFonts w:eastAsia="Calibri" w:cs="Arial"/>
          <w:szCs w:val="22"/>
        </w:rPr>
        <w:t xml:space="preserve">: Mind Matters Surrey saved about 15 minutes per referral, or roughly 2,000 staff hours (Surrey and Borders Partnership NHS Foundation Trust, 2023), while </w:t>
      </w:r>
      <w:r w:rsidR="00EE0C14" w:rsidRPr="00EE0C14">
        <w:rPr>
          <w:rFonts w:eastAsia="Calibri" w:cs="Arial"/>
          <w:szCs w:val="22"/>
        </w:rPr>
        <w:t>Essex Partnership University NHS Foundation Trust (2024) reported the 4,117 additional referrals noted earlier, but extra referrals indicate demand, not necessarily better access or outcomes.</w:t>
      </w:r>
      <w:r w:rsidR="004966A2" w:rsidRPr="00B90957">
        <w:rPr>
          <w:rFonts w:cs="Arial"/>
          <w:szCs w:val="22"/>
        </w:rPr>
        <w:t xml:space="preserve"> Time saved improves care only if services reinvest it in higher-quality assessments rather than reducing face-to-face contact, as NICE intends (NICE, 2025), so services should record how they use the time released.</w:t>
      </w:r>
    </w:p>
    <w:p w14:paraId="37B08C94" w14:textId="68C49A2C" w:rsidR="00BB4191" w:rsidRPr="00ED2321" w:rsidRDefault="004966A2" w:rsidP="004966A2">
      <w:pPr>
        <w:rPr>
          <w:rFonts w:cs="Arial"/>
          <w:szCs w:val="22"/>
        </w:rPr>
      </w:pPr>
      <w:r w:rsidRPr="00B90957">
        <w:rPr>
          <w:rFonts w:eastAsia="Calibri" w:cs="Arial"/>
          <w:szCs w:val="22"/>
        </w:rPr>
        <w:t xml:space="preserve">These </w:t>
      </w:r>
      <w:r w:rsidR="00457FB9">
        <w:rPr>
          <w:rFonts w:eastAsia="Calibri" w:cs="Arial"/>
          <w:szCs w:val="22"/>
        </w:rPr>
        <w:t>findings align with</w:t>
      </w:r>
      <w:r w:rsidR="00F6390E">
        <w:rPr>
          <w:rFonts w:eastAsia="Calibri" w:cs="Arial"/>
          <w:szCs w:val="22"/>
        </w:rPr>
        <w:t xml:space="preserve"> the</w:t>
      </w:r>
      <w:r w:rsidR="00457FB9">
        <w:rPr>
          <w:rFonts w:eastAsia="Calibri" w:cs="Arial"/>
          <w:szCs w:val="22"/>
        </w:rPr>
        <w:t xml:space="preserve"> </w:t>
      </w:r>
      <w:r w:rsidRPr="00B90957">
        <w:rPr>
          <w:rFonts w:eastAsia="Calibri" w:cs="Arial"/>
          <w:szCs w:val="22"/>
        </w:rPr>
        <w:t xml:space="preserve">What Good Looks Like framework’s emphasis on using digital tools to “empower people” and “improve care” (Department of Health and Social Care, 2023) and A Plan for Digital Health and Social Care’s emphasis on accessible services, digital skills and reliable infrastructure (Department of Health and Social Care and NHS England, 2022). However, policy ambition is not evidence of impact: neither document tests chatbot triage, so they justify direction, not LA’s effectiveness. The NHS Long Term Workforce Plan stresses </w:t>
      </w:r>
      <w:r w:rsidRPr="00B90957">
        <w:rPr>
          <w:rFonts w:eastAsia="Calibri" w:cs="Arial"/>
          <w:szCs w:val="22"/>
        </w:rPr>
        <w:lastRenderedPageBreak/>
        <w:t>that technology requires changes to workflows, training and upskilling, and addresses the risk of de-skilling</w:t>
      </w:r>
      <w:r w:rsidR="00E91B3F">
        <w:rPr>
          <w:rFonts w:eastAsia="Calibri" w:cs="Arial"/>
          <w:szCs w:val="22"/>
        </w:rPr>
        <w:t xml:space="preserve"> </w:t>
      </w:r>
      <w:r w:rsidR="00E91B3F" w:rsidRPr="00B90957">
        <w:rPr>
          <w:rFonts w:eastAsia="Calibri" w:cs="Arial"/>
          <w:szCs w:val="22"/>
        </w:rPr>
        <w:t>(NHS England, 2023)</w:t>
      </w:r>
      <w:r w:rsidRPr="00B90957">
        <w:rPr>
          <w:rFonts w:eastAsia="Calibri" w:cs="Arial"/>
          <w:szCs w:val="22"/>
        </w:rPr>
        <w:t>. LA’s benefits therefore depend on workforce preparation, not the tool alone.</w:t>
      </w:r>
    </w:p>
    <w:p w14:paraId="08235ADA" w14:textId="1DF9F828" w:rsidR="00DB6015" w:rsidRPr="00DB6015" w:rsidRDefault="00DB6015" w:rsidP="00DB6015">
      <w:pPr>
        <w:pStyle w:val="Heading3"/>
      </w:pPr>
      <w:bookmarkStart w:id="4" w:name="_Toc243249804"/>
      <w:r w:rsidRPr="00DB6015">
        <w:t>2.2 Short-term challenges: cost, integration, workforce and evidence maturity</w:t>
      </w:r>
      <w:bookmarkEnd w:id="4"/>
    </w:p>
    <w:p w14:paraId="58A7C8BC" w14:textId="4688BD45" w:rsidR="00CE64E0" w:rsidRDefault="000D4379" w:rsidP="004E3DF5">
      <w:pPr>
        <w:rPr>
          <w:rFonts w:eastAsia="Calibri" w:cs="Arial"/>
          <w:szCs w:val="22"/>
        </w:rPr>
      </w:pPr>
      <w:r w:rsidRPr="000D4379">
        <w:rPr>
          <w:rFonts w:eastAsia="Calibri" w:cs="Arial"/>
          <w:color w:val="000000" w:themeColor="text1"/>
          <w:szCs w:val="22"/>
        </w:rPr>
        <w:t>Surrey and Borders’ UKCA-reported 12.7-minute (23.5%) saving</w:t>
      </w:r>
      <w:r w:rsidR="00812DED" w:rsidRPr="00812DED">
        <w:rPr>
          <w:rFonts w:eastAsia="Calibri" w:cs="Arial"/>
          <w:szCs w:val="22"/>
        </w:rPr>
        <w:t xml:space="preserve"> closely mirrors </w:t>
      </w:r>
      <w:proofErr w:type="spellStart"/>
      <w:r w:rsidR="00812DED" w:rsidRPr="00812DED">
        <w:rPr>
          <w:rFonts w:eastAsia="Calibri" w:cs="Arial"/>
          <w:szCs w:val="22"/>
        </w:rPr>
        <w:t>Rollwage</w:t>
      </w:r>
      <w:proofErr w:type="spellEnd"/>
      <w:r w:rsidR="00812DED" w:rsidRPr="00812DED">
        <w:rPr>
          <w:rFonts w:eastAsia="Calibri" w:cs="Arial"/>
          <w:szCs w:val="22"/>
        </w:rPr>
        <w:t xml:space="preserve"> </w:t>
      </w:r>
      <w:r w:rsidR="00812DED" w:rsidRPr="00812DED">
        <w:rPr>
          <w:rFonts w:eastAsia="Calibri" w:cs="Arial"/>
          <w:i/>
          <w:iCs/>
          <w:szCs w:val="22"/>
        </w:rPr>
        <w:t>et al</w:t>
      </w:r>
      <w:r w:rsidR="00812DED" w:rsidRPr="00812DED">
        <w:rPr>
          <w:rFonts w:eastAsia="Calibri" w:cs="Arial"/>
          <w:szCs w:val="22"/>
        </w:rPr>
        <w:t>.’s (2023) finding, with similar-scale evidence (60,000+ users; 64,862 patients), suggesting overlapping data</w:t>
      </w:r>
      <w:r>
        <w:rPr>
          <w:rFonts w:eastAsia="Calibri" w:cs="Arial"/>
          <w:szCs w:val="22"/>
        </w:rPr>
        <w:t xml:space="preserve"> rather than</w:t>
      </w:r>
      <w:r w:rsidR="00812DED" w:rsidRPr="00812DED">
        <w:rPr>
          <w:rFonts w:eastAsia="Calibri" w:cs="Arial"/>
          <w:szCs w:val="22"/>
        </w:rPr>
        <w:t xml:space="preserve"> independent confirmation (</w:t>
      </w:r>
      <w:proofErr w:type="spellStart"/>
      <w:r w:rsidR="00812DED" w:rsidRPr="00812DED">
        <w:rPr>
          <w:rFonts w:eastAsia="Calibri" w:cs="Arial"/>
          <w:szCs w:val="22"/>
        </w:rPr>
        <w:t>Rollwage</w:t>
      </w:r>
      <w:proofErr w:type="spellEnd"/>
      <w:r w:rsidR="00812DED" w:rsidRPr="00812DED">
        <w:rPr>
          <w:rFonts w:eastAsia="Calibri" w:cs="Arial"/>
          <w:szCs w:val="22"/>
        </w:rPr>
        <w:t xml:space="preserve"> </w:t>
      </w:r>
      <w:r w:rsidR="00812DED" w:rsidRPr="00812DED">
        <w:rPr>
          <w:rFonts w:eastAsia="Calibri" w:cs="Arial"/>
          <w:i/>
          <w:iCs/>
          <w:szCs w:val="22"/>
        </w:rPr>
        <w:t>et al</w:t>
      </w:r>
      <w:r w:rsidR="00812DED" w:rsidRPr="00812DED">
        <w:rPr>
          <w:rFonts w:eastAsia="Calibri" w:cs="Arial"/>
          <w:szCs w:val="22"/>
        </w:rPr>
        <w:t xml:space="preserve">., 2023; Surrey and Borders Partnership NHS Foundation Trust, 2023). </w:t>
      </w:r>
      <w:r w:rsidR="00812DED" w:rsidRPr="00BA2B84">
        <w:rPr>
          <w:rFonts w:eastAsia="Calibri" w:cs="Arial"/>
          <w:color w:val="000000" w:themeColor="text1"/>
          <w:szCs w:val="22"/>
        </w:rPr>
        <w:t>Minutes saved are a process measure and do not prove better assessments or outcomes; NICE (2025) notes limited evidence of clinical impact.</w:t>
      </w:r>
      <w:r w:rsidR="00812DED" w:rsidRPr="00812DED">
        <w:rPr>
          <w:rFonts w:eastAsia="Calibri" w:cs="Arial"/>
          <w:szCs w:val="22"/>
        </w:rPr>
        <w:t xml:space="preserve"> </w:t>
      </w:r>
      <w:r w:rsidR="00E92051" w:rsidRPr="00E92051">
        <w:rPr>
          <w:rFonts w:eastAsia="Calibri" w:cs="Arial"/>
          <w:szCs w:val="22"/>
        </w:rPr>
        <w:t>NICE’s</w:t>
      </w:r>
      <w:r w:rsidR="00812DED" w:rsidRPr="00812DED">
        <w:rPr>
          <w:rFonts w:eastAsia="Calibri" w:cs="Arial"/>
          <w:szCs w:val="22"/>
        </w:rPr>
        <w:t xml:space="preserve"> early value assessment exists because MedTech, “especially digital products,” often enters the NHS without clear usage guidance (Lovell </w:t>
      </w:r>
      <w:r w:rsidR="00812DED" w:rsidRPr="00812DED">
        <w:rPr>
          <w:rFonts w:eastAsia="Calibri" w:cs="Arial"/>
          <w:i/>
          <w:iCs/>
          <w:szCs w:val="22"/>
        </w:rPr>
        <w:t>et al</w:t>
      </w:r>
      <w:r w:rsidR="00812DED" w:rsidRPr="00812DED">
        <w:rPr>
          <w:rFonts w:eastAsia="Calibri" w:cs="Arial"/>
          <w:szCs w:val="22"/>
        </w:rPr>
        <w:t xml:space="preserve">., 2025). Conditional approval therefore signals that promising evidence does not yet justify unconditional adoption. </w:t>
      </w:r>
    </w:p>
    <w:p w14:paraId="2CD35917" w14:textId="77777777" w:rsidR="000B6227" w:rsidRDefault="00CE64E0" w:rsidP="004E3DF5">
      <w:pPr>
        <w:rPr>
          <w:rFonts w:eastAsia="Calibri" w:cs="Arial"/>
          <w:szCs w:val="22"/>
        </w:rPr>
      </w:pPr>
      <w:r w:rsidRPr="00CE64E0">
        <w:rPr>
          <w:rFonts w:eastAsia="Calibri" w:cs="Arial"/>
          <w:szCs w:val="22"/>
        </w:rPr>
        <w:t xml:space="preserve">LA has no fixed costs, but its per-referral licence fee falls from £6.59 to £4.20, including </w:t>
      </w:r>
      <w:r w:rsidR="00FE5B94">
        <w:rPr>
          <w:rFonts w:eastAsia="Calibri" w:cs="Arial"/>
          <w:szCs w:val="22"/>
        </w:rPr>
        <w:t>value-added</w:t>
      </w:r>
      <w:r w:rsidRPr="00CE64E0">
        <w:rPr>
          <w:rFonts w:eastAsia="Calibri" w:cs="Arial"/>
          <w:szCs w:val="22"/>
        </w:rPr>
        <w:t xml:space="preserve"> tax (VAT), with volume, paid from NHS funding</w:t>
      </w:r>
      <w:r>
        <w:rPr>
          <w:rFonts w:eastAsia="Calibri" w:cs="Arial"/>
          <w:szCs w:val="22"/>
        </w:rPr>
        <w:t xml:space="preserve"> </w:t>
      </w:r>
      <w:r w:rsidR="00AA3FE9" w:rsidRPr="00AA3FE9">
        <w:rPr>
          <w:rFonts w:eastAsia="Calibri" w:cs="Arial"/>
          <w:szCs w:val="22"/>
        </w:rPr>
        <w:t xml:space="preserve">(NICE, 2025). Catarino </w:t>
      </w:r>
      <w:r w:rsidR="00AA3FE9" w:rsidRPr="00AA3FE9">
        <w:rPr>
          <w:rFonts w:eastAsia="Calibri" w:cs="Arial"/>
          <w:i/>
          <w:iCs/>
          <w:szCs w:val="22"/>
        </w:rPr>
        <w:t>et al</w:t>
      </w:r>
      <w:r w:rsidR="00AA3FE9" w:rsidRPr="00AA3FE9">
        <w:rPr>
          <w:rFonts w:eastAsia="Calibri" w:cs="Arial"/>
          <w:szCs w:val="22"/>
        </w:rPr>
        <w:t xml:space="preserve">. (2023) modelled 27,540 patients and found that waiting times, treatment times and clinical effectiveness drive NHS TT costs. LA’s fee is therefore justified only if chatbot triage reduces waits or improves outcomes, yet these data came from a commercial provider of internet-delivered therapy, limiting </w:t>
      </w:r>
      <w:r w:rsidR="00E65D74">
        <w:rPr>
          <w:rFonts w:eastAsia="Calibri" w:cs="Arial"/>
          <w:szCs w:val="22"/>
        </w:rPr>
        <w:t>transferability</w:t>
      </w:r>
      <w:r w:rsidR="00AA3FE9" w:rsidRPr="00AA3FE9">
        <w:rPr>
          <w:rFonts w:eastAsia="Calibri" w:cs="Arial"/>
          <w:szCs w:val="22"/>
        </w:rPr>
        <w:t xml:space="preserve"> to LA. Perspectives differ: commissioners face little upfront risk, but expenditure rises with demand, so budget impact should be modelled before rollout. </w:t>
      </w:r>
    </w:p>
    <w:p w14:paraId="1E039297" w14:textId="39C745F3" w:rsidR="00AA3FE9" w:rsidRPr="00CE64E0" w:rsidRDefault="00AA3FE9" w:rsidP="004E3DF5">
      <w:pPr>
        <w:rPr>
          <w:rFonts w:eastAsia="Calibri" w:cs="Arial"/>
          <w:szCs w:val="22"/>
        </w:rPr>
      </w:pPr>
      <w:r w:rsidRPr="00AA3FE9">
        <w:rPr>
          <w:rFonts w:eastAsia="Calibri" w:cs="Arial"/>
          <w:szCs w:val="22"/>
        </w:rPr>
        <w:t xml:space="preserve">Berardi </w:t>
      </w:r>
      <w:r w:rsidRPr="00AA3FE9">
        <w:rPr>
          <w:rFonts w:eastAsia="Calibri" w:cs="Arial"/>
          <w:i/>
          <w:iCs/>
          <w:szCs w:val="22"/>
        </w:rPr>
        <w:t>et al</w:t>
      </w:r>
      <w:r w:rsidRPr="00AA3FE9">
        <w:rPr>
          <w:rFonts w:eastAsia="Calibri" w:cs="Arial"/>
          <w:szCs w:val="22"/>
        </w:rPr>
        <w:t>.’s (2024) review of 81 studies found poor interoperability, limited funding and inadequate staff training to be common barriers to digital mental health technology, and the King’s Fund cites outdated devices, unstable connectivity and siloed data (Mistry, 2025). Providers need suitable IT infrastructure and governance (NICE, 2025). Early-adopter results may therefore not transfer to less-resourced services, and funding that follows referral volume could widen regional inequalities, so commissioners should fund infrastructure alongside licences.</w:t>
      </w:r>
    </w:p>
    <w:p w14:paraId="4398F336" w14:textId="687A6980" w:rsidR="008F45F4" w:rsidRPr="008F45F4" w:rsidRDefault="006F66F2" w:rsidP="004E3DF5">
      <w:pPr>
        <w:spacing w:after="200"/>
        <w:rPr>
          <w:rFonts w:cs="Arial"/>
          <w:szCs w:val="22"/>
        </w:rPr>
      </w:pPr>
      <w:proofErr w:type="spellStart"/>
      <w:r w:rsidRPr="007B63FE">
        <w:t>UCLPartners</w:t>
      </w:r>
      <w:proofErr w:type="spellEnd"/>
      <w:r w:rsidRPr="007B63FE">
        <w:t xml:space="preserve"> (2026) found that AI, particularly non-clinical and ambient voice tools, can redistribute work rather than simply reduce it, creating new responsibilities around checking, validation, accountability and oversight. Separately, Ayorinde </w:t>
      </w:r>
      <w:r w:rsidRPr="006F66F2">
        <w:rPr>
          <w:i/>
          <w:iCs/>
        </w:rPr>
        <w:t>et al</w:t>
      </w:r>
      <w:r w:rsidRPr="007B63FE">
        <w:t xml:space="preserve">. (2024), a UK-led systematic review of healthcare professionals’ experiences of AI, found that some tools, such as one for diabetic retinopathy screening, added work, and that unclear implementation </w:t>
      </w:r>
      <w:r w:rsidRPr="007B63FE">
        <w:lastRenderedPageBreak/>
        <w:t>plans for another, a paediatric bone-age imaging tool, led to widely varying use across hospital departments.</w:t>
      </w:r>
      <w:r w:rsidR="008F45F4" w:rsidRPr="008F45F4">
        <w:rPr>
          <w:rFonts w:eastAsia="Calibri" w:cs="Arial"/>
          <w:szCs w:val="22"/>
        </w:rPr>
        <w:t xml:space="preserve"> </w:t>
      </w:r>
      <w:r w:rsidR="00F90831" w:rsidRPr="00F90831">
        <w:rPr>
          <w:rFonts w:eastAsia="Calibri" w:cs="Arial"/>
          <w:szCs w:val="22"/>
        </w:rPr>
        <w:t>Together, these findings suggest LA should not be treated purely as a time-saver</w:t>
      </w:r>
      <w:r w:rsidR="008F45F4" w:rsidRPr="008F45F4">
        <w:rPr>
          <w:rFonts w:eastAsia="Calibri" w:cs="Arial"/>
          <w:szCs w:val="22"/>
        </w:rPr>
        <w:t xml:space="preserve">; in practice, implementation plans should specify how the tool fits clinical workflow and who verifies its data. The Health Foundation argues that healthcare depends on collaboration between patients and clinicians and calls on policymakers and system leaders to fund meaningful systemic change, not just technology (Hardie </w:t>
      </w:r>
      <w:r w:rsidR="008F45F4" w:rsidRPr="008F45F4">
        <w:rPr>
          <w:rFonts w:eastAsia="Calibri" w:cs="Arial"/>
          <w:i/>
          <w:iCs/>
          <w:szCs w:val="22"/>
        </w:rPr>
        <w:t>et al</w:t>
      </w:r>
      <w:r w:rsidR="008F45F4" w:rsidRPr="008F45F4">
        <w:rPr>
          <w:rFonts w:eastAsia="Calibri" w:cs="Arial"/>
          <w:szCs w:val="22"/>
        </w:rPr>
        <w:t>., 2021).</w:t>
      </w:r>
      <w:r w:rsidR="00B41C50">
        <w:rPr>
          <w:rFonts w:eastAsia="Calibri" w:cs="Arial"/>
          <w:szCs w:val="22"/>
        </w:rPr>
        <w:t xml:space="preserve"> </w:t>
      </w:r>
      <w:r w:rsidR="008F45F4" w:rsidRPr="008F45F4">
        <w:rPr>
          <w:rFonts w:eastAsia="Calibri" w:cs="Arial"/>
          <w:szCs w:val="22"/>
        </w:rPr>
        <w:t>Overall, LA has reportedly improved local efficiency, but its wider impact depends on infrastructure, funding and workforce development that not all services can guarantee.</w:t>
      </w:r>
    </w:p>
    <w:p w14:paraId="5DB7390E" w14:textId="77777777" w:rsidR="008F45F4" w:rsidRPr="008F45F4" w:rsidRDefault="008F45F4" w:rsidP="004E3DF5">
      <w:pPr>
        <w:spacing w:after="200"/>
        <w:rPr>
          <w:rFonts w:cs="Arial"/>
          <w:szCs w:val="22"/>
        </w:rPr>
      </w:pPr>
      <w:r w:rsidRPr="008F45F4">
        <w:rPr>
          <w:rFonts w:eastAsia="Calibri" w:cs="Arial"/>
          <w:szCs w:val="22"/>
        </w:rPr>
        <w:t>LA therefore shows promising operational effects, particularly in collecting routine clinical information before assessment, but the evidence does not show that it outperforms other ways of improving referral efficiency. Its value depends on implementation quality, independent evaluation and continued clinical oversight.</w:t>
      </w:r>
    </w:p>
    <w:p w14:paraId="14755E8A" w14:textId="6BA56823" w:rsidR="003A1FD7" w:rsidRDefault="003A1FD7" w:rsidP="0061316E">
      <w:pPr>
        <w:spacing w:after="200"/>
        <w:jc w:val="both"/>
      </w:pPr>
    </w:p>
    <w:p w14:paraId="2A94E646" w14:textId="496ADABE" w:rsidR="0061316E" w:rsidRDefault="0061316E" w:rsidP="0061316E">
      <w:pPr>
        <w:spacing w:after="200"/>
        <w:jc w:val="both"/>
        <w:rPr>
          <w:rFonts w:ascii="Calibri" w:eastAsia="Calibri" w:hAnsi="Calibri" w:cs="Calibri"/>
          <w:sz w:val="24"/>
        </w:rPr>
      </w:pPr>
    </w:p>
    <w:p w14:paraId="488968B9" w14:textId="77777777" w:rsidR="00722194" w:rsidRDefault="00722194" w:rsidP="0061316E">
      <w:pPr>
        <w:spacing w:after="200"/>
        <w:jc w:val="both"/>
        <w:rPr>
          <w:rFonts w:ascii="Calibri" w:eastAsia="Calibri" w:hAnsi="Calibri" w:cs="Calibri"/>
          <w:sz w:val="24"/>
        </w:rPr>
      </w:pPr>
    </w:p>
    <w:p w14:paraId="7CFAE502" w14:textId="77777777" w:rsidR="00722194" w:rsidRDefault="00722194" w:rsidP="0061316E">
      <w:pPr>
        <w:spacing w:after="200"/>
        <w:jc w:val="both"/>
        <w:rPr>
          <w:rFonts w:ascii="Calibri" w:eastAsia="Calibri" w:hAnsi="Calibri" w:cs="Calibri"/>
          <w:sz w:val="24"/>
        </w:rPr>
      </w:pPr>
    </w:p>
    <w:p w14:paraId="213ECF7C" w14:textId="77777777" w:rsidR="00722194" w:rsidRDefault="00722194" w:rsidP="0061316E">
      <w:pPr>
        <w:spacing w:after="200"/>
        <w:jc w:val="both"/>
        <w:rPr>
          <w:rFonts w:ascii="Calibri" w:eastAsia="Calibri" w:hAnsi="Calibri" w:cs="Calibri"/>
          <w:sz w:val="24"/>
        </w:rPr>
      </w:pPr>
    </w:p>
    <w:p w14:paraId="0506AD35" w14:textId="77777777" w:rsidR="00722194" w:rsidRDefault="00722194" w:rsidP="0061316E">
      <w:pPr>
        <w:spacing w:after="200"/>
        <w:jc w:val="both"/>
        <w:rPr>
          <w:rFonts w:ascii="Calibri" w:eastAsia="Calibri" w:hAnsi="Calibri" w:cs="Calibri"/>
          <w:sz w:val="24"/>
        </w:rPr>
      </w:pPr>
    </w:p>
    <w:p w14:paraId="763C28FB" w14:textId="77777777" w:rsidR="00722194" w:rsidRDefault="00722194" w:rsidP="0061316E">
      <w:pPr>
        <w:spacing w:after="200"/>
        <w:jc w:val="both"/>
        <w:rPr>
          <w:rFonts w:ascii="Calibri" w:eastAsia="Calibri" w:hAnsi="Calibri" w:cs="Calibri"/>
          <w:sz w:val="24"/>
        </w:rPr>
      </w:pPr>
    </w:p>
    <w:p w14:paraId="17D20A3B" w14:textId="77777777" w:rsidR="00722194" w:rsidRDefault="00722194" w:rsidP="0061316E">
      <w:pPr>
        <w:spacing w:after="200"/>
        <w:jc w:val="both"/>
        <w:rPr>
          <w:rFonts w:ascii="Calibri" w:eastAsia="Calibri" w:hAnsi="Calibri" w:cs="Calibri"/>
          <w:sz w:val="24"/>
        </w:rPr>
      </w:pPr>
    </w:p>
    <w:p w14:paraId="6099AF01" w14:textId="77777777" w:rsidR="00722194" w:rsidRDefault="00722194" w:rsidP="0061316E">
      <w:pPr>
        <w:spacing w:after="200"/>
        <w:jc w:val="both"/>
        <w:rPr>
          <w:rFonts w:ascii="Calibri" w:eastAsia="Calibri" w:hAnsi="Calibri" w:cs="Calibri"/>
          <w:sz w:val="24"/>
        </w:rPr>
      </w:pPr>
    </w:p>
    <w:p w14:paraId="3E26727E" w14:textId="77777777" w:rsidR="00722194" w:rsidRDefault="00722194" w:rsidP="0061316E">
      <w:pPr>
        <w:spacing w:after="200"/>
        <w:jc w:val="both"/>
        <w:rPr>
          <w:rFonts w:ascii="Calibri" w:eastAsia="Calibri" w:hAnsi="Calibri" w:cs="Calibri"/>
          <w:sz w:val="24"/>
        </w:rPr>
      </w:pPr>
    </w:p>
    <w:p w14:paraId="66AD2D62" w14:textId="77777777" w:rsidR="00722194" w:rsidRDefault="00722194" w:rsidP="0061316E">
      <w:pPr>
        <w:spacing w:after="200"/>
        <w:jc w:val="both"/>
        <w:rPr>
          <w:rFonts w:ascii="Calibri" w:eastAsia="Calibri" w:hAnsi="Calibri" w:cs="Calibri"/>
          <w:sz w:val="24"/>
        </w:rPr>
      </w:pPr>
    </w:p>
    <w:p w14:paraId="1740E83B" w14:textId="77777777" w:rsidR="00722194" w:rsidRDefault="00722194" w:rsidP="0061316E">
      <w:pPr>
        <w:spacing w:after="200"/>
        <w:jc w:val="both"/>
        <w:rPr>
          <w:rFonts w:ascii="Calibri" w:eastAsia="Calibri" w:hAnsi="Calibri" w:cs="Calibri"/>
          <w:sz w:val="24"/>
        </w:rPr>
      </w:pPr>
    </w:p>
    <w:p w14:paraId="582FF363" w14:textId="77777777" w:rsidR="00722194" w:rsidRDefault="00722194" w:rsidP="0061316E">
      <w:pPr>
        <w:spacing w:after="200"/>
        <w:jc w:val="both"/>
        <w:rPr>
          <w:rFonts w:ascii="Calibri" w:eastAsia="Calibri" w:hAnsi="Calibri" w:cs="Calibri"/>
          <w:sz w:val="24"/>
        </w:rPr>
      </w:pPr>
    </w:p>
    <w:p w14:paraId="78B1DDFA" w14:textId="1F5632B7" w:rsidR="003C1266" w:rsidRDefault="00F17521" w:rsidP="00105679">
      <w:pPr>
        <w:pStyle w:val="Heading2"/>
      </w:pPr>
      <w:bookmarkStart w:id="5" w:name="_Toc243249805"/>
      <w:r>
        <w:lastRenderedPageBreak/>
        <w:t>3</w:t>
      </w:r>
      <w:r w:rsidR="00B8535F">
        <w:t>.</w:t>
      </w:r>
      <w:r>
        <w:t xml:space="preserve"> </w:t>
      </w:r>
      <w:r w:rsidR="003C1266">
        <w:t>Patient/Service User</w:t>
      </w:r>
      <w:bookmarkEnd w:id="5"/>
      <w:r>
        <w:t xml:space="preserve"> </w:t>
      </w:r>
    </w:p>
    <w:p w14:paraId="68BA05A6" w14:textId="49F478A5" w:rsidR="00F17521" w:rsidRDefault="00F17521" w:rsidP="00F17521">
      <w:pPr>
        <w:pStyle w:val="Heading3"/>
      </w:pPr>
      <w:bookmarkStart w:id="6" w:name="_Toc243249806"/>
      <w:r>
        <w:t xml:space="preserve">3.1 Access, convenience and </w:t>
      </w:r>
      <w:r w:rsidR="00C577CB">
        <w:t>satisfaction</w:t>
      </w:r>
      <w:bookmarkEnd w:id="6"/>
    </w:p>
    <w:p w14:paraId="765575A5" w14:textId="338DB6D2" w:rsidR="001D109C" w:rsidRPr="009E2240" w:rsidRDefault="009014CA" w:rsidP="009E2240">
      <w:pPr>
        <w:rPr>
          <w:szCs w:val="22"/>
        </w:rPr>
      </w:pPr>
      <w:r w:rsidRPr="009014CA">
        <w:rPr>
          <w:rFonts w:eastAsia="Calibri" w:cs="Arial"/>
          <w:szCs w:val="22"/>
        </w:rPr>
        <w:t xml:space="preserve">For service users, LA’s main potential benefit is providing easier, more flexible access. Fleeman </w:t>
      </w:r>
      <w:r w:rsidRPr="009014CA">
        <w:rPr>
          <w:rFonts w:eastAsia="Calibri" w:cs="Arial"/>
          <w:i/>
          <w:iCs/>
          <w:szCs w:val="22"/>
        </w:rPr>
        <w:t>et al</w:t>
      </w:r>
      <w:r w:rsidRPr="009014CA">
        <w:rPr>
          <w:rFonts w:eastAsia="Calibri" w:cs="Arial"/>
          <w:szCs w:val="22"/>
        </w:rPr>
        <w:t xml:space="preserve">. (2026) found that at least 89% of users who completed LA’s digital self-referral process were satisfied. </w:t>
      </w:r>
      <w:r w:rsidR="00FE661B" w:rsidRPr="00975619">
        <w:rPr>
          <w:szCs w:val="22"/>
        </w:rPr>
        <w:t>As this covers only users who completed the process, further research is needed to assess the broader benefits of digital referrals</w:t>
      </w:r>
      <w:r w:rsidR="00FE661B">
        <w:rPr>
          <w:szCs w:val="22"/>
        </w:rPr>
        <w:t>.</w:t>
      </w:r>
      <w:r w:rsidR="00FE661B">
        <w:rPr>
          <w:szCs w:val="22"/>
        </w:rPr>
        <w:t xml:space="preserve"> </w:t>
      </w:r>
      <w:r w:rsidR="00590989" w:rsidRPr="007E5BD0">
        <w:rPr>
          <w:rFonts w:cs="Arial"/>
          <w:color w:val="000000" w:themeColor="text1"/>
          <w:szCs w:val="22"/>
        </w:rPr>
        <w:t xml:space="preserve">Habicht </w:t>
      </w:r>
      <w:r w:rsidR="00590989" w:rsidRPr="007E5BD0">
        <w:rPr>
          <w:rFonts w:cs="Arial"/>
          <w:i/>
          <w:iCs/>
          <w:color w:val="000000" w:themeColor="text1"/>
          <w:szCs w:val="22"/>
        </w:rPr>
        <w:t>et al</w:t>
      </w:r>
      <w:r w:rsidR="00590989" w:rsidRPr="007E5BD0">
        <w:rPr>
          <w:rFonts w:cs="Arial"/>
          <w:color w:val="000000" w:themeColor="text1"/>
          <w:szCs w:val="22"/>
        </w:rPr>
        <w:t>. (2024)</w:t>
      </w:r>
      <w:r w:rsidR="00590989" w:rsidRPr="009E2240">
        <w:rPr>
          <w:rFonts w:cs="Arial"/>
          <w:color w:val="EE0000"/>
          <w:szCs w:val="22"/>
        </w:rPr>
        <w:t xml:space="preserve"> </w:t>
      </w:r>
      <w:r w:rsidR="00590989" w:rsidRPr="009E2240">
        <w:rPr>
          <w:rFonts w:cs="Arial"/>
          <w:szCs w:val="22"/>
        </w:rPr>
        <w:t xml:space="preserve">further support the access argument: </w:t>
      </w:r>
      <w:r w:rsidRPr="009014CA">
        <w:rPr>
          <w:rFonts w:cs="Arial"/>
          <w:szCs w:val="22"/>
        </w:rPr>
        <w:t>referrals rose 15% with the chatbot versus 6% in matched controls, with larger rises among non-binary (179%) and ethnic-minority patients.</w:t>
      </w:r>
      <w:r w:rsidR="00590989" w:rsidRPr="009E2240">
        <w:rPr>
          <w:rFonts w:eastAsia="Calibri" w:cs="Arial"/>
          <w:szCs w:val="22"/>
        </w:rPr>
        <w:t xml:space="preserve"> </w:t>
      </w:r>
      <w:r w:rsidR="008E52F0" w:rsidRPr="008E52F0">
        <w:rPr>
          <w:rFonts w:eastAsia="Calibri" w:cs="Arial"/>
          <w:color w:val="000000" w:themeColor="text1"/>
          <w:szCs w:val="22"/>
        </w:rPr>
        <w:t>However, the authors are Limbic employees; this observational study measured referrals, not clinical outcomes; and its feedback analysis drew on only 29% of users</w:t>
      </w:r>
      <w:r w:rsidR="00074197" w:rsidRPr="009E2240">
        <w:rPr>
          <w:rFonts w:eastAsia="Calibri" w:cs="Arial"/>
          <w:szCs w:val="22"/>
        </w:rPr>
        <w:t xml:space="preserve">. </w:t>
      </w:r>
      <w:r w:rsidR="00B105C1" w:rsidRPr="009E2240">
        <w:rPr>
          <w:szCs w:val="22"/>
        </w:rPr>
        <w:t xml:space="preserve">By enabling referrals outside service hours (Habicht </w:t>
      </w:r>
      <w:r w:rsidR="00B105C1" w:rsidRPr="009E2240">
        <w:rPr>
          <w:i/>
          <w:iCs/>
          <w:szCs w:val="22"/>
        </w:rPr>
        <w:t>et al</w:t>
      </w:r>
      <w:r w:rsidR="00B105C1" w:rsidRPr="009E2240">
        <w:rPr>
          <w:szCs w:val="22"/>
        </w:rPr>
        <w:t>., 2024), LA supports the Department of Health and Social Care and NHS England’s (2022) ambition for faster, more effective, personalised care in health and social care.</w:t>
      </w:r>
      <w:r w:rsidR="001D109C" w:rsidRPr="009E2240">
        <w:rPr>
          <w:szCs w:val="22"/>
        </w:rPr>
        <w:t xml:space="preserve"> Why rising access matters: Habicht </w:t>
      </w:r>
      <w:r w:rsidR="001D109C" w:rsidRPr="00886B86">
        <w:rPr>
          <w:i/>
          <w:iCs/>
          <w:szCs w:val="22"/>
        </w:rPr>
        <w:t>et al</w:t>
      </w:r>
      <w:r w:rsidR="001D109C" w:rsidRPr="009E2240">
        <w:rPr>
          <w:szCs w:val="22"/>
        </w:rPr>
        <w:t xml:space="preserve">. (2024) suggest the chatbot’s human-free design may ease fear of judgement but deter those who value human contact. </w:t>
      </w:r>
      <w:r w:rsidR="00FE30AB" w:rsidRPr="00FE30AB">
        <w:rPr>
          <w:szCs w:val="22"/>
        </w:rPr>
        <w:t>Given the Department of Health and Social Care’s (2023) adult social care guidance on digital and non-digital communication, digital referral should supplement, not replace, existing routes such as telephone calls, letters and paper forms (NICE, 2025)</w:t>
      </w:r>
      <w:r w:rsidR="00D27D06">
        <w:rPr>
          <w:szCs w:val="22"/>
        </w:rPr>
        <w:t>.</w:t>
      </w:r>
    </w:p>
    <w:p w14:paraId="5500E2BE" w14:textId="28A88497" w:rsidR="004F730C" w:rsidRDefault="004F730C" w:rsidP="009E2240">
      <w:pPr>
        <w:pStyle w:val="Heading3"/>
      </w:pPr>
      <w:bookmarkStart w:id="7" w:name="_Toc243249807"/>
      <w:r w:rsidRPr="009E2240">
        <w:t xml:space="preserve">3.2 Privacy, </w:t>
      </w:r>
      <w:r w:rsidR="0048079E">
        <w:t xml:space="preserve">clinical safety </w:t>
      </w:r>
      <w:r w:rsidRPr="009E2240">
        <w:t>and fairness of access</w:t>
      </w:r>
      <w:bookmarkEnd w:id="7"/>
    </w:p>
    <w:p w14:paraId="6FB71C7D" w14:textId="40869800" w:rsidR="003B3993" w:rsidRPr="009E2240" w:rsidRDefault="00CB5F5B" w:rsidP="009E2240">
      <w:pPr>
        <w:rPr>
          <w:color w:val="000000" w:themeColor="text1"/>
          <w:szCs w:val="22"/>
        </w:rPr>
      </w:pPr>
      <w:r w:rsidRPr="009E2240">
        <w:rPr>
          <w:szCs w:val="22"/>
        </w:rPr>
        <w:t xml:space="preserve">These benefits come with legitimate concerns. </w:t>
      </w:r>
      <w:r w:rsidR="00125AF9" w:rsidRPr="009E2240">
        <w:rPr>
          <w:szCs w:val="22"/>
        </w:rPr>
        <w:t>First, u</w:t>
      </w:r>
      <w:r w:rsidRPr="009E2240">
        <w:rPr>
          <w:szCs w:val="22"/>
        </w:rPr>
        <w:t xml:space="preserve">nder Article 9 of the UK </w:t>
      </w:r>
      <w:r w:rsidRPr="009014CA">
        <w:rPr>
          <w:color w:val="000000" w:themeColor="text1"/>
          <w:szCs w:val="22"/>
        </w:rPr>
        <w:t>GDPR</w:t>
      </w:r>
      <w:r w:rsidRPr="009E2240">
        <w:rPr>
          <w:szCs w:val="22"/>
        </w:rPr>
        <w:t xml:space="preserve">, information about an individual’s mental health is classified as special category data. Organisations must therefore identify both an appropriate Article 9 condition and a lawful basis under Article 6 before processing it </w:t>
      </w:r>
      <w:r w:rsidR="001B70B9" w:rsidRPr="001B70B9">
        <w:rPr>
          <w:szCs w:val="22"/>
        </w:rPr>
        <w:t>(Information Commissioner’s Office (ICO), 2024)</w:t>
      </w:r>
      <w:r w:rsidRPr="009E2240">
        <w:rPr>
          <w:szCs w:val="22"/>
        </w:rPr>
        <w:t>.</w:t>
      </w:r>
      <w:r w:rsidR="009678EE" w:rsidRPr="009E2240">
        <w:rPr>
          <w:szCs w:val="22"/>
        </w:rPr>
        <w:t xml:space="preserve"> </w:t>
      </w:r>
      <w:r w:rsidR="009678EE" w:rsidRPr="001B70B9">
        <w:rPr>
          <w:color w:val="000000" w:themeColor="text1"/>
          <w:szCs w:val="22"/>
        </w:rPr>
        <w:t>The ICO</w:t>
      </w:r>
      <w:r w:rsidR="001B70B9" w:rsidRPr="001B70B9">
        <w:rPr>
          <w:color w:val="000000" w:themeColor="text1"/>
          <w:szCs w:val="22"/>
        </w:rPr>
        <w:t xml:space="preserve"> </w:t>
      </w:r>
      <w:r w:rsidR="009678EE" w:rsidRPr="001B70B9">
        <w:rPr>
          <w:color w:val="000000" w:themeColor="text1"/>
          <w:szCs w:val="22"/>
        </w:rPr>
        <w:t>(2023)</w:t>
      </w:r>
      <w:r w:rsidR="009678EE" w:rsidRPr="009E2240">
        <w:rPr>
          <w:szCs w:val="22"/>
        </w:rPr>
        <w:t xml:space="preserve"> also confirms that data protection principles such as data minimisation continue to apply to AI, and that inferences about individuals can constitute personal data when they relate to an identifiable person.</w:t>
      </w:r>
      <w:r w:rsidRPr="009E2240">
        <w:rPr>
          <w:szCs w:val="22"/>
        </w:rPr>
        <w:t xml:space="preserve"> </w:t>
      </w:r>
      <w:r w:rsidR="003B3993" w:rsidRPr="009E2240">
        <w:rPr>
          <w:szCs w:val="22"/>
        </w:rPr>
        <w:t xml:space="preserve">As mentioned earlier, LA is classified as a Class IIa medical device and </w:t>
      </w:r>
      <w:r w:rsidR="006D3B4D" w:rsidRPr="006D3B4D">
        <w:rPr>
          <w:szCs w:val="22"/>
        </w:rPr>
        <w:t>is relevant to the</w:t>
      </w:r>
      <w:r w:rsidR="003B3993" w:rsidRPr="009E2240">
        <w:rPr>
          <w:szCs w:val="22"/>
        </w:rPr>
        <w:t xml:space="preserve"> Medicines and Healthcare products Regulatory Agency (MHRA)’s Software and AI as a Medical Device Change Programme, which highlights the ongoing development of regulatory requirements for these technologies</w:t>
      </w:r>
      <w:r w:rsidR="00043447" w:rsidRPr="009E2240">
        <w:rPr>
          <w:szCs w:val="22"/>
        </w:rPr>
        <w:t xml:space="preserve"> (MHRA, 2023)</w:t>
      </w:r>
      <w:r w:rsidR="003B3993" w:rsidRPr="009E2240">
        <w:rPr>
          <w:szCs w:val="22"/>
        </w:rPr>
        <w:t>. This matters for patient trust, given that a private company processes sensitive mental health information users disclose.</w:t>
      </w:r>
      <w:r w:rsidR="00216561" w:rsidRPr="009E2240">
        <w:rPr>
          <w:szCs w:val="22"/>
        </w:rPr>
        <w:t xml:space="preserve"> Opinions differ: services benefit from detailed pre-assessment information, but patients must share sensitive details with a private company prior to clinical consultation. Commissioners should therefore be able to justify the need for each data item under the principle of data minimisation </w:t>
      </w:r>
      <w:r w:rsidR="00216561" w:rsidRPr="009E2240">
        <w:rPr>
          <w:color w:val="000000" w:themeColor="text1"/>
          <w:szCs w:val="22"/>
        </w:rPr>
        <w:t>(ICO, 2023)</w:t>
      </w:r>
      <w:r w:rsidR="00125AF9" w:rsidRPr="009E2240">
        <w:rPr>
          <w:color w:val="000000" w:themeColor="text1"/>
          <w:szCs w:val="22"/>
        </w:rPr>
        <w:t xml:space="preserve">. </w:t>
      </w:r>
    </w:p>
    <w:p w14:paraId="4EE29915" w14:textId="7AF7A0DE" w:rsidR="004075B1" w:rsidRPr="009E2240" w:rsidRDefault="00CF06C6" w:rsidP="009E2240">
      <w:pPr>
        <w:rPr>
          <w:rFonts w:eastAsia="Calibri" w:cs="Arial"/>
          <w:szCs w:val="22"/>
        </w:rPr>
      </w:pPr>
      <w:r w:rsidRPr="009E2240">
        <w:rPr>
          <w:szCs w:val="22"/>
        </w:rPr>
        <w:lastRenderedPageBreak/>
        <w:t>Second, a chatbot-based front door risks disadvantaging the very populations NHS TT is best positioned to serve.</w:t>
      </w:r>
      <w:r w:rsidR="004C0A71" w:rsidRPr="009E2240">
        <w:rPr>
          <w:szCs w:val="22"/>
        </w:rPr>
        <w:t xml:space="preserve"> NHS England estimates </w:t>
      </w:r>
      <w:r w:rsidR="00D35A67" w:rsidRPr="009E2240">
        <w:rPr>
          <w:szCs w:val="22"/>
        </w:rPr>
        <w:t>that 10 million adults lack foundational digital literacy, with particular concern for older, economically disadvantaged individuals; disabled and inclusion-health populations; residents of areas with poor digital infrastructure;</w:t>
      </w:r>
      <w:r w:rsidR="004C0A71" w:rsidRPr="009E2240">
        <w:rPr>
          <w:szCs w:val="22"/>
        </w:rPr>
        <w:t xml:space="preserve"> and non-native English speakers (NHS England, 2024a).</w:t>
      </w:r>
      <w:r w:rsidR="0063440B" w:rsidRPr="009E2240">
        <w:rPr>
          <w:szCs w:val="22"/>
        </w:rPr>
        <w:t xml:space="preserve"> </w:t>
      </w:r>
      <w:r w:rsidR="00173E14" w:rsidRPr="00173E14">
        <w:rPr>
          <w:szCs w:val="22"/>
        </w:rPr>
        <w:t>Among people with severe mental illness, digital exclusion may precipitate reduced social cohesion, diminished agency, and restricted access to essential health determinants, and participants highlighted the need for suitable devices, stable connectivity, user-friendly tools, and personalised support (Middle and Welch, 2022).</w:t>
      </w:r>
      <w:r w:rsidR="004075B1" w:rsidRPr="009E2240">
        <w:rPr>
          <w:rFonts w:cs="Arial"/>
          <w:szCs w:val="22"/>
        </w:rPr>
        <w:t xml:space="preserve"> </w:t>
      </w:r>
      <w:r w:rsidR="004075B1" w:rsidRPr="009E2240">
        <w:rPr>
          <w:rFonts w:eastAsia="Calibri" w:cs="Arial"/>
          <w:szCs w:val="22"/>
        </w:rPr>
        <w:t xml:space="preserve">Consequently, those facing the greatest obstacles may have the most urgent needs. Improved access for non-binary and ethnic-minority patients (Habicht </w:t>
      </w:r>
      <w:r w:rsidR="004075B1" w:rsidRPr="009E2240">
        <w:rPr>
          <w:rFonts w:eastAsia="Calibri" w:cs="Arial"/>
          <w:i/>
          <w:iCs/>
          <w:szCs w:val="22"/>
        </w:rPr>
        <w:t>et al</w:t>
      </w:r>
      <w:r w:rsidR="004075B1" w:rsidRPr="009E2240">
        <w:rPr>
          <w:rFonts w:eastAsia="Calibri" w:cs="Arial"/>
          <w:szCs w:val="22"/>
        </w:rPr>
        <w:t>., 2024) could be offset by new barriers for elderly or digitally disadvantaged patients unless services offer accessible non-digital options, devices, connectivity, and personalised support.</w:t>
      </w:r>
    </w:p>
    <w:p w14:paraId="2C646EB1" w14:textId="77777777" w:rsidR="000517EC" w:rsidRPr="009E2240" w:rsidRDefault="000517EC" w:rsidP="009E2240">
      <w:pPr>
        <w:rPr>
          <w:szCs w:val="22"/>
        </w:rPr>
      </w:pPr>
      <w:r w:rsidRPr="009E2240">
        <w:rPr>
          <w:szCs w:val="22"/>
        </w:rPr>
        <w:t>Third, clinical safety remains a limitation. NICE (2025) notes that more evidence is needed about the quality of the information collected and its effect on clinical decision-making. The issue is not just whether the chatbot records answers accurately, but whether a structured conversation can capture personal context, safeguarding concerns, cultural meaning, or changing risk. Therefore, technical performance should not be assumed to demonstrate clinical effectiveness.</w:t>
      </w:r>
    </w:p>
    <w:p w14:paraId="275FE574" w14:textId="334F2139" w:rsidR="00B72088" w:rsidRDefault="004B00E9" w:rsidP="00687D62">
      <w:pPr>
        <w:rPr>
          <w:szCs w:val="22"/>
        </w:rPr>
      </w:pPr>
      <w:r w:rsidRPr="009E2240">
        <w:rPr>
          <w:szCs w:val="22"/>
        </w:rPr>
        <w:t xml:space="preserve">Fourth, Habicht </w:t>
      </w:r>
      <w:r w:rsidRPr="00257042">
        <w:rPr>
          <w:i/>
          <w:iCs/>
          <w:szCs w:val="22"/>
        </w:rPr>
        <w:t>et al</w:t>
      </w:r>
      <w:r w:rsidRPr="009E2240">
        <w:rPr>
          <w:szCs w:val="22"/>
        </w:rPr>
        <w:t xml:space="preserve">.’s (2024) findings are not a complete solution. </w:t>
      </w:r>
      <w:r w:rsidR="004E47FA" w:rsidRPr="004E47FA">
        <w:rPr>
          <w:szCs w:val="22"/>
        </w:rPr>
        <w:t xml:space="preserve">The themes in chatbot users’ feedback may not be technology-specific, because they were not compared with feedback from other referral routes, and differences between chatbot and comparison services may also have influenced the findings. Lowther-Payne </w:t>
      </w:r>
      <w:r w:rsidR="004E47FA" w:rsidRPr="00276D48">
        <w:rPr>
          <w:i/>
          <w:iCs/>
          <w:szCs w:val="22"/>
        </w:rPr>
        <w:t>et al</w:t>
      </w:r>
      <w:r w:rsidR="004E47FA" w:rsidRPr="004E47FA">
        <w:rPr>
          <w:szCs w:val="22"/>
        </w:rPr>
        <w:t>. (2023) found little change in inequalities in access to adult mental health services,</w:t>
      </w:r>
      <w:r w:rsidR="00DF564C" w:rsidRPr="004E47FA">
        <w:rPr>
          <w:szCs w:val="22"/>
        </w:rPr>
        <w:t xml:space="preserve"> </w:t>
      </w:r>
      <w:r w:rsidR="00DF564C" w:rsidRPr="009E2240">
        <w:rPr>
          <w:szCs w:val="22"/>
        </w:rPr>
        <w:t>suggesting chatbots may improve one access point without addressing deeper systemic inequities.</w:t>
      </w:r>
      <w:r w:rsidR="008A0688" w:rsidRPr="009E2240">
        <w:rPr>
          <w:szCs w:val="22"/>
        </w:rPr>
        <w:t xml:space="preserve"> In practice, services could monitor referrals and drop-out rates by age, ethnicity, and disability, and offer assisted referrals to ensure that the equity gains </w:t>
      </w:r>
      <w:r w:rsidR="008A0688" w:rsidRPr="00E65D74">
        <w:rPr>
          <w:color w:val="000000" w:themeColor="text1"/>
          <w:szCs w:val="22"/>
        </w:rPr>
        <w:t xml:space="preserve">Habicht </w:t>
      </w:r>
      <w:r w:rsidR="008A0688" w:rsidRPr="00E65D74">
        <w:rPr>
          <w:i/>
          <w:iCs/>
          <w:color w:val="000000" w:themeColor="text1"/>
          <w:szCs w:val="22"/>
        </w:rPr>
        <w:t>et al</w:t>
      </w:r>
      <w:r w:rsidR="008A0688" w:rsidRPr="00E65D74">
        <w:rPr>
          <w:color w:val="000000" w:themeColor="text1"/>
          <w:szCs w:val="22"/>
        </w:rPr>
        <w:t>. report</w:t>
      </w:r>
      <w:r w:rsidR="008A0688" w:rsidRPr="009E2240">
        <w:rPr>
          <w:szCs w:val="22"/>
        </w:rPr>
        <w:t xml:space="preserve"> are not undermined by exclusion elsewhere. Overall, LA marks genuine progress in access and referral diversity, but its benefits are unevenly distributed and depend on parallel investment in digital inclusion, as well as ongoing regulatory and privacy scrutiny.</w:t>
      </w:r>
    </w:p>
    <w:p w14:paraId="5EA281AB" w14:textId="77777777" w:rsidR="000E6BD3" w:rsidRDefault="000E6BD3" w:rsidP="00687D62">
      <w:pPr>
        <w:rPr>
          <w:szCs w:val="22"/>
        </w:rPr>
      </w:pPr>
    </w:p>
    <w:p w14:paraId="37B8E1B7" w14:textId="77777777" w:rsidR="000E6BD3" w:rsidRDefault="000E6BD3" w:rsidP="00687D62"/>
    <w:p w14:paraId="584CF78B" w14:textId="77777777" w:rsidR="00DB6015" w:rsidRPr="00687D62" w:rsidRDefault="00DB6015" w:rsidP="00687D62"/>
    <w:p w14:paraId="55B49B8C" w14:textId="6A8AC889" w:rsidR="003B54E4" w:rsidRDefault="00C14CCA" w:rsidP="00A40AA4">
      <w:pPr>
        <w:pStyle w:val="Heading2"/>
      </w:pPr>
      <w:bookmarkStart w:id="8" w:name="_Toc243249808"/>
      <w:r>
        <w:lastRenderedPageBreak/>
        <w:t>4</w:t>
      </w:r>
      <w:r w:rsidR="007E6500">
        <w:t>.</w:t>
      </w:r>
      <w:r w:rsidR="00373501" w:rsidRPr="00C80196">
        <w:t xml:space="preserve"> </w:t>
      </w:r>
      <w:r w:rsidR="00D705A0" w:rsidRPr="00C80196">
        <w:t xml:space="preserve">Conclusion </w:t>
      </w:r>
      <w:r w:rsidR="00884BDF" w:rsidRPr="00C80196">
        <w:t>and</w:t>
      </w:r>
      <w:r w:rsidR="00973395" w:rsidRPr="00C80196">
        <w:t xml:space="preserve"> Recommendations</w:t>
      </w:r>
      <w:bookmarkEnd w:id="8"/>
    </w:p>
    <w:p w14:paraId="05F24B8B" w14:textId="50F88CFF" w:rsidR="00120B5B" w:rsidRDefault="00BD1ED4" w:rsidP="00120B5B">
      <w:r>
        <w:t>LA</w:t>
      </w:r>
      <w:r w:rsidR="007D184E" w:rsidRPr="00BB4D5A">
        <w:t xml:space="preserve"> is a significant </w:t>
      </w:r>
      <w:r w:rsidR="004F7506">
        <w:t>innovation in</w:t>
      </w:r>
      <w:r w:rsidR="007D184E" w:rsidRPr="00BB4D5A">
        <w:t xml:space="preserve"> mental health service delivery in the UK</w:t>
      </w:r>
      <w:r w:rsidR="007D184E" w:rsidRPr="007D184E">
        <w:t xml:space="preserve">. </w:t>
      </w:r>
      <w:r w:rsidR="000C387D">
        <w:t xml:space="preserve">Peer-reviewed evidence from Habicht </w:t>
      </w:r>
      <w:r w:rsidR="000C387D" w:rsidRPr="0081695A">
        <w:rPr>
          <w:i/>
          <w:iCs/>
        </w:rPr>
        <w:t>et al</w:t>
      </w:r>
      <w:r w:rsidR="000C387D">
        <w:t>. (2024)</w:t>
      </w:r>
      <w:r w:rsidR="007D184E" w:rsidRPr="00A652EA">
        <w:t xml:space="preserve"> </w:t>
      </w:r>
      <w:r w:rsidR="007D184E" w:rsidRPr="007D184E">
        <w:t xml:space="preserve">found referrals rose more with chatbot services than matched controls (15% versus 6%), with substantial benefits for non-binary and ethnic-minority groups. </w:t>
      </w:r>
      <w:r w:rsidR="003018B6">
        <w:t>However,</w:t>
      </w:r>
      <w:r w:rsidR="003018B6" w:rsidRPr="00A652EA">
        <w:t xml:space="preserve"> its</w:t>
      </w:r>
      <w:r w:rsidR="007D184E" w:rsidRPr="007D184E">
        <w:t xml:space="preserve"> authors work for Limbic.</w:t>
      </w:r>
      <w:r w:rsidR="00585AFE">
        <w:t xml:space="preserve"> </w:t>
      </w:r>
      <w:r w:rsidR="00585AFE" w:rsidRPr="00585AFE">
        <w:rPr>
          <w:rFonts w:cs="Arial"/>
          <w:szCs w:val="22"/>
        </w:rPr>
        <w:t xml:space="preserve">Trust reports and </w:t>
      </w:r>
      <w:proofErr w:type="spellStart"/>
      <w:r w:rsidR="00755409" w:rsidRPr="0077334B">
        <w:rPr>
          <w:szCs w:val="22"/>
        </w:rPr>
        <w:t>Rollwage</w:t>
      </w:r>
      <w:proofErr w:type="spellEnd"/>
      <w:r w:rsidR="00755409" w:rsidRPr="0077334B">
        <w:rPr>
          <w:szCs w:val="22"/>
        </w:rPr>
        <w:t xml:space="preserve"> </w:t>
      </w:r>
      <w:r w:rsidR="00755409" w:rsidRPr="00755409">
        <w:rPr>
          <w:i/>
          <w:iCs/>
          <w:szCs w:val="22"/>
        </w:rPr>
        <w:t>et al</w:t>
      </w:r>
      <w:r w:rsidR="00755409" w:rsidRPr="0077334B">
        <w:rPr>
          <w:szCs w:val="22"/>
        </w:rPr>
        <w:t>. (2023)</w:t>
      </w:r>
      <w:r w:rsidR="00585AFE" w:rsidRPr="00585AFE">
        <w:rPr>
          <w:rFonts w:cs="Arial"/>
          <w:szCs w:val="22"/>
        </w:rPr>
        <w:t xml:space="preserve"> suggest improved clinician productivity, but rely heavily on vendor-associated data. These benefits remain provisional: NICE (2025) considers LA promising but unproven; digital exclusion could leave out the patients services most need to reach; and the private company’s processing of special category data requires ongoing regulatory oversight.</w:t>
      </w:r>
    </w:p>
    <w:p w14:paraId="05AF020A" w14:textId="2F8D755D" w:rsidR="00120B5B" w:rsidRDefault="00120B5B" w:rsidP="00120B5B">
      <w:pPr>
        <w:rPr>
          <w:color w:val="000000" w:themeColor="text1"/>
        </w:rPr>
      </w:pPr>
      <w:r w:rsidRPr="00120B5B">
        <w:rPr>
          <w:color w:val="000000" w:themeColor="text1"/>
        </w:rPr>
        <w:t xml:space="preserve">Four recommendations are proposed. First, commissioners should fund independent, non-commercial research aligned with NICE's evidence generation plan, </w:t>
      </w:r>
      <w:r w:rsidR="005951B9" w:rsidRPr="0077334B">
        <w:rPr>
          <w:szCs w:val="22"/>
        </w:rPr>
        <w:t>given that much current evidence is vendor-associated</w:t>
      </w:r>
      <w:r w:rsidR="005951B9">
        <w:rPr>
          <w:szCs w:val="22"/>
        </w:rPr>
        <w:t xml:space="preserve"> (</w:t>
      </w:r>
      <w:r w:rsidR="005951B9" w:rsidRPr="0077334B">
        <w:rPr>
          <w:szCs w:val="22"/>
        </w:rPr>
        <w:t>NICE</w:t>
      </w:r>
      <w:r w:rsidR="005951B9">
        <w:rPr>
          <w:szCs w:val="22"/>
        </w:rPr>
        <w:t xml:space="preserve">, </w:t>
      </w:r>
      <w:r w:rsidR="005951B9" w:rsidRPr="0077334B">
        <w:rPr>
          <w:szCs w:val="22"/>
        </w:rPr>
        <w:t>2025)</w:t>
      </w:r>
      <w:r w:rsidRPr="00120B5B">
        <w:rPr>
          <w:color w:val="000000" w:themeColor="text1"/>
        </w:rPr>
        <w:t xml:space="preserve">. </w:t>
      </w:r>
      <w:r w:rsidR="00431548" w:rsidRPr="00431548">
        <w:rPr>
          <w:color w:val="000000" w:themeColor="text1"/>
        </w:rPr>
        <w:t>Second, services should preserve accessible, non-digital referral pathways while supporting</w:t>
      </w:r>
      <w:r w:rsidRPr="00120B5B">
        <w:rPr>
          <w:color w:val="000000" w:themeColor="text1"/>
        </w:rPr>
        <w:t xml:space="preserve"> digital inclusion, because a digital-first approach risks marginalising older individuals and those with limited digital skills. </w:t>
      </w:r>
      <w:r w:rsidR="009449C6" w:rsidRPr="009449C6">
        <w:rPr>
          <w:color w:val="000000" w:themeColor="text1"/>
        </w:rPr>
        <w:t>Third, organisations should commit to training and role restructuring, embedding protected time for training within implementation agreements (NHS England, 2023).</w:t>
      </w:r>
      <w:r w:rsidR="009449C6">
        <w:rPr>
          <w:color w:val="000000" w:themeColor="text1"/>
        </w:rPr>
        <w:t xml:space="preserve"> </w:t>
      </w:r>
      <w:r w:rsidR="00E87C7C" w:rsidRPr="00E87C7C">
        <w:rPr>
          <w:color w:val="000000" w:themeColor="text1"/>
        </w:rPr>
        <w:t>This helps ensure</w:t>
      </w:r>
      <w:r w:rsidR="00E87C7C">
        <w:rPr>
          <w:color w:val="000000" w:themeColor="text1"/>
        </w:rPr>
        <w:t xml:space="preserve"> </w:t>
      </w:r>
      <w:r w:rsidRPr="00120B5B">
        <w:rPr>
          <w:color w:val="000000" w:themeColor="text1"/>
        </w:rPr>
        <w:t xml:space="preserve">efficiency savings translate into more patient-facing time rather than added administrative oversight. </w:t>
      </w:r>
      <w:r w:rsidRPr="00431548">
        <w:rPr>
          <w:color w:val="000000" w:themeColor="text1"/>
        </w:rPr>
        <w:t>Fourth</w:t>
      </w:r>
      <w:r w:rsidRPr="00120B5B">
        <w:rPr>
          <w:color w:val="000000" w:themeColor="text1"/>
        </w:rPr>
        <w:t xml:space="preserve">, each deployment </w:t>
      </w:r>
      <w:r w:rsidR="00431548">
        <w:rPr>
          <w:color w:val="000000" w:themeColor="text1"/>
        </w:rPr>
        <w:t>should</w:t>
      </w:r>
      <w:r w:rsidRPr="00120B5B">
        <w:rPr>
          <w:color w:val="000000" w:themeColor="text1"/>
        </w:rPr>
        <w:t xml:space="preserve"> include continuous monitoring of clinical safety and data protection, with clear human accountability for final clinical judgements.</w:t>
      </w:r>
    </w:p>
    <w:p w14:paraId="4ED5E7AD" w14:textId="77777777" w:rsidR="009449C6" w:rsidRDefault="009449C6" w:rsidP="00120B5B">
      <w:pPr>
        <w:rPr>
          <w:color w:val="000000" w:themeColor="text1"/>
        </w:rPr>
      </w:pPr>
    </w:p>
    <w:p w14:paraId="6497392D" w14:textId="77777777" w:rsidR="009449C6" w:rsidRPr="00120B5B" w:rsidRDefault="009449C6" w:rsidP="00120B5B"/>
    <w:p w14:paraId="543162FA" w14:textId="77777777" w:rsidR="00120B5B" w:rsidRPr="00585AFE" w:rsidRDefault="00120B5B" w:rsidP="00585AFE">
      <w:pPr>
        <w:rPr>
          <w:rFonts w:cs="Arial"/>
          <w:szCs w:val="22"/>
        </w:rPr>
      </w:pPr>
    </w:p>
    <w:p w14:paraId="7476B272" w14:textId="32ACEE2B" w:rsidR="00585AFE" w:rsidRDefault="00585AFE" w:rsidP="00585AFE">
      <w:pPr>
        <w:spacing w:after="200"/>
        <w:jc w:val="both"/>
      </w:pPr>
    </w:p>
    <w:p w14:paraId="20A8ECF9" w14:textId="77777777" w:rsidR="00585AFE" w:rsidRDefault="00585AFE" w:rsidP="00585AFE"/>
    <w:p w14:paraId="3E739DBA" w14:textId="77777777" w:rsidR="00585AFE" w:rsidRDefault="00585AFE" w:rsidP="00585AFE"/>
    <w:p w14:paraId="5FAF068C" w14:textId="77777777" w:rsidR="00585AFE" w:rsidRDefault="00585AFE" w:rsidP="00585AFE"/>
    <w:p w14:paraId="1EB437B6" w14:textId="5BE94AA7" w:rsidR="00B95840" w:rsidRDefault="00B95840"/>
    <w:p w14:paraId="29FFD95E" w14:textId="77777777" w:rsidR="00BD1ED4" w:rsidRDefault="00BD1ED4"/>
    <w:p w14:paraId="2BFA618C" w14:textId="77777777" w:rsidR="00B95840" w:rsidRDefault="00B95840"/>
    <w:p w14:paraId="16C11585" w14:textId="77777777" w:rsidR="000447B0" w:rsidRDefault="000447B0"/>
    <w:p w14:paraId="47CFDFD4" w14:textId="42181703" w:rsidR="0048256D" w:rsidRDefault="00C14CCA" w:rsidP="0048256D">
      <w:pPr>
        <w:pStyle w:val="Heading2"/>
      </w:pPr>
      <w:bookmarkStart w:id="9" w:name="_Toc243249809"/>
      <w:r>
        <w:lastRenderedPageBreak/>
        <w:t>5</w:t>
      </w:r>
      <w:r w:rsidR="007E6500">
        <w:t>.</w:t>
      </w:r>
      <w:r w:rsidR="001F23DE">
        <w:t xml:space="preserve"> </w:t>
      </w:r>
      <w:r w:rsidR="007F31C4" w:rsidRPr="008C228A">
        <w:t>References</w:t>
      </w:r>
      <w:bookmarkEnd w:id="9"/>
    </w:p>
    <w:p w14:paraId="3B5B100A" w14:textId="77777777" w:rsidR="00B43F24" w:rsidRDefault="00B43F24" w:rsidP="00416113">
      <w:r w:rsidRPr="005F773B">
        <w:t xml:space="preserve">AI and Digital Regulations Service for health and social care (2024) </w:t>
      </w:r>
      <w:r w:rsidRPr="005F773B">
        <w:rPr>
          <w:i/>
          <w:iCs/>
        </w:rPr>
        <w:t>Using an AI Chatbot to ease staff shortages and improve patient care</w:t>
      </w:r>
      <w:r w:rsidRPr="005F773B">
        <w:t>. Available at: </w:t>
      </w:r>
      <w:hyperlink r:id="rId10" w:history="1">
        <w:r w:rsidRPr="00364D6F">
          <w:rPr>
            <w:rStyle w:val="Hyperlink"/>
          </w:rPr>
          <w:t>https://www.digitalregulations.innovation.nhs.uk/case-studies/using-a-chatbot-to-ease-staff-shortages-and-improve-patient-care</w:t>
        </w:r>
      </w:hyperlink>
      <w:r>
        <w:t xml:space="preserve"> </w:t>
      </w:r>
      <w:r w:rsidRPr="005F773B">
        <w:t>(Accessed: 26 September 2026).</w:t>
      </w:r>
    </w:p>
    <w:p w14:paraId="2F83341D" w14:textId="77777777" w:rsidR="00B43F24" w:rsidRDefault="00B43F24" w:rsidP="00416113">
      <w:r w:rsidRPr="009422FE">
        <w:t>Ayorinde, A., Mensah, D.O., Walsh, J., Ghosh, I., Ibrahim, S.A., Hogg, J., Peek, N. and Griffiths, F.</w:t>
      </w:r>
      <w:r w:rsidRPr="00C520F5">
        <w:t xml:space="preserve"> (202</w:t>
      </w:r>
      <w:r>
        <w:t>4</w:t>
      </w:r>
      <w:r w:rsidRPr="00C520F5">
        <w:t>) '</w:t>
      </w:r>
      <w:r w:rsidRPr="009422FE">
        <w:t>Health care professionals’ experience of using AI: systematic review with narrative synthesis</w:t>
      </w:r>
      <w:r w:rsidRPr="00C520F5">
        <w:t xml:space="preserve">', </w:t>
      </w:r>
      <w:r w:rsidRPr="009422FE">
        <w:rPr>
          <w:i/>
          <w:iCs/>
        </w:rPr>
        <w:t xml:space="preserve">Journal of </w:t>
      </w:r>
      <w:r>
        <w:rPr>
          <w:i/>
          <w:iCs/>
        </w:rPr>
        <w:t>Medical</w:t>
      </w:r>
      <w:r w:rsidRPr="009422FE">
        <w:rPr>
          <w:i/>
          <w:iCs/>
        </w:rPr>
        <w:t xml:space="preserve"> Internet </w:t>
      </w:r>
      <w:r>
        <w:rPr>
          <w:i/>
          <w:iCs/>
        </w:rPr>
        <w:t>Research</w:t>
      </w:r>
      <w:r w:rsidRPr="00C520F5">
        <w:t xml:space="preserve">, </w:t>
      </w:r>
      <w:r w:rsidRPr="009422FE">
        <w:t>26, p.e55766</w:t>
      </w:r>
      <w:r w:rsidRPr="00C520F5">
        <w:t>. Available at: </w:t>
      </w:r>
      <w:hyperlink r:id="rId11" w:history="1">
        <w:r w:rsidRPr="007471A9">
          <w:rPr>
            <w:rStyle w:val="Hyperlink"/>
          </w:rPr>
          <w:t>https://doi.org/10.2196/55766</w:t>
        </w:r>
      </w:hyperlink>
      <w:r>
        <w:t xml:space="preserve">. </w:t>
      </w:r>
    </w:p>
    <w:p w14:paraId="57730643" w14:textId="77777777" w:rsidR="00B43F24" w:rsidRDefault="00B43F24" w:rsidP="00416113">
      <w:r w:rsidRPr="008B4A7F">
        <w:t xml:space="preserve">Berardi, C., Antonini, M., Jordan, Z., </w:t>
      </w:r>
      <w:proofErr w:type="spellStart"/>
      <w:r w:rsidRPr="008B4A7F">
        <w:t>Wechtler</w:t>
      </w:r>
      <w:proofErr w:type="spellEnd"/>
      <w:r w:rsidRPr="008B4A7F">
        <w:t xml:space="preserve">, H., Paolucci, F. and </w:t>
      </w:r>
      <w:proofErr w:type="spellStart"/>
      <w:r w:rsidRPr="008B4A7F">
        <w:t>Hinwood</w:t>
      </w:r>
      <w:proofErr w:type="spellEnd"/>
      <w:r w:rsidRPr="008B4A7F">
        <w:t xml:space="preserve">, M. (2024) 'Barriers and facilitators to the implementation of digital technologies in mental health systems: a qualitative systematic review to inform a policy framework', </w:t>
      </w:r>
      <w:r w:rsidRPr="008B4A7F">
        <w:rPr>
          <w:i/>
          <w:iCs/>
        </w:rPr>
        <w:t xml:space="preserve">BMC </w:t>
      </w:r>
      <w:r>
        <w:rPr>
          <w:i/>
          <w:iCs/>
        </w:rPr>
        <w:t>Health Services Research</w:t>
      </w:r>
      <w:r w:rsidRPr="008B4A7F">
        <w:t xml:space="preserve">, 24(1), p.243. Available at: </w:t>
      </w:r>
      <w:hyperlink r:id="rId12" w:history="1">
        <w:r w:rsidRPr="00DB4EB1">
          <w:rPr>
            <w:rStyle w:val="Hyperlink"/>
          </w:rPr>
          <w:t>https://doi.org/10.1186/s12913-023-10536-1</w:t>
        </w:r>
      </w:hyperlink>
      <w:r>
        <w:t xml:space="preserve">. </w:t>
      </w:r>
    </w:p>
    <w:p w14:paraId="72C42E59" w14:textId="77777777" w:rsidR="00B43F24" w:rsidRDefault="00B43F24" w:rsidP="00416113">
      <w:r w:rsidRPr="00F336FD">
        <w:t xml:space="preserve">Catarino, A., Harper, S., Malcolm, R., Stainthorpe, A., Warren, G., </w:t>
      </w:r>
      <w:proofErr w:type="spellStart"/>
      <w:r w:rsidRPr="00F336FD">
        <w:t>Margoum</w:t>
      </w:r>
      <w:proofErr w:type="spellEnd"/>
      <w:r w:rsidRPr="00F336FD">
        <w:t xml:space="preserve">, M., Hooper, J., Blackwell, A.D. and Welchman, A.E. (2023) 'Economic evaluation of 27,540 patients with mood and anxiety disorders and the importance of waiting time and clinical effectiveness in mental healthcare', </w:t>
      </w:r>
      <w:r w:rsidRPr="00F336FD">
        <w:rPr>
          <w:i/>
          <w:iCs/>
        </w:rPr>
        <w:t>Nature Mental Health</w:t>
      </w:r>
      <w:r w:rsidRPr="00F336FD">
        <w:t>, 1(9), pp.667-678. Available at: </w:t>
      </w:r>
      <w:hyperlink r:id="rId13" w:history="1">
        <w:r w:rsidRPr="00DB4EB1">
          <w:rPr>
            <w:rStyle w:val="Hyperlink"/>
          </w:rPr>
          <w:t>https://doi.org/10.1038/s44220-023-00106-z</w:t>
        </w:r>
      </w:hyperlink>
      <w:r>
        <w:t xml:space="preserve">. </w:t>
      </w:r>
    </w:p>
    <w:p w14:paraId="6B330FC1" w14:textId="77777777" w:rsidR="00B43F24" w:rsidRDefault="00B43F24" w:rsidP="00416113">
      <w:r w:rsidRPr="005535E6">
        <w:t xml:space="preserve">Department of Health and Social Care (2023) </w:t>
      </w:r>
      <w:r w:rsidRPr="005535E6">
        <w:rPr>
          <w:i/>
          <w:iCs/>
        </w:rPr>
        <w:t>Digital working in adult social care: What Good Looks Like for local authorities and care providers</w:t>
      </w:r>
      <w:r w:rsidRPr="005535E6">
        <w:t xml:space="preserve">. Available at: </w:t>
      </w:r>
      <w:hyperlink r:id="rId14" w:history="1">
        <w:r w:rsidRPr="00DB4EB1">
          <w:rPr>
            <w:rStyle w:val="Hyperlink"/>
          </w:rPr>
          <w:t>https://www.gov.uk/government/publications/digital-working-in-adult-social-care-what-good-looks-like/digital-working-in-adult-social-care-what-good-looks-like-for-local-authorities-and-care-providers</w:t>
        </w:r>
      </w:hyperlink>
      <w:r>
        <w:t xml:space="preserve"> </w:t>
      </w:r>
      <w:r w:rsidRPr="005535E6">
        <w:t>(Accessed: 8 October 2026).</w:t>
      </w:r>
    </w:p>
    <w:p w14:paraId="20F05008" w14:textId="77777777" w:rsidR="00B43F24" w:rsidRDefault="00B43F24" w:rsidP="00416113">
      <w:r w:rsidRPr="00F36025">
        <w:t xml:space="preserve">Department of Health and Social Care and NHS England (2022) </w:t>
      </w:r>
      <w:r w:rsidRPr="00F36025">
        <w:rPr>
          <w:i/>
          <w:iCs/>
        </w:rPr>
        <w:t>A plan for digital health and social care</w:t>
      </w:r>
      <w:r w:rsidRPr="00F36025">
        <w:t>. Available at: </w:t>
      </w:r>
      <w:hyperlink r:id="rId15" w:history="1">
        <w:r w:rsidRPr="007471A9">
          <w:rPr>
            <w:rStyle w:val="Hyperlink"/>
          </w:rPr>
          <w:t>https://www.gov.uk/government/publications/a-plan-for-digital-health-and-social-care/a-plan-for-digital-health-and-social-care</w:t>
        </w:r>
      </w:hyperlink>
      <w:r>
        <w:t xml:space="preserve"> </w:t>
      </w:r>
      <w:r w:rsidRPr="00F36025">
        <w:t>(Accessed: 9 October 2026).</w:t>
      </w:r>
    </w:p>
    <w:p w14:paraId="3E3B128E" w14:textId="77777777" w:rsidR="00B43F24" w:rsidRDefault="00B43F24">
      <w:r w:rsidRPr="00A66E3B">
        <w:t xml:space="preserve">Essex Partnership University NHS Foundation Trust (2024) </w:t>
      </w:r>
      <w:r w:rsidRPr="00A66E3B">
        <w:rPr>
          <w:i/>
          <w:iCs/>
        </w:rPr>
        <w:t>Board of Directors Meeting Part 1</w:t>
      </w:r>
      <w:r w:rsidRPr="00A66E3B">
        <w:t>. Available at: </w:t>
      </w:r>
      <w:hyperlink r:id="rId16" w:history="1">
        <w:r w:rsidRPr="00B14143">
          <w:rPr>
            <w:rStyle w:val="Hyperlink"/>
          </w:rPr>
          <w:t>https://www.eput.nhs.uk/wp-content/uploads/2025/05/board_of_directors_meeting_part_1-1-March-2024.pdf</w:t>
        </w:r>
      </w:hyperlink>
      <w:r>
        <w:t xml:space="preserve"> </w:t>
      </w:r>
      <w:r w:rsidRPr="00A66E3B">
        <w:t>(Accessed: 22 September 2026).</w:t>
      </w:r>
    </w:p>
    <w:p w14:paraId="7B43AEA5" w14:textId="77777777" w:rsidR="00B43F24" w:rsidRDefault="00B43F24" w:rsidP="00416113">
      <w:r w:rsidRPr="008B3C5E">
        <w:t xml:space="preserve">Fleeman, N., Mahon, J., Bryning, S., Beale, S., Boland, A., Greenhalgh, J. and </w:t>
      </w:r>
      <w:proofErr w:type="spellStart"/>
      <w:r w:rsidRPr="008B3C5E">
        <w:t>Dundar</w:t>
      </w:r>
      <w:proofErr w:type="spellEnd"/>
      <w:r w:rsidRPr="008B3C5E">
        <w:t xml:space="preserve">, Y. (2026) 'Digital front door technologies to pre-assess people before assessment for NHS </w:t>
      </w:r>
      <w:r w:rsidRPr="008B3C5E">
        <w:lastRenderedPageBreak/>
        <w:t xml:space="preserve">Talking Therapies [HTE10055]: early value assessment', </w:t>
      </w:r>
      <w:r w:rsidRPr="008B3C5E">
        <w:rPr>
          <w:i/>
          <w:iCs/>
        </w:rPr>
        <w:t>Health Technology Assessment</w:t>
      </w:r>
      <w:r w:rsidRPr="008B3C5E">
        <w:t xml:space="preserve">, 30(52), p.1. Available at: </w:t>
      </w:r>
      <w:hyperlink r:id="rId17" w:history="1">
        <w:r w:rsidRPr="007471A9">
          <w:rPr>
            <w:rStyle w:val="Hyperlink"/>
          </w:rPr>
          <w:t>https://doi.org/10.3310/GJAB1822</w:t>
        </w:r>
      </w:hyperlink>
      <w:r>
        <w:t>.</w:t>
      </w:r>
    </w:p>
    <w:p w14:paraId="6E8FE0B5" w14:textId="77777777" w:rsidR="00B43F24" w:rsidRDefault="00B43F24" w:rsidP="00416113">
      <w:r w:rsidRPr="009B0835">
        <w:t xml:space="preserve">Habicht, J., Viswanathan, S., Carrington, B., Hauser, T.U., Harper, R. and </w:t>
      </w:r>
      <w:proofErr w:type="spellStart"/>
      <w:r w:rsidRPr="009B0835">
        <w:t>Rollwage</w:t>
      </w:r>
      <w:proofErr w:type="spellEnd"/>
      <w:r w:rsidRPr="009B0835">
        <w:t xml:space="preserve">, M. (2024) 'Closing the accessibility gap to mental health treatment with a personalized self-referral chatbot', </w:t>
      </w:r>
      <w:r w:rsidRPr="009B0835">
        <w:rPr>
          <w:i/>
          <w:iCs/>
        </w:rPr>
        <w:t>Nature Medicine</w:t>
      </w:r>
      <w:r w:rsidRPr="009B0835">
        <w:t>, 30(2), pp.595-602. Available at: </w:t>
      </w:r>
      <w:hyperlink r:id="rId18" w:history="1">
        <w:r w:rsidRPr="007471A9">
          <w:rPr>
            <w:rStyle w:val="Hyperlink"/>
          </w:rPr>
          <w:t>https://doi.org/10.1038/s41591-023-02766-x</w:t>
        </w:r>
      </w:hyperlink>
      <w:r>
        <w:t xml:space="preserve">. </w:t>
      </w:r>
    </w:p>
    <w:p w14:paraId="20AC67D5" w14:textId="77777777" w:rsidR="00B43F24" w:rsidRDefault="00B43F24" w:rsidP="00416113">
      <w:r w:rsidRPr="00955654">
        <w:t xml:space="preserve">Hardie, T., Horton, T., Willis, M. and Warburton, W. (2021) 'Switched on: how do we get the best out of automation and AI in health care?', </w:t>
      </w:r>
      <w:r w:rsidRPr="00955654">
        <w:rPr>
          <w:i/>
          <w:iCs/>
        </w:rPr>
        <w:t>The Health Foundation.</w:t>
      </w:r>
      <w:r w:rsidRPr="00955654">
        <w:t> Available at: </w:t>
      </w:r>
      <w:hyperlink r:id="rId19" w:history="1">
        <w:r w:rsidRPr="007471A9">
          <w:rPr>
            <w:rStyle w:val="Hyperlink"/>
          </w:rPr>
          <w:t>https://doi.org/10.37829/HF-2021-I03</w:t>
        </w:r>
      </w:hyperlink>
      <w:r>
        <w:t xml:space="preserve">. </w:t>
      </w:r>
    </w:p>
    <w:p w14:paraId="11181566" w14:textId="77777777" w:rsidR="00B43F24" w:rsidRDefault="00B43F24">
      <w:r w:rsidRPr="00650C3D">
        <w:t xml:space="preserve">Health Research Authority (2022) </w:t>
      </w:r>
      <w:r w:rsidRPr="00650C3D">
        <w:rPr>
          <w:i/>
          <w:iCs/>
        </w:rPr>
        <w:t>Limbic: AI-Enabled Information Collection Tool for Mental Health</w:t>
      </w:r>
      <w:r w:rsidRPr="00650C3D">
        <w:t>. Available at: </w:t>
      </w:r>
      <w:hyperlink r:id="rId20" w:history="1">
        <w:r w:rsidRPr="00B14143">
          <w:rPr>
            <w:rStyle w:val="Hyperlink"/>
          </w:rPr>
          <w:t>https://www.hra.nhs.uk/planning-and-improving-research/application-summaries/research-summaries/limbic-ai-enabled-information-collection-tool-for-mental-health</w:t>
        </w:r>
      </w:hyperlink>
      <w:r>
        <w:t xml:space="preserve"> </w:t>
      </w:r>
      <w:r w:rsidRPr="00650C3D">
        <w:t>(Accessed: 22 September 2026).</w:t>
      </w:r>
    </w:p>
    <w:p w14:paraId="1655067A" w14:textId="56E624C6" w:rsidR="00457FB9" w:rsidRDefault="00457FB9">
      <w:r w:rsidRPr="009641F8">
        <w:t>Information Commissioner’s Office </w:t>
      </w:r>
      <w:r w:rsidRPr="00044A8E">
        <w:rPr>
          <w:color w:val="000000" w:themeColor="text1"/>
        </w:rPr>
        <w:t>(ICO)</w:t>
      </w:r>
      <w:r>
        <w:rPr>
          <w:color w:val="EE0000"/>
        </w:rPr>
        <w:t xml:space="preserve"> </w:t>
      </w:r>
      <w:r w:rsidRPr="009641F8">
        <w:t xml:space="preserve">(2023) </w:t>
      </w:r>
      <w:r w:rsidRPr="009641F8">
        <w:rPr>
          <w:i/>
          <w:iCs/>
        </w:rPr>
        <w:t>Guidance on AI and data protection</w:t>
      </w:r>
      <w:r w:rsidRPr="009641F8">
        <w:t>. Available at: </w:t>
      </w:r>
      <w:hyperlink r:id="rId21" w:history="1">
        <w:r w:rsidRPr="007471A9">
          <w:rPr>
            <w:rStyle w:val="Hyperlink"/>
          </w:rPr>
          <w:t>https://ico.org.uk/for-organisations/uk-gdpr-guidance-and-resources/artificial-intelligence/guidance-on-ai-and-data-protection</w:t>
        </w:r>
      </w:hyperlink>
      <w:r>
        <w:t xml:space="preserve"> </w:t>
      </w:r>
      <w:r w:rsidRPr="009641F8">
        <w:t>(Accessed: 1</w:t>
      </w:r>
      <w:r>
        <w:t>3</w:t>
      </w:r>
      <w:r w:rsidRPr="009641F8">
        <w:t xml:space="preserve"> October 2026).</w:t>
      </w:r>
    </w:p>
    <w:p w14:paraId="78BBABFB" w14:textId="179525F6" w:rsidR="00B43F24" w:rsidRDefault="00B43F24" w:rsidP="00416113">
      <w:r w:rsidRPr="00E67005">
        <w:t>Information Commissioner’s Office</w:t>
      </w:r>
      <w:r>
        <w:t xml:space="preserve"> </w:t>
      </w:r>
      <w:r w:rsidRPr="00044A8E">
        <w:rPr>
          <w:color w:val="000000" w:themeColor="text1"/>
        </w:rPr>
        <w:t>(ICO)</w:t>
      </w:r>
      <w:r w:rsidRPr="00E67005">
        <w:t xml:space="preserve"> (2024) </w:t>
      </w:r>
      <w:r w:rsidRPr="00E67005">
        <w:rPr>
          <w:i/>
          <w:iCs/>
        </w:rPr>
        <w:t>What are the rules on special category data?</w:t>
      </w:r>
      <w:r w:rsidRPr="00E67005">
        <w:t xml:space="preserve">. Available at: </w:t>
      </w:r>
      <w:hyperlink r:id="rId22" w:history="1">
        <w:r w:rsidRPr="007471A9">
          <w:rPr>
            <w:rStyle w:val="Hyperlink"/>
          </w:rPr>
          <w:t>https://ico.org.uk/for-organisations/uk-gdpr-guidance-and-resources/lawful-basis/special-category-data/what-are-the-rules-on-special-category-data</w:t>
        </w:r>
      </w:hyperlink>
      <w:r>
        <w:t xml:space="preserve"> </w:t>
      </w:r>
      <w:r w:rsidRPr="00E67005">
        <w:t>(Accessed: 13 October 2026).</w:t>
      </w:r>
      <w:r>
        <w:t xml:space="preserve"> </w:t>
      </w:r>
    </w:p>
    <w:p w14:paraId="52C1C41A" w14:textId="77777777" w:rsidR="00B43F24" w:rsidRDefault="00B43F24" w:rsidP="00416113">
      <w:r w:rsidRPr="00C520F5">
        <w:t xml:space="preserve">Lovell, A., Barnish, M.S., Robinson, S., Farmer, C., Wilson, E.C. and Lee, D. (2025) 'NICE’s early value assessment: an external assessment group’s commentary on the challenges and opportunities of NICE’s new life cycle approach to HealthTech', </w:t>
      </w:r>
      <w:r w:rsidRPr="00C520F5">
        <w:rPr>
          <w:i/>
          <w:iCs/>
        </w:rPr>
        <w:t>International Journal of Technology Assessment in Health Care</w:t>
      </w:r>
      <w:r w:rsidRPr="00C520F5">
        <w:t>, 41(1), p.e75. Available at: </w:t>
      </w:r>
      <w:hyperlink r:id="rId23" w:history="1">
        <w:r w:rsidRPr="00DB4EB1">
          <w:rPr>
            <w:rStyle w:val="Hyperlink"/>
          </w:rPr>
          <w:t>https://doi.org/10.1017/S026646232510055X</w:t>
        </w:r>
      </w:hyperlink>
      <w:r>
        <w:t xml:space="preserve">. </w:t>
      </w:r>
    </w:p>
    <w:p w14:paraId="6E8D0677" w14:textId="77777777" w:rsidR="00B43F24" w:rsidRPr="00416113" w:rsidRDefault="00B43F24" w:rsidP="00416113">
      <w:r w:rsidRPr="00482466">
        <w:t xml:space="preserve">Lowther-Payne, H.J., Ushakova, A., Beckwith, A., Liberty, C., Edge, R. and Lobban, F. (2023) 'Understanding inequalities in access to adult mental health services in the UK: a systematic mapping review', </w:t>
      </w:r>
      <w:r w:rsidRPr="00482466">
        <w:rPr>
          <w:i/>
          <w:iCs/>
        </w:rPr>
        <w:t>BMC Health Services Research</w:t>
      </w:r>
      <w:r w:rsidRPr="00482466">
        <w:t>, 23(1), p.1042. Available at: </w:t>
      </w:r>
      <w:hyperlink r:id="rId24" w:history="1">
        <w:r w:rsidRPr="007471A9">
          <w:rPr>
            <w:rStyle w:val="Hyperlink"/>
          </w:rPr>
          <w:t>https://doi.org/10.1186/s12913-023-10030-8</w:t>
        </w:r>
      </w:hyperlink>
      <w:r>
        <w:t xml:space="preserve">. </w:t>
      </w:r>
    </w:p>
    <w:p w14:paraId="333DE816" w14:textId="77777777" w:rsidR="00B43F24" w:rsidRDefault="00B43F24" w:rsidP="00416113">
      <w:r w:rsidRPr="0046569A">
        <w:t xml:space="preserve">Medicines and Healthcare products Regulatory Agency </w:t>
      </w:r>
      <w:r>
        <w:t xml:space="preserve">(MHRA) </w:t>
      </w:r>
      <w:r w:rsidRPr="0046569A">
        <w:t xml:space="preserve">(2023) </w:t>
      </w:r>
      <w:r w:rsidRPr="0046569A">
        <w:rPr>
          <w:i/>
          <w:iCs/>
        </w:rPr>
        <w:t>Software and AI as a Medical Device Change Programme</w:t>
      </w:r>
      <w:r w:rsidRPr="0046569A">
        <w:t>. Available at: </w:t>
      </w:r>
      <w:hyperlink r:id="rId25" w:history="1">
        <w:r w:rsidRPr="007471A9">
          <w:rPr>
            <w:rStyle w:val="Hyperlink"/>
          </w:rPr>
          <w:t>https://www.gov.uk/government/publications/software-and-ai-as-a-medical-device-change-programme</w:t>
        </w:r>
      </w:hyperlink>
      <w:r>
        <w:t xml:space="preserve"> </w:t>
      </w:r>
      <w:r w:rsidRPr="0046569A">
        <w:t>(Accessed: 13 October 2026).</w:t>
      </w:r>
      <w:r w:rsidRPr="008B3C5E">
        <w:t> </w:t>
      </w:r>
    </w:p>
    <w:p w14:paraId="68FD5A59" w14:textId="77777777" w:rsidR="00B43F24" w:rsidRDefault="00B43F24" w:rsidP="00416113">
      <w:r w:rsidRPr="001312FD">
        <w:lastRenderedPageBreak/>
        <w:t xml:space="preserve">Middle, R. and Welch, L. (2022) 'Experiences of digital exclusion and the impact on health in people living with severe mental illness', </w:t>
      </w:r>
      <w:r w:rsidRPr="001312FD">
        <w:rPr>
          <w:i/>
          <w:iCs/>
        </w:rPr>
        <w:t xml:space="preserve">Frontiers in </w:t>
      </w:r>
      <w:r>
        <w:rPr>
          <w:i/>
          <w:iCs/>
        </w:rPr>
        <w:t>D</w:t>
      </w:r>
      <w:r w:rsidRPr="001312FD">
        <w:rPr>
          <w:i/>
          <w:iCs/>
        </w:rPr>
        <w:t xml:space="preserve">igital </w:t>
      </w:r>
      <w:r>
        <w:rPr>
          <w:i/>
          <w:iCs/>
        </w:rPr>
        <w:t>H</w:t>
      </w:r>
      <w:r w:rsidRPr="001312FD">
        <w:rPr>
          <w:i/>
          <w:iCs/>
        </w:rPr>
        <w:t>ealth</w:t>
      </w:r>
      <w:r w:rsidRPr="001312FD">
        <w:t>, 4, p.1004547. Available at: </w:t>
      </w:r>
      <w:hyperlink r:id="rId26" w:history="1">
        <w:r w:rsidRPr="007471A9">
          <w:rPr>
            <w:rStyle w:val="Hyperlink"/>
          </w:rPr>
          <w:t>https://doi.org/10.3389/fdgth.2022.1004547</w:t>
        </w:r>
      </w:hyperlink>
      <w:r>
        <w:t xml:space="preserve">. </w:t>
      </w:r>
    </w:p>
    <w:p w14:paraId="5A7FF7AD" w14:textId="77777777" w:rsidR="00B43F24" w:rsidRDefault="00B43F24" w:rsidP="00416113">
      <w:r w:rsidRPr="004E159D">
        <w:t xml:space="preserve">Mistry, P. (2025) </w:t>
      </w:r>
      <w:r w:rsidRPr="004E159D">
        <w:rPr>
          <w:i/>
          <w:iCs/>
        </w:rPr>
        <w:t>Infrastructure for Innovation: Getting the NHS and Social Care Ready for AI</w:t>
      </w:r>
      <w:r w:rsidRPr="004E159D">
        <w:t xml:space="preserve">. Available at: </w:t>
      </w:r>
      <w:hyperlink r:id="rId27" w:history="1">
        <w:r w:rsidRPr="00DB4EB1">
          <w:rPr>
            <w:rStyle w:val="Hyperlink"/>
          </w:rPr>
          <w:t>https://www.kingsfund.org.uk/insight-and-analysis/long-reads/infrastructure-nhs-social-care-ai</w:t>
        </w:r>
      </w:hyperlink>
      <w:r>
        <w:t xml:space="preserve"> </w:t>
      </w:r>
      <w:r w:rsidRPr="004E159D">
        <w:t>(Accessed: 10 October 2026).</w:t>
      </w:r>
    </w:p>
    <w:p w14:paraId="7A4D7E89" w14:textId="77777777" w:rsidR="00B43F24" w:rsidRDefault="00B43F24" w:rsidP="00416113">
      <w:r w:rsidRPr="00416113">
        <w:t xml:space="preserve">National Institute for Health and Care Excellence (NICE) (2025) </w:t>
      </w:r>
      <w:r w:rsidRPr="00416113">
        <w:rPr>
          <w:i/>
          <w:iCs/>
        </w:rPr>
        <w:t>Digital front door technologies to gather service user information for NHS Talking Therapies for anxiety and depression assessments: early value assessment</w:t>
      </w:r>
      <w:r w:rsidRPr="00416113">
        <w:t>. Available at: </w:t>
      </w:r>
      <w:hyperlink r:id="rId28" w:history="1">
        <w:r w:rsidRPr="00DB4EB1">
          <w:rPr>
            <w:rStyle w:val="Hyperlink"/>
          </w:rPr>
          <w:t>https://www.nice.org.uk/guidance/htg756</w:t>
        </w:r>
      </w:hyperlink>
      <w:r>
        <w:t xml:space="preserve"> </w:t>
      </w:r>
      <w:r w:rsidRPr="00416113">
        <w:t xml:space="preserve">(Accessed: </w:t>
      </w:r>
      <w:r>
        <w:t>23 September</w:t>
      </w:r>
      <w:r w:rsidRPr="00416113">
        <w:t xml:space="preserve"> 2026).</w:t>
      </w:r>
    </w:p>
    <w:p w14:paraId="09FC540B" w14:textId="77777777" w:rsidR="00B43F24" w:rsidRDefault="00B43F24" w:rsidP="00416113">
      <w:r w:rsidRPr="00CC11BB">
        <w:t xml:space="preserve">NHS England (2023) </w:t>
      </w:r>
      <w:r w:rsidRPr="00CC11BB">
        <w:rPr>
          <w:i/>
          <w:iCs/>
        </w:rPr>
        <w:t>NHS Long Term Workforce Plan</w:t>
      </w:r>
      <w:r w:rsidRPr="00CC11BB">
        <w:t>. Available at: </w:t>
      </w:r>
      <w:hyperlink r:id="rId29" w:history="1">
        <w:r w:rsidRPr="007471A9">
          <w:rPr>
            <w:rStyle w:val="Hyperlink"/>
          </w:rPr>
          <w:t>https://www.england.nhs.uk/publication/nhs-long-term--workforce-plan</w:t>
        </w:r>
      </w:hyperlink>
      <w:r>
        <w:t xml:space="preserve"> </w:t>
      </w:r>
      <w:r w:rsidRPr="00CC11BB">
        <w:t>(Accessed: 9 October 2026).</w:t>
      </w:r>
    </w:p>
    <w:p w14:paraId="3030F0A8" w14:textId="77777777" w:rsidR="00B43F24" w:rsidRDefault="00B43F24" w:rsidP="00416113">
      <w:r w:rsidRPr="009B2117">
        <w:t>NHS England (2024</w:t>
      </w:r>
      <w:r>
        <w:t>a</w:t>
      </w:r>
      <w:r w:rsidRPr="009B2117">
        <w:t xml:space="preserve">) </w:t>
      </w:r>
      <w:r w:rsidRPr="009B2117">
        <w:rPr>
          <w:i/>
          <w:iCs/>
        </w:rPr>
        <w:t>Inclusive digital healthcare: a framework for NHS action on digital inclusion</w:t>
      </w:r>
      <w:r w:rsidRPr="009B2117">
        <w:t>. Available at: </w:t>
      </w:r>
      <w:hyperlink r:id="rId30" w:history="1">
        <w:r w:rsidRPr="007471A9">
          <w:rPr>
            <w:rStyle w:val="Hyperlink"/>
          </w:rPr>
          <w:t>https://www.england.nhs.uk/long-read/inclusive-digital-healthcare-a-framework-for-nhs-action-on-digital-inclusion</w:t>
        </w:r>
      </w:hyperlink>
      <w:r>
        <w:t xml:space="preserve"> </w:t>
      </w:r>
      <w:r w:rsidRPr="009B2117">
        <w:t>(Accessed: 14 October 2026).</w:t>
      </w:r>
    </w:p>
    <w:p w14:paraId="608D1B85" w14:textId="77777777" w:rsidR="00B43F24" w:rsidRDefault="00B43F24" w:rsidP="00A20EBF">
      <w:r w:rsidRPr="00AC218F">
        <w:t>NHS England (202</w:t>
      </w:r>
      <w:r>
        <w:t>4b</w:t>
      </w:r>
      <w:r w:rsidRPr="00AC218F">
        <w:t xml:space="preserve">) </w:t>
      </w:r>
      <w:r w:rsidRPr="00A20EBF">
        <w:rPr>
          <w:i/>
          <w:iCs/>
        </w:rPr>
        <w:t>NHS Talking Therapies for anxiety and depression Manual</w:t>
      </w:r>
      <w:r w:rsidRPr="00AC218F">
        <w:t xml:space="preserve">. Available at: </w:t>
      </w:r>
      <w:hyperlink r:id="rId31" w:history="1">
        <w:r w:rsidRPr="00DD4BD8">
          <w:rPr>
            <w:rStyle w:val="Hyperlink"/>
          </w:rPr>
          <w:t>https://www.england.nhs.uk/publication/the-improving-access-to-psychological-therapies-manual</w:t>
        </w:r>
      </w:hyperlink>
      <w:r>
        <w:t xml:space="preserve"> </w:t>
      </w:r>
      <w:r w:rsidRPr="00AC218F">
        <w:t xml:space="preserve">(Accessed: </w:t>
      </w:r>
      <w:r>
        <w:t>7</w:t>
      </w:r>
      <w:r w:rsidRPr="00AC218F">
        <w:t xml:space="preserve"> </w:t>
      </w:r>
      <w:r>
        <w:t>October</w:t>
      </w:r>
      <w:r w:rsidRPr="00AC218F">
        <w:t xml:space="preserve"> 2026).</w:t>
      </w:r>
    </w:p>
    <w:p w14:paraId="2065A9E4" w14:textId="77777777" w:rsidR="00B43F24" w:rsidRDefault="00B43F24" w:rsidP="00416113">
      <w:r w:rsidRPr="00AC218F">
        <w:t xml:space="preserve">NHS England (2025) </w:t>
      </w:r>
      <w:r w:rsidRPr="00AC218F">
        <w:rPr>
          <w:i/>
          <w:iCs/>
        </w:rPr>
        <w:t>NHS Talking Therapies, for anxiety and depression, Annual reports, 2024-25</w:t>
      </w:r>
      <w:r w:rsidRPr="00AC218F">
        <w:t xml:space="preserve">. Available at: </w:t>
      </w:r>
      <w:hyperlink r:id="rId32" w:history="1">
        <w:r w:rsidRPr="00DB4EB1">
          <w:rPr>
            <w:rStyle w:val="Hyperlink"/>
          </w:rPr>
          <w:t>https://digital.nhs.uk/data-and-information/publications/statistical/nhs-talking-therapies-for-anxiety-and-depression-annual-reports/2024-25</w:t>
        </w:r>
      </w:hyperlink>
      <w:r>
        <w:t xml:space="preserve"> </w:t>
      </w:r>
      <w:r w:rsidRPr="00AC218F">
        <w:t>(Accessed: 23 September 2026).</w:t>
      </w:r>
    </w:p>
    <w:p w14:paraId="77334ADE" w14:textId="77777777" w:rsidR="00B43F24" w:rsidRDefault="00B43F24" w:rsidP="00416113">
      <w:proofErr w:type="spellStart"/>
      <w:r w:rsidRPr="00D520D0">
        <w:t>Rollwage</w:t>
      </w:r>
      <w:proofErr w:type="spellEnd"/>
      <w:r w:rsidRPr="00D520D0">
        <w:t xml:space="preserve">, M., Habicht, J., </w:t>
      </w:r>
      <w:proofErr w:type="spellStart"/>
      <w:r w:rsidRPr="00D520D0">
        <w:t>Juechems</w:t>
      </w:r>
      <w:proofErr w:type="spellEnd"/>
      <w:r w:rsidRPr="00D520D0">
        <w:t xml:space="preserve">, K., Carrington, B., Viswanathan, S., Stylianou, M., Hauser, T.U. and Harper, R. (2023) 'Using conversational AI to facilitate mental health assessments and improve clinical efficiency within psychotherapy services: real-world observational study', </w:t>
      </w:r>
      <w:r w:rsidRPr="002B77C2">
        <w:rPr>
          <w:i/>
          <w:iCs/>
        </w:rPr>
        <w:t>JMIR AI</w:t>
      </w:r>
      <w:r w:rsidRPr="00D520D0">
        <w:t>, 2, p.e44358. Available at: </w:t>
      </w:r>
      <w:hyperlink r:id="rId33" w:history="1">
        <w:r w:rsidRPr="00DB4EB1">
          <w:rPr>
            <w:rStyle w:val="Hyperlink"/>
          </w:rPr>
          <w:t>https://doi.org/10.2196/44358</w:t>
        </w:r>
      </w:hyperlink>
      <w:r>
        <w:t xml:space="preserve">. </w:t>
      </w:r>
    </w:p>
    <w:p w14:paraId="05CC2BF3" w14:textId="77777777" w:rsidR="00B43F24" w:rsidRDefault="00B43F24">
      <w:r w:rsidRPr="00791757">
        <w:t xml:space="preserve">Surrey and Borders Partnership NHS Foundation Trust (2023) </w:t>
      </w:r>
      <w:r w:rsidRPr="00791757">
        <w:rPr>
          <w:i/>
          <w:iCs/>
        </w:rPr>
        <w:t>AI chatbot used by Mind Matters Surrey awarded medical device status</w:t>
      </w:r>
      <w:r w:rsidRPr="00791757">
        <w:t>. Available at: </w:t>
      </w:r>
      <w:hyperlink r:id="rId34" w:history="1">
        <w:r w:rsidRPr="00822098">
          <w:rPr>
            <w:rStyle w:val="Hyperlink"/>
          </w:rPr>
          <w:t>https://www.sabp.nhs.uk/news/ai-chatbot-used-mind-matters-surrey-awarded-medical-device-status</w:t>
        </w:r>
      </w:hyperlink>
      <w:r>
        <w:t xml:space="preserve"> </w:t>
      </w:r>
      <w:r w:rsidRPr="00791757">
        <w:t>(Accessed: 23 September 2026).</w:t>
      </w:r>
    </w:p>
    <w:p w14:paraId="04BEC227" w14:textId="77777777" w:rsidR="00B43F24" w:rsidRDefault="00B43F24" w:rsidP="00416113">
      <w:proofErr w:type="spellStart"/>
      <w:r w:rsidRPr="00F33033">
        <w:lastRenderedPageBreak/>
        <w:t>UCLPartners</w:t>
      </w:r>
      <w:proofErr w:type="spellEnd"/>
      <w:r w:rsidRPr="00F33033">
        <w:t xml:space="preserve"> (2026) </w:t>
      </w:r>
      <w:r w:rsidRPr="00F33033">
        <w:rPr>
          <w:i/>
          <w:iCs/>
        </w:rPr>
        <w:t>New report calls for workforce-centred AI adoption</w:t>
      </w:r>
      <w:r w:rsidRPr="00F33033">
        <w:t>. Available at: </w:t>
      </w:r>
      <w:hyperlink r:id="rId35" w:history="1">
        <w:r w:rsidRPr="007471A9">
          <w:rPr>
            <w:rStyle w:val="Hyperlink"/>
          </w:rPr>
          <w:t>https://uclpartners.com/new-report-calls-for-workforce-centred-ai-adoption</w:t>
        </w:r>
      </w:hyperlink>
      <w:r>
        <w:t xml:space="preserve"> </w:t>
      </w:r>
      <w:r w:rsidRPr="00F33033">
        <w:t>(Accessed: 10 October 2026).</w:t>
      </w:r>
    </w:p>
    <w:sectPr w:rsidR="00B43F24" w:rsidSect="005563FB">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795FF" w14:textId="77777777" w:rsidR="00D77EEE" w:rsidRDefault="00D77EEE" w:rsidP="00387EA6">
      <w:pPr>
        <w:spacing w:after="0" w:line="240" w:lineRule="auto"/>
      </w:pPr>
      <w:r>
        <w:separator/>
      </w:r>
    </w:p>
  </w:endnote>
  <w:endnote w:type="continuationSeparator" w:id="0">
    <w:p w14:paraId="2F99B671" w14:textId="77777777" w:rsidR="00D77EEE" w:rsidRDefault="00D77EEE"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FD402" w14:textId="77777777" w:rsidR="00D77EEE" w:rsidRDefault="00D77EEE" w:rsidP="00387EA6">
      <w:pPr>
        <w:spacing w:after="0" w:line="240" w:lineRule="auto"/>
      </w:pPr>
      <w:r>
        <w:separator/>
      </w:r>
    </w:p>
  </w:footnote>
  <w:footnote w:type="continuationSeparator" w:id="0">
    <w:p w14:paraId="5D8C4FE6" w14:textId="77777777" w:rsidR="00D77EEE" w:rsidRDefault="00D77EEE"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numFmt w:val="bullet"/>
      <w:lvlText w:val="·"/>
      <w:lvlJc w:val="left"/>
      <w:pPr>
        <w:tabs>
          <w:tab w:val="num" w:pos="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F55D1"/>
    <w:multiLevelType w:val="hybridMultilevel"/>
    <w:tmpl w:val="81401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41A2C"/>
    <w:multiLevelType w:val="hybridMultilevel"/>
    <w:tmpl w:val="6F0459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7B30"/>
    <w:multiLevelType w:val="hybridMultilevel"/>
    <w:tmpl w:val="44AE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830DA"/>
    <w:multiLevelType w:val="hybridMultilevel"/>
    <w:tmpl w:val="8F3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57671"/>
    <w:multiLevelType w:val="hybridMultilevel"/>
    <w:tmpl w:val="80583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E1F51"/>
    <w:multiLevelType w:val="multilevel"/>
    <w:tmpl w:val="3FC0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55D36"/>
    <w:multiLevelType w:val="hybridMultilevel"/>
    <w:tmpl w:val="390A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B91EA3"/>
    <w:multiLevelType w:val="hybridMultilevel"/>
    <w:tmpl w:val="FBBE2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E636C6"/>
    <w:multiLevelType w:val="hybridMultilevel"/>
    <w:tmpl w:val="E7729D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68217D"/>
    <w:multiLevelType w:val="multilevel"/>
    <w:tmpl w:val="EED0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64487">
    <w:abstractNumId w:val="10"/>
  </w:num>
  <w:num w:numId="2" w16cid:durableId="1060441207">
    <w:abstractNumId w:val="13"/>
  </w:num>
  <w:num w:numId="3" w16cid:durableId="1816802238">
    <w:abstractNumId w:val="8"/>
  </w:num>
  <w:num w:numId="4" w16cid:durableId="1186481913">
    <w:abstractNumId w:val="3"/>
  </w:num>
  <w:num w:numId="5" w16cid:durableId="1193684621">
    <w:abstractNumId w:val="2"/>
  </w:num>
  <w:num w:numId="6" w16cid:durableId="70391240">
    <w:abstractNumId w:val="9"/>
  </w:num>
  <w:num w:numId="7" w16cid:durableId="1928731313">
    <w:abstractNumId w:val="6"/>
  </w:num>
  <w:num w:numId="8" w16cid:durableId="667908488">
    <w:abstractNumId w:val="4"/>
  </w:num>
  <w:num w:numId="9" w16cid:durableId="489639045">
    <w:abstractNumId w:val="14"/>
  </w:num>
  <w:num w:numId="10" w16cid:durableId="1459910730">
    <w:abstractNumId w:val="1"/>
  </w:num>
  <w:num w:numId="11" w16cid:durableId="743995791">
    <w:abstractNumId w:val="5"/>
  </w:num>
  <w:num w:numId="12" w16cid:durableId="1179002423">
    <w:abstractNumId w:val="11"/>
  </w:num>
  <w:num w:numId="13" w16cid:durableId="350566995">
    <w:abstractNumId w:val="12"/>
  </w:num>
  <w:num w:numId="14" w16cid:durableId="719748789">
    <w:abstractNumId w:val="0"/>
  </w:num>
  <w:num w:numId="15" w16cid:durableId="342055923">
    <w:abstractNumId w:val="15"/>
  </w:num>
  <w:num w:numId="16" w16cid:durableId="21317019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18B1"/>
    <w:rsid w:val="00001E9E"/>
    <w:rsid w:val="00003DAB"/>
    <w:rsid w:val="00005E10"/>
    <w:rsid w:val="00006557"/>
    <w:rsid w:val="000136CF"/>
    <w:rsid w:val="00014513"/>
    <w:rsid w:val="0001731B"/>
    <w:rsid w:val="00017B93"/>
    <w:rsid w:val="00025C1F"/>
    <w:rsid w:val="000309FA"/>
    <w:rsid w:val="00030B70"/>
    <w:rsid w:val="000317C7"/>
    <w:rsid w:val="0003180D"/>
    <w:rsid w:val="00031D64"/>
    <w:rsid w:val="00033CF6"/>
    <w:rsid w:val="00034499"/>
    <w:rsid w:val="000345D3"/>
    <w:rsid w:val="00036D3E"/>
    <w:rsid w:val="00041260"/>
    <w:rsid w:val="00042727"/>
    <w:rsid w:val="00043447"/>
    <w:rsid w:val="00043AED"/>
    <w:rsid w:val="00043B51"/>
    <w:rsid w:val="000447B0"/>
    <w:rsid w:val="00044A8E"/>
    <w:rsid w:val="00044CA2"/>
    <w:rsid w:val="000464D8"/>
    <w:rsid w:val="000508FE"/>
    <w:rsid w:val="000517EC"/>
    <w:rsid w:val="00052C20"/>
    <w:rsid w:val="000577AF"/>
    <w:rsid w:val="00061087"/>
    <w:rsid w:val="0006204C"/>
    <w:rsid w:val="0006316A"/>
    <w:rsid w:val="000649DA"/>
    <w:rsid w:val="00064CB7"/>
    <w:rsid w:val="00071CAF"/>
    <w:rsid w:val="00074197"/>
    <w:rsid w:val="00075C17"/>
    <w:rsid w:val="00075CCE"/>
    <w:rsid w:val="00081E9D"/>
    <w:rsid w:val="0008307D"/>
    <w:rsid w:val="0008547D"/>
    <w:rsid w:val="00086059"/>
    <w:rsid w:val="00087804"/>
    <w:rsid w:val="00087A2E"/>
    <w:rsid w:val="000913E0"/>
    <w:rsid w:val="00091ABE"/>
    <w:rsid w:val="00091D8A"/>
    <w:rsid w:val="0009367E"/>
    <w:rsid w:val="00097D8E"/>
    <w:rsid w:val="000A4490"/>
    <w:rsid w:val="000B30F1"/>
    <w:rsid w:val="000B6227"/>
    <w:rsid w:val="000B7731"/>
    <w:rsid w:val="000B7765"/>
    <w:rsid w:val="000C06EA"/>
    <w:rsid w:val="000C387D"/>
    <w:rsid w:val="000C42D0"/>
    <w:rsid w:val="000C62E0"/>
    <w:rsid w:val="000C7750"/>
    <w:rsid w:val="000D1377"/>
    <w:rsid w:val="000D144F"/>
    <w:rsid w:val="000D41CF"/>
    <w:rsid w:val="000D4379"/>
    <w:rsid w:val="000D4570"/>
    <w:rsid w:val="000D4EF6"/>
    <w:rsid w:val="000E1928"/>
    <w:rsid w:val="000E25E8"/>
    <w:rsid w:val="000E324E"/>
    <w:rsid w:val="000E54E4"/>
    <w:rsid w:val="000E6BD3"/>
    <w:rsid w:val="000E6D16"/>
    <w:rsid w:val="000E74BF"/>
    <w:rsid w:val="000E795A"/>
    <w:rsid w:val="000E7ED7"/>
    <w:rsid w:val="000F1A60"/>
    <w:rsid w:val="000F23A2"/>
    <w:rsid w:val="000F336A"/>
    <w:rsid w:val="000F4382"/>
    <w:rsid w:val="000F4E8D"/>
    <w:rsid w:val="000F69A5"/>
    <w:rsid w:val="000F7FE2"/>
    <w:rsid w:val="0010006E"/>
    <w:rsid w:val="00100914"/>
    <w:rsid w:val="00102C27"/>
    <w:rsid w:val="0010333B"/>
    <w:rsid w:val="00105650"/>
    <w:rsid w:val="00105679"/>
    <w:rsid w:val="00105C04"/>
    <w:rsid w:val="0011168B"/>
    <w:rsid w:val="00115012"/>
    <w:rsid w:val="00116A0C"/>
    <w:rsid w:val="0011700B"/>
    <w:rsid w:val="00120B5B"/>
    <w:rsid w:val="001226BF"/>
    <w:rsid w:val="0012308D"/>
    <w:rsid w:val="00123109"/>
    <w:rsid w:val="0012421D"/>
    <w:rsid w:val="00124C33"/>
    <w:rsid w:val="00125AF9"/>
    <w:rsid w:val="00126F7C"/>
    <w:rsid w:val="001312FD"/>
    <w:rsid w:val="00134442"/>
    <w:rsid w:val="001351EE"/>
    <w:rsid w:val="0013595E"/>
    <w:rsid w:val="0013617B"/>
    <w:rsid w:val="001369F7"/>
    <w:rsid w:val="00136DC1"/>
    <w:rsid w:val="00137577"/>
    <w:rsid w:val="00140536"/>
    <w:rsid w:val="00142674"/>
    <w:rsid w:val="00144560"/>
    <w:rsid w:val="00145245"/>
    <w:rsid w:val="001460A4"/>
    <w:rsid w:val="00152544"/>
    <w:rsid w:val="001572DF"/>
    <w:rsid w:val="00160ECB"/>
    <w:rsid w:val="00161380"/>
    <w:rsid w:val="00161AE6"/>
    <w:rsid w:val="001625AA"/>
    <w:rsid w:val="001633D7"/>
    <w:rsid w:val="00164F6C"/>
    <w:rsid w:val="00165783"/>
    <w:rsid w:val="00171504"/>
    <w:rsid w:val="001715E2"/>
    <w:rsid w:val="00171B5D"/>
    <w:rsid w:val="0017363C"/>
    <w:rsid w:val="00173A70"/>
    <w:rsid w:val="00173E14"/>
    <w:rsid w:val="00174A7F"/>
    <w:rsid w:val="00176558"/>
    <w:rsid w:val="00177509"/>
    <w:rsid w:val="00177980"/>
    <w:rsid w:val="001819D4"/>
    <w:rsid w:val="00181C53"/>
    <w:rsid w:val="00182037"/>
    <w:rsid w:val="0018213B"/>
    <w:rsid w:val="00182398"/>
    <w:rsid w:val="001829F6"/>
    <w:rsid w:val="00183668"/>
    <w:rsid w:val="00183A8B"/>
    <w:rsid w:val="00186840"/>
    <w:rsid w:val="00187AD3"/>
    <w:rsid w:val="00187E97"/>
    <w:rsid w:val="0019212B"/>
    <w:rsid w:val="001926C1"/>
    <w:rsid w:val="00192F61"/>
    <w:rsid w:val="0019308C"/>
    <w:rsid w:val="001937DA"/>
    <w:rsid w:val="00193D24"/>
    <w:rsid w:val="0019464F"/>
    <w:rsid w:val="00194805"/>
    <w:rsid w:val="001953B2"/>
    <w:rsid w:val="0019576C"/>
    <w:rsid w:val="00196966"/>
    <w:rsid w:val="001973BF"/>
    <w:rsid w:val="001A109F"/>
    <w:rsid w:val="001A10A3"/>
    <w:rsid w:val="001A1A5D"/>
    <w:rsid w:val="001A3134"/>
    <w:rsid w:val="001A3770"/>
    <w:rsid w:val="001A3BE2"/>
    <w:rsid w:val="001A4659"/>
    <w:rsid w:val="001A5A69"/>
    <w:rsid w:val="001A6824"/>
    <w:rsid w:val="001B1DEB"/>
    <w:rsid w:val="001B2E9D"/>
    <w:rsid w:val="001B31C8"/>
    <w:rsid w:val="001B3C58"/>
    <w:rsid w:val="001B70B9"/>
    <w:rsid w:val="001B7178"/>
    <w:rsid w:val="001B77AF"/>
    <w:rsid w:val="001B7B8D"/>
    <w:rsid w:val="001C0122"/>
    <w:rsid w:val="001C0254"/>
    <w:rsid w:val="001C0E35"/>
    <w:rsid w:val="001C1AE7"/>
    <w:rsid w:val="001C1F87"/>
    <w:rsid w:val="001C2BE4"/>
    <w:rsid w:val="001C714D"/>
    <w:rsid w:val="001D109C"/>
    <w:rsid w:val="001D7B2C"/>
    <w:rsid w:val="001E051B"/>
    <w:rsid w:val="001E07E3"/>
    <w:rsid w:val="001E1517"/>
    <w:rsid w:val="001E2BE8"/>
    <w:rsid w:val="001E3986"/>
    <w:rsid w:val="001E4EDE"/>
    <w:rsid w:val="001E5EF7"/>
    <w:rsid w:val="001F10DB"/>
    <w:rsid w:val="001F23DE"/>
    <w:rsid w:val="001F2D62"/>
    <w:rsid w:val="001F39B7"/>
    <w:rsid w:val="001F4322"/>
    <w:rsid w:val="001F5E85"/>
    <w:rsid w:val="001F7EE8"/>
    <w:rsid w:val="002017E9"/>
    <w:rsid w:val="00201AEC"/>
    <w:rsid w:val="00201FA6"/>
    <w:rsid w:val="00202CFD"/>
    <w:rsid w:val="0021102F"/>
    <w:rsid w:val="00213399"/>
    <w:rsid w:val="0021475E"/>
    <w:rsid w:val="00215D6C"/>
    <w:rsid w:val="00215FA6"/>
    <w:rsid w:val="002163CE"/>
    <w:rsid w:val="00216561"/>
    <w:rsid w:val="00217280"/>
    <w:rsid w:val="002172EC"/>
    <w:rsid w:val="00217373"/>
    <w:rsid w:val="00220E2A"/>
    <w:rsid w:val="00221508"/>
    <w:rsid w:val="00222C97"/>
    <w:rsid w:val="00227772"/>
    <w:rsid w:val="00230E87"/>
    <w:rsid w:val="002325E0"/>
    <w:rsid w:val="002338A7"/>
    <w:rsid w:val="00235F72"/>
    <w:rsid w:val="00236E22"/>
    <w:rsid w:val="00236E8B"/>
    <w:rsid w:val="00237220"/>
    <w:rsid w:val="00237226"/>
    <w:rsid w:val="0023777B"/>
    <w:rsid w:val="0024058F"/>
    <w:rsid w:val="00241D9E"/>
    <w:rsid w:val="00242F57"/>
    <w:rsid w:val="00245B63"/>
    <w:rsid w:val="0024600F"/>
    <w:rsid w:val="00247F8C"/>
    <w:rsid w:val="00251DFA"/>
    <w:rsid w:val="00252450"/>
    <w:rsid w:val="002545A2"/>
    <w:rsid w:val="002554D6"/>
    <w:rsid w:val="00257042"/>
    <w:rsid w:val="0025721E"/>
    <w:rsid w:val="00257454"/>
    <w:rsid w:val="0026141B"/>
    <w:rsid w:val="00261B41"/>
    <w:rsid w:val="00261E8A"/>
    <w:rsid w:val="002635D5"/>
    <w:rsid w:val="00270510"/>
    <w:rsid w:val="00270817"/>
    <w:rsid w:val="002725B6"/>
    <w:rsid w:val="00272810"/>
    <w:rsid w:val="00276D48"/>
    <w:rsid w:val="00277853"/>
    <w:rsid w:val="00280378"/>
    <w:rsid w:val="002824CF"/>
    <w:rsid w:val="00282D06"/>
    <w:rsid w:val="00283600"/>
    <w:rsid w:val="00285DCE"/>
    <w:rsid w:val="00294DC6"/>
    <w:rsid w:val="002952C3"/>
    <w:rsid w:val="00295BF9"/>
    <w:rsid w:val="002A2B55"/>
    <w:rsid w:val="002A5676"/>
    <w:rsid w:val="002B0BEF"/>
    <w:rsid w:val="002B170F"/>
    <w:rsid w:val="002B47F4"/>
    <w:rsid w:val="002B53F7"/>
    <w:rsid w:val="002B5E01"/>
    <w:rsid w:val="002B606D"/>
    <w:rsid w:val="002B6323"/>
    <w:rsid w:val="002B7621"/>
    <w:rsid w:val="002B77C2"/>
    <w:rsid w:val="002B7979"/>
    <w:rsid w:val="002C066E"/>
    <w:rsid w:val="002C72D5"/>
    <w:rsid w:val="002C78F8"/>
    <w:rsid w:val="002C7F5E"/>
    <w:rsid w:val="002D2CBC"/>
    <w:rsid w:val="002D39BB"/>
    <w:rsid w:val="002D4E9C"/>
    <w:rsid w:val="002D6053"/>
    <w:rsid w:val="002D6883"/>
    <w:rsid w:val="002D6B16"/>
    <w:rsid w:val="002E2294"/>
    <w:rsid w:val="002E539E"/>
    <w:rsid w:val="002E6CAC"/>
    <w:rsid w:val="002E7423"/>
    <w:rsid w:val="002E7F90"/>
    <w:rsid w:val="002F4ED0"/>
    <w:rsid w:val="002F7764"/>
    <w:rsid w:val="003018B6"/>
    <w:rsid w:val="0030443A"/>
    <w:rsid w:val="003066D0"/>
    <w:rsid w:val="00306BE8"/>
    <w:rsid w:val="0031021A"/>
    <w:rsid w:val="00310469"/>
    <w:rsid w:val="00312545"/>
    <w:rsid w:val="00312EE6"/>
    <w:rsid w:val="003147B5"/>
    <w:rsid w:val="0031574D"/>
    <w:rsid w:val="00317D56"/>
    <w:rsid w:val="00317F97"/>
    <w:rsid w:val="0032075A"/>
    <w:rsid w:val="003209F9"/>
    <w:rsid w:val="003216B6"/>
    <w:rsid w:val="003219CB"/>
    <w:rsid w:val="00322CF1"/>
    <w:rsid w:val="0032594B"/>
    <w:rsid w:val="00325CE6"/>
    <w:rsid w:val="00337FEA"/>
    <w:rsid w:val="00340884"/>
    <w:rsid w:val="00341F38"/>
    <w:rsid w:val="00343C3D"/>
    <w:rsid w:val="00344D96"/>
    <w:rsid w:val="00346141"/>
    <w:rsid w:val="00346D23"/>
    <w:rsid w:val="0034743A"/>
    <w:rsid w:val="00351057"/>
    <w:rsid w:val="00351223"/>
    <w:rsid w:val="003538F0"/>
    <w:rsid w:val="00355959"/>
    <w:rsid w:val="0035632B"/>
    <w:rsid w:val="0035760D"/>
    <w:rsid w:val="00361470"/>
    <w:rsid w:val="003622C8"/>
    <w:rsid w:val="00362987"/>
    <w:rsid w:val="00364527"/>
    <w:rsid w:val="00364574"/>
    <w:rsid w:val="0036458E"/>
    <w:rsid w:val="0036459A"/>
    <w:rsid w:val="00364D31"/>
    <w:rsid w:val="003666E6"/>
    <w:rsid w:val="00367722"/>
    <w:rsid w:val="00367D02"/>
    <w:rsid w:val="003717A9"/>
    <w:rsid w:val="00373167"/>
    <w:rsid w:val="00373501"/>
    <w:rsid w:val="0037454B"/>
    <w:rsid w:val="003768D3"/>
    <w:rsid w:val="00380B57"/>
    <w:rsid w:val="00380C76"/>
    <w:rsid w:val="003818FA"/>
    <w:rsid w:val="00381E72"/>
    <w:rsid w:val="00383A8C"/>
    <w:rsid w:val="00384C27"/>
    <w:rsid w:val="003853C8"/>
    <w:rsid w:val="00385AAF"/>
    <w:rsid w:val="00386A7C"/>
    <w:rsid w:val="0038726B"/>
    <w:rsid w:val="00387EA6"/>
    <w:rsid w:val="003901A9"/>
    <w:rsid w:val="00396F21"/>
    <w:rsid w:val="003973A1"/>
    <w:rsid w:val="00397BEF"/>
    <w:rsid w:val="00397CCD"/>
    <w:rsid w:val="003A0666"/>
    <w:rsid w:val="003A06CE"/>
    <w:rsid w:val="003A0C16"/>
    <w:rsid w:val="003A1071"/>
    <w:rsid w:val="003A1FD7"/>
    <w:rsid w:val="003A2C11"/>
    <w:rsid w:val="003A3826"/>
    <w:rsid w:val="003A3A37"/>
    <w:rsid w:val="003A4725"/>
    <w:rsid w:val="003A5598"/>
    <w:rsid w:val="003A567D"/>
    <w:rsid w:val="003A7CEA"/>
    <w:rsid w:val="003B372A"/>
    <w:rsid w:val="003B3993"/>
    <w:rsid w:val="003B4470"/>
    <w:rsid w:val="003B54E4"/>
    <w:rsid w:val="003B5812"/>
    <w:rsid w:val="003B6C6C"/>
    <w:rsid w:val="003C1266"/>
    <w:rsid w:val="003C6C5A"/>
    <w:rsid w:val="003C75BE"/>
    <w:rsid w:val="003D019B"/>
    <w:rsid w:val="003D09A7"/>
    <w:rsid w:val="003D1982"/>
    <w:rsid w:val="003D42F6"/>
    <w:rsid w:val="003D5490"/>
    <w:rsid w:val="003E513E"/>
    <w:rsid w:val="003E55C2"/>
    <w:rsid w:val="003E738A"/>
    <w:rsid w:val="003E7F5B"/>
    <w:rsid w:val="003F251E"/>
    <w:rsid w:val="003F3E93"/>
    <w:rsid w:val="00400ABD"/>
    <w:rsid w:val="00402DE8"/>
    <w:rsid w:val="004030A9"/>
    <w:rsid w:val="004042C8"/>
    <w:rsid w:val="004048C1"/>
    <w:rsid w:val="00404C22"/>
    <w:rsid w:val="00405199"/>
    <w:rsid w:val="004070A4"/>
    <w:rsid w:val="004074B0"/>
    <w:rsid w:val="004075B1"/>
    <w:rsid w:val="00416113"/>
    <w:rsid w:val="004162FF"/>
    <w:rsid w:val="004165B2"/>
    <w:rsid w:val="00420151"/>
    <w:rsid w:val="004214F4"/>
    <w:rsid w:val="00421794"/>
    <w:rsid w:val="00421D4D"/>
    <w:rsid w:val="00424390"/>
    <w:rsid w:val="00425FB2"/>
    <w:rsid w:val="00427310"/>
    <w:rsid w:val="00427C50"/>
    <w:rsid w:val="00431548"/>
    <w:rsid w:val="00431950"/>
    <w:rsid w:val="004324D1"/>
    <w:rsid w:val="00432CBB"/>
    <w:rsid w:val="004344DD"/>
    <w:rsid w:val="00434939"/>
    <w:rsid w:val="00435187"/>
    <w:rsid w:val="00436561"/>
    <w:rsid w:val="00436D80"/>
    <w:rsid w:val="00436E81"/>
    <w:rsid w:val="00440BF6"/>
    <w:rsid w:val="004425CF"/>
    <w:rsid w:val="004440E4"/>
    <w:rsid w:val="0044739A"/>
    <w:rsid w:val="00447CB0"/>
    <w:rsid w:val="0045020E"/>
    <w:rsid w:val="00451DBA"/>
    <w:rsid w:val="00452C80"/>
    <w:rsid w:val="00453C9E"/>
    <w:rsid w:val="00454E9E"/>
    <w:rsid w:val="00457FB9"/>
    <w:rsid w:val="0046370E"/>
    <w:rsid w:val="0046569A"/>
    <w:rsid w:val="004662F7"/>
    <w:rsid w:val="00466EAD"/>
    <w:rsid w:val="00474B67"/>
    <w:rsid w:val="0047586E"/>
    <w:rsid w:val="00476693"/>
    <w:rsid w:val="00480781"/>
    <w:rsid w:val="0048079E"/>
    <w:rsid w:val="0048120B"/>
    <w:rsid w:val="00482466"/>
    <w:rsid w:val="0048251E"/>
    <w:rsid w:val="0048256D"/>
    <w:rsid w:val="00485555"/>
    <w:rsid w:val="00486383"/>
    <w:rsid w:val="004863BA"/>
    <w:rsid w:val="00486F6E"/>
    <w:rsid w:val="00487A7B"/>
    <w:rsid w:val="00490457"/>
    <w:rsid w:val="00490B5D"/>
    <w:rsid w:val="004911FE"/>
    <w:rsid w:val="00492E08"/>
    <w:rsid w:val="004941F8"/>
    <w:rsid w:val="00495118"/>
    <w:rsid w:val="00495374"/>
    <w:rsid w:val="00495D1C"/>
    <w:rsid w:val="0049605B"/>
    <w:rsid w:val="004966A2"/>
    <w:rsid w:val="004A1835"/>
    <w:rsid w:val="004A1C0E"/>
    <w:rsid w:val="004A3874"/>
    <w:rsid w:val="004A5EBB"/>
    <w:rsid w:val="004B00E9"/>
    <w:rsid w:val="004B0C90"/>
    <w:rsid w:val="004B22AE"/>
    <w:rsid w:val="004B2549"/>
    <w:rsid w:val="004B79BA"/>
    <w:rsid w:val="004C0A71"/>
    <w:rsid w:val="004C4CD3"/>
    <w:rsid w:val="004C5174"/>
    <w:rsid w:val="004C60FA"/>
    <w:rsid w:val="004C783B"/>
    <w:rsid w:val="004D0A25"/>
    <w:rsid w:val="004D11AD"/>
    <w:rsid w:val="004D3FC4"/>
    <w:rsid w:val="004D50E3"/>
    <w:rsid w:val="004D797D"/>
    <w:rsid w:val="004E1031"/>
    <w:rsid w:val="004E159D"/>
    <w:rsid w:val="004E1EBD"/>
    <w:rsid w:val="004E39C8"/>
    <w:rsid w:val="004E3DF5"/>
    <w:rsid w:val="004E47FA"/>
    <w:rsid w:val="004F0143"/>
    <w:rsid w:val="004F02BE"/>
    <w:rsid w:val="004F0FA5"/>
    <w:rsid w:val="004F1218"/>
    <w:rsid w:val="004F2C5E"/>
    <w:rsid w:val="004F37E9"/>
    <w:rsid w:val="004F5DDE"/>
    <w:rsid w:val="004F730C"/>
    <w:rsid w:val="004F73B4"/>
    <w:rsid w:val="004F7506"/>
    <w:rsid w:val="004F7F6D"/>
    <w:rsid w:val="00500289"/>
    <w:rsid w:val="00501318"/>
    <w:rsid w:val="00501D05"/>
    <w:rsid w:val="00501D0B"/>
    <w:rsid w:val="0050203D"/>
    <w:rsid w:val="0050793C"/>
    <w:rsid w:val="00507C77"/>
    <w:rsid w:val="00512FA7"/>
    <w:rsid w:val="005138CB"/>
    <w:rsid w:val="00514548"/>
    <w:rsid w:val="00517624"/>
    <w:rsid w:val="00520975"/>
    <w:rsid w:val="00521D67"/>
    <w:rsid w:val="00523D88"/>
    <w:rsid w:val="005264AD"/>
    <w:rsid w:val="00532072"/>
    <w:rsid w:val="005322C2"/>
    <w:rsid w:val="00535273"/>
    <w:rsid w:val="005404BF"/>
    <w:rsid w:val="005404EE"/>
    <w:rsid w:val="005452E3"/>
    <w:rsid w:val="00546B28"/>
    <w:rsid w:val="00546EC8"/>
    <w:rsid w:val="00550358"/>
    <w:rsid w:val="005516D9"/>
    <w:rsid w:val="00552783"/>
    <w:rsid w:val="00552CDD"/>
    <w:rsid w:val="005535E6"/>
    <w:rsid w:val="00553F3D"/>
    <w:rsid w:val="005563FB"/>
    <w:rsid w:val="005605B5"/>
    <w:rsid w:val="0056100C"/>
    <w:rsid w:val="00562B02"/>
    <w:rsid w:val="00563AE7"/>
    <w:rsid w:val="005658BB"/>
    <w:rsid w:val="00566E20"/>
    <w:rsid w:val="00567384"/>
    <w:rsid w:val="00567AAD"/>
    <w:rsid w:val="005700D3"/>
    <w:rsid w:val="00571026"/>
    <w:rsid w:val="00571190"/>
    <w:rsid w:val="005713B2"/>
    <w:rsid w:val="00572A0B"/>
    <w:rsid w:val="00572EA7"/>
    <w:rsid w:val="00574780"/>
    <w:rsid w:val="005763E2"/>
    <w:rsid w:val="00576467"/>
    <w:rsid w:val="00576761"/>
    <w:rsid w:val="005769AF"/>
    <w:rsid w:val="00576AEB"/>
    <w:rsid w:val="005777E7"/>
    <w:rsid w:val="005803A7"/>
    <w:rsid w:val="00583238"/>
    <w:rsid w:val="00585AFE"/>
    <w:rsid w:val="00590463"/>
    <w:rsid w:val="00590989"/>
    <w:rsid w:val="00591731"/>
    <w:rsid w:val="0059246D"/>
    <w:rsid w:val="005951B9"/>
    <w:rsid w:val="005959AE"/>
    <w:rsid w:val="0059797E"/>
    <w:rsid w:val="00597F74"/>
    <w:rsid w:val="005A0516"/>
    <w:rsid w:val="005A0A7E"/>
    <w:rsid w:val="005A182D"/>
    <w:rsid w:val="005A1A45"/>
    <w:rsid w:val="005A23E9"/>
    <w:rsid w:val="005A30EB"/>
    <w:rsid w:val="005A4AA2"/>
    <w:rsid w:val="005B17C1"/>
    <w:rsid w:val="005B338C"/>
    <w:rsid w:val="005B35CF"/>
    <w:rsid w:val="005B7C5F"/>
    <w:rsid w:val="005C0AE7"/>
    <w:rsid w:val="005C209D"/>
    <w:rsid w:val="005C2388"/>
    <w:rsid w:val="005C4660"/>
    <w:rsid w:val="005C6DAB"/>
    <w:rsid w:val="005D1009"/>
    <w:rsid w:val="005D13B9"/>
    <w:rsid w:val="005D2326"/>
    <w:rsid w:val="005D367C"/>
    <w:rsid w:val="005D496F"/>
    <w:rsid w:val="005D70EC"/>
    <w:rsid w:val="005E3CF4"/>
    <w:rsid w:val="005E3DD8"/>
    <w:rsid w:val="005E458B"/>
    <w:rsid w:val="005E495A"/>
    <w:rsid w:val="005E570E"/>
    <w:rsid w:val="005E7769"/>
    <w:rsid w:val="005F2065"/>
    <w:rsid w:val="005F3E2B"/>
    <w:rsid w:val="005F4978"/>
    <w:rsid w:val="005F628A"/>
    <w:rsid w:val="005F6D3E"/>
    <w:rsid w:val="005F6F4B"/>
    <w:rsid w:val="005F773B"/>
    <w:rsid w:val="005F7A96"/>
    <w:rsid w:val="00602A70"/>
    <w:rsid w:val="0060553B"/>
    <w:rsid w:val="00606140"/>
    <w:rsid w:val="006068DE"/>
    <w:rsid w:val="00611063"/>
    <w:rsid w:val="0061316E"/>
    <w:rsid w:val="00613A5A"/>
    <w:rsid w:val="00614367"/>
    <w:rsid w:val="0061460A"/>
    <w:rsid w:val="00615CC8"/>
    <w:rsid w:val="0061697C"/>
    <w:rsid w:val="00617219"/>
    <w:rsid w:val="006230AA"/>
    <w:rsid w:val="00626D40"/>
    <w:rsid w:val="00630FDC"/>
    <w:rsid w:val="006320CC"/>
    <w:rsid w:val="00633494"/>
    <w:rsid w:val="0063440B"/>
    <w:rsid w:val="006344D9"/>
    <w:rsid w:val="00634A36"/>
    <w:rsid w:val="00634CC3"/>
    <w:rsid w:val="00634D13"/>
    <w:rsid w:val="0063607A"/>
    <w:rsid w:val="00636EF7"/>
    <w:rsid w:val="0063713E"/>
    <w:rsid w:val="006374AB"/>
    <w:rsid w:val="00637EB8"/>
    <w:rsid w:val="00640E48"/>
    <w:rsid w:val="00642515"/>
    <w:rsid w:val="00644A91"/>
    <w:rsid w:val="0064723D"/>
    <w:rsid w:val="00647C3F"/>
    <w:rsid w:val="00650C3D"/>
    <w:rsid w:val="006517C9"/>
    <w:rsid w:val="006524CC"/>
    <w:rsid w:val="00652547"/>
    <w:rsid w:val="0065598F"/>
    <w:rsid w:val="00661057"/>
    <w:rsid w:val="00661FFD"/>
    <w:rsid w:val="006629C5"/>
    <w:rsid w:val="00665C5B"/>
    <w:rsid w:val="006666E9"/>
    <w:rsid w:val="006674F2"/>
    <w:rsid w:val="00667D95"/>
    <w:rsid w:val="00671B24"/>
    <w:rsid w:val="00672394"/>
    <w:rsid w:val="00672E9A"/>
    <w:rsid w:val="00673FFA"/>
    <w:rsid w:val="00675B53"/>
    <w:rsid w:val="006804E0"/>
    <w:rsid w:val="00680C35"/>
    <w:rsid w:val="00680FDA"/>
    <w:rsid w:val="0068110F"/>
    <w:rsid w:val="006823A3"/>
    <w:rsid w:val="00683CDE"/>
    <w:rsid w:val="006840D7"/>
    <w:rsid w:val="00684CB1"/>
    <w:rsid w:val="00686E6D"/>
    <w:rsid w:val="00687D62"/>
    <w:rsid w:val="00687E74"/>
    <w:rsid w:val="00690CDE"/>
    <w:rsid w:val="0069306C"/>
    <w:rsid w:val="00694F43"/>
    <w:rsid w:val="006959CE"/>
    <w:rsid w:val="00697A09"/>
    <w:rsid w:val="006A0943"/>
    <w:rsid w:val="006A169A"/>
    <w:rsid w:val="006A17EB"/>
    <w:rsid w:val="006A1F64"/>
    <w:rsid w:val="006A2A71"/>
    <w:rsid w:val="006A2C51"/>
    <w:rsid w:val="006A4975"/>
    <w:rsid w:val="006A5A7F"/>
    <w:rsid w:val="006A5E4A"/>
    <w:rsid w:val="006B0911"/>
    <w:rsid w:val="006B11B3"/>
    <w:rsid w:val="006B7BAF"/>
    <w:rsid w:val="006C0F47"/>
    <w:rsid w:val="006C12A1"/>
    <w:rsid w:val="006C1449"/>
    <w:rsid w:val="006C1452"/>
    <w:rsid w:val="006C2C0A"/>
    <w:rsid w:val="006C4BD5"/>
    <w:rsid w:val="006C5069"/>
    <w:rsid w:val="006C5659"/>
    <w:rsid w:val="006C58AA"/>
    <w:rsid w:val="006C59A5"/>
    <w:rsid w:val="006C63E8"/>
    <w:rsid w:val="006C7545"/>
    <w:rsid w:val="006D1ACB"/>
    <w:rsid w:val="006D2C88"/>
    <w:rsid w:val="006D34B7"/>
    <w:rsid w:val="006D3B4D"/>
    <w:rsid w:val="006D5011"/>
    <w:rsid w:val="006D5FDD"/>
    <w:rsid w:val="006E01C2"/>
    <w:rsid w:val="006E1C12"/>
    <w:rsid w:val="006E1F93"/>
    <w:rsid w:val="006E2BE4"/>
    <w:rsid w:val="006E5D07"/>
    <w:rsid w:val="006E768E"/>
    <w:rsid w:val="006F1945"/>
    <w:rsid w:val="006F2B2B"/>
    <w:rsid w:val="006F5875"/>
    <w:rsid w:val="006F5CA9"/>
    <w:rsid w:val="006F5FA5"/>
    <w:rsid w:val="006F66F2"/>
    <w:rsid w:val="00702248"/>
    <w:rsid w:val="007040D8"/>
    <w:rsid w:val="0070593E"/>
    <w:rsid w:val="007068D0"/>
    <w:rsid w:val="00710590"/>
    <w:rsid w:val="00710619"/>
    <w:rsid w:val="007108EC"/>
    <w:rsid w:val="007118CA"/>
    <w:rsid w:val="007162A9"/>
    <w:rsid w:val="007167B6"/>
    <w:rsid w:val="00716B19"/>
    <w:rsid w:val="00716EA0"/>
    <w:rsid w:val="00721863"/>
    <w:rsid w:val="00722194"/>
    <w:rsid w:val="0073250F"/>
    <w:rsid w:val="007334CE"/>
    <w:rsid w:val="0073351D"/>
    <w:rsid w:val="007344B6"/>
    <w:rsid w:val="00734B9E"/>
    <w:rsid w:val="00734F8E"/>
    <w:rsid w:val="0073579D"/>
    <w:rsid w:val="007379FB"/>
    <w:rsid w:val="00740D2D"/>
    <w:rsid w:val="007417BE"/>
    <w:rsid w:val="00742BB6"/>
    <w:rsid w:val="007436E1"/>
    <w:rsid w:val="00750A83"/>
    <w:rsid w:val="00754159"/>
    <w:rsid w:val="00754659"/>
    <w:rsid w:val="00754C84"/>
    <w:rsid w:val="00755409"/>
    <w:rsid w:val="00757343"/>
    <w:rsid w:val="00757743"/>
    <w:rsid w:val="00757F38"/>
    <w:rsid w:val="007623A6"/>
    <w:rsid w:val="007628B3"/>
    <w:rsid w:val="00763312"/>
    <w:rsid w:val="0076336B"/>
    <w:rsid w:val="00763A31"/>
    <w:rsid w:val="00763B00"/>
    <w:rsid w:val="00763B48"/>
    <w:rsid w:val="00765D1A"/>
    <w:rsid w:val="00766587"/>
    <w:rsid w:val="00770A34"/>
    <w:rsid w:val="00773C88"/>
    <w:rsid w:val="00776CA9"/>
    <w:rsid w:val="00777267"/>
    <w:rsid w:val="00777B79"/>
    <w:rsid w:val="00782B09"/>
    <w:rsid w:val="007860F7"/>
    <w:rsid w:val="00787710"/>
    <w:rsid w:val="00787ECD"/>
    <w:rsid w:val="00791757"/>
    <w:rsid w:val="00791CDD"/>
    <w:rsid w:val="007934CC"/>
    <w:rsid w:val="00793BD2"/>
    <w:rsid w:val="007942EB"/>
    <w:rsid w:val="007A0C2D"/>
    <w:rsid w:val="007A1075"/>
    <w:rsid w:val="007A15A1"/>
    <w:rsid w:val="007A30A7"/>
    <w:rsid w:val="007A42E1"/>
    <w:rsid w:val="007A5894"/>
    <w:rsid w:val="007A6F5B"/>
    <w:rsid w:val="007A7495"/>
    <w:rsid w:val="007A7971"/>
    <w:rsid w:val="007B07CB"/>
    <w:rsid w:val="007B0DEF"/>
    <w:rsid w:val="007B10AE"/>
    <w:rsid w:val="007B330B"/>
    <w:rsid w:val="007B4067"/>
    <w:rsid w:val="007B4BA8"/>
    <w:rsid w:val="007B4DCC"/>
    <w:rsid w:val="007B5452"/>
    <w:rsid w:val="007B5773"/>
    <w:rsid w:val="007B6CFC"/>
    <w:rsid w:val="007B7608"/>
    <w:rsid w:val="007C53B6"/>
    <w:rsid w:val="007C6AC8"/>
    <w:rsid w:val="007C78B3"/>
    <w:rsid w:val="007D1001"/>
    <w:rsid w:val="007D152F"/>
    <w:rsid w:val="007D15EA"/>
    <w:rsid w:val="007D184E"/>
    <w:rsid w:val="007D282D"/>
    <w:rsid w:val="007D3831"/>
    <w:rsid w:val="007D5511"/>
    <w:rsid w:val="007D5CAD"/>
    <w:rsid w:val="007E1A5E"/>
    <w:rsid w:val="007E2B70"/>
    <w:rsid w:val="007E5BD0"/>
    <w:rsid w:val="007E6500"/>
    <w:rsid w:val="007E7B4E"/>
    <w:rsid w:val="007F12EB"/>
    <w:rsid w:val="007F29DD"/>
    <w:rsid w:val="007F2D3B"/>
    <w:rsid w:val="007F31C4"/>
    <w:rsid w:val="007F46E9"/>
    <w:rsid w:val="007F5F05"/>
    <w:rsid w:val="007F6584"/>
    <w:rsid w:val="00801261"/>
    <w:rsid w:val="00802AC5"/>
    <w:rsid w:val="00806088"/>
    <w:rsid w:val="00806BEA"/>
    <w:rsid w:val="0081103A"/>
    <w:rsid w:val="00812DED"/>
    <w:rsid w:val="00813832"/>
    <w:rsid w:val="00813E31"/>
    <w:rsid w:val="0081695A"/>
    <w:rsid w:val="00816D0C"/>
    <w:rsid w:val="008204E5"/>
    <w:rsid w:val="008208A3"/>
    <w:rsid w:val="00824171"/>
    <w:rsid w:val="00824E2E"/>
    <w:rsid w:val="00826CFB"/>
    <w:rsid w:val="00827C69"/>
    <w:rsid w:val="00827E52"/>
    <w:rsid w:val="008312CD"/>
    <w:rsid w:val="008321F4"/>
    <w:rsid w:val="008322EC"/>
    <w:rsid w:val="00832764"/>
    <w:rsid w:val="00833D99"/>
    <w:rsid w:val="00834358"/>
    <w:rsid w:val="0083676B"/>
    <w:rsid w:val="0083677F"/>
    <w:rsid w:val="00836AA4"/>
    <w:rsid w:val="00841CBA"/>
    <w:rsid w:val="00843904"/>
    <w:rsid w:val="00844630"/>
    <w:rsid w:val="0084539E"/>
    <w:rsid w:val="00845540"/>
    <w:rsid w:val="008474E9"/>
    <w:rsid w:val="00847845"/>
    <w:rsid w:val="00850DDB"/>
    <w:rsid w:val="00851A78"/>
    <w:rsid w:val="00853104"/>
    <w:rsid w:val="00854CF0"/>
    <w:rsid w:val="008561FD"/>
    <w:rsid w:val="00856EDE"/>
    <w:rsid w:val="00863074"/>
    <w:rsid w:val="008631FC"/>
    <w:rsid w:val="00865122"/>
    <w:rsid w:val="00866C7D"/>
    <w:rsid w:val="00870168"/>
    <w:rsid w:val="00873694"/>
    <w:rsid w:val="00873AB6"/>
    <w:rsid w:val="00873D11"/>
    <w:rsid w:val="00874464"/>
    <w:rsid w:val="00874FF2"/>
    <w:rsid w:val="0087609F"/>
    <w:rsid w:val="0087610A"/>
    <w:rsid w:val="00876845"/>
    <w:rsid w:val="00877413"/>
    <w:rsid w:val="00880219"/>
    <w:rsid w:val="0088360D"/>
    <w:rsid w:val="008837C2"/>
    <w:rsid w:val="00884BDF"/>
    <w:rsid w:val="00886B86"/>
    <w:rsid w:val="00886D8E"/>
    <w:rsid w:val="008879BF"/>
    <w:rsid w:val="008906BB"/>
    <w:rsid w:val="00890B4F"/>
    <w:rsid w:val="008914BC"/>
    <w:rsid w:val="008918AD"/>
    <w:rsid w:val="00892351"/>
    <w:rsid w:val="00893B00"/>
    <w:rsid w:val="0089719E"/>
    <w:rsid w:val="008A0688"/>
    <w:rsid w:val="008A1381"/>
    <w:rsid w:val="008A1658"/>
    <w:rsid w:val="008A2968"/>
    <w:rsid w:val="008A670E"/>
    <w:rsid w:val="008B2038"/>
    <w:rsid w:val="008B3C5E"/>
    <w:rsid w:val="008B4A7F"/>
    <w:rsid w:val="008B564C"/>
    <w:rsid w:val="008B68FA"/>
    <w:rsid w:val="008C1A15"/>
    <w:rsid w:val="008C228A"/>
    <w:rsid w:val="008C2A65"/>
    <w:rsid w:val="008C2ADF"/>
    <w:rsid w:val="008C65A3"/>
    <w:rsid w:val="008D1219"/>
    <w:rsid w:val="008D4609"/>
    <w:rsid w:val="008D4C83"/>
    <w:rsid w:val="008E0391"/>
    <w:rsid w:val="008E2180"/>
    <w:rsid w:val="008E333F"/>
    <w:rsid w:val="008E35AC"/>
    <w:rsid w:val="008E3FAA"/>
    <w:rsid w:val="008E4323"/>
    <w:rsid w:val="008E4469"/>
    <w:rsid w:val="008E52F0"/>
    <w:rsid w:val="008E6824"/>
    <w:rsid w:val="008E7688"/>
    <w:rsid w:val="008F0EBD"/>
    <w:rsid w:val="008F121F"/>
    <w:rsid w:val="008F192C"/>
    <w:rsid w:val="008F241D"/>
    <w:rsid w:val="008F402F"/>
    <w:rsid w:val="008F45F4"/>
    <w:rsid w:val="008F4EE3"/>
    <w:rsid w:val="008F6D10"/>
    <w:rsid w:val="009002BB"/>
    <w:rsid w:val="009014CA"/>
    <w:rsid w:val="009035C6"/>
    <w:rsid w:val="00905E40"/>
    <w:rsid w:val="0090624E"/>
    <w:rsid w:val="00911171"/>
    <w:rsid w:val="00914FCA"/>
    <w:rsid w:val="00917B4D"/>
    <w:rsid w:val="00917EB8"/>
    <w:rsid w:val="00923557"/>
    <w:rsid w:val="00923DAD"/>
    <w:rsid w:val="00924740"/>
    <w:rsid w:val="00925E71"/>
    <w:rsid w:val="00926512"/>
    <w:rsid w:val="0093243A"/>
    <w:rsid w:val="00934C3B"/>
    <w:rsid w:val="00934C87"/>
    <w:rsid w:val="00934C93"/>
    <w:rsid w:val="0093573B"/>
    <w:rsid w:val="00935E9B"/>
    <w:rsid w:val="00937C23"/>
    <w:rsid w:val="00940862"/>
    <w:rsid w:val="00941213"/>
    <w:rsid w:val="009430BA"/>
    <w:rsid w:val="0094358B"/>
    <w:rsid w:val="009449C6"/>
    <w:rsid w:val="0094690E"/>
    <w:rsid w:val="00946E06"/>
    <w:rsid w:val="00946FBB"/>
    <w:rsid w:val="0095014B"/>
    <w:rsid w:val="00950D01"/>
    <w:rsid w:val="00951E87"/>
    <w:rsid w:val="0095425A"/>
    <w:rsid w:val="0095446B"/>
    <w:rsid w:val="00954A36"/>
    <w:rsid w:val="00954C1D"/>
    <w:rsid w:val="00954CB3"/>
    <w:rsid w:val="00955447"/>
    <w:rsid w:val="00955557"/>
    <w:rsid w:val="00955654"/>
    <w:rsid w:val="009577A2"/>
    <w:rsid w:val="00960B15"/>
    <w:rsid w:val="00961A33"/>
    <w:rsid w:val="009627F0"/>
    <w:rsid w:val="00963203"/>
    <w:rsid w:val="009633E7"/>
    <w:rsid w:val="009641F8"/>
    <w:rsid w:val="00964A64"/>
    <w:rsid w:val="00964B53"/>
    <w:rsid w:val="00965179"/>
    <w:rsid w:val="00965DC1"/>
    <w:rsid w:val="009678EE"/>
    <w:rsid w:val="00970D40"/>
    <w:rsid w:val="00972CA6"/>
    <w:rsid w:val="00973395"/>
    <w:rsid w:val="00974111"/>
    <w:rsid w:val="00974DE0"/>
    <w:rsid w:val="00975E51"/>
    <w:rsid w:val="00976DC5"/>
    <w:rsid w:val="00986E87"/>
    <w:rsid w:val="009905A0"/>
    <w:rsid w:val="00991781"/>
    <w:rsid w:val="00992A54"/>
    <w:rsid w:val="00993430"/>
    <w:rsid w:val="009939E9"/>
    <w:rsid w:val="00995F46"/>
    <w:rsid w:val="00996FF7"/>
    <w:rsid w:val="009A10CD"/>
    <w:rsid w:val="009A1E4A"/>
    <w:rsid w:val="009A2938"/>
    <w:rsid w:val="009B0835"/>
    <w:rsid w:val="009B2117"/>
    <w:rsid w:val="009B5B2C"/>
    <w:rsid w:val="009B7100"/>
    <w:rsid w:val="009C13AB"/>
    <w:rsid w:val="009C1B66"/>
    <w:rsid w:val="009C2343"/>
    <w:rsid w:val="009C298C"/>
    <w:rsid w:val="009C2DF8"/>
    <w:rsid w:val="009C46DC"/>
    <w:rsid w:val="009C4805"/>
    <w:rsid w:val="009C4EC1"/>
    <w:rsid w:val="009C5F28"/>
    <w:rsid w:val="009C6C2A"/>
    <w:rsid w:val="009C6DD4"/>
    <w:rsid w:val="009D0AA9"/>
    <w:rsid w:val="009D1CE2"/>
    <w:rsid w:val="009D2194"/>
    <w:rsid w:val="009D3C75"/>
    <w:rsid w:val="009D4915"/>
    <w:rsid w:val="009D50A3"/>
    <w:rsid w:val="009D59DE"/>
    <w:rsid w:val="009D5D75"/>
    <w:rsid w:val="009E1934"/>
    <w:rsid w:val="009E2240"/>
    <w:rsid w:val="009E2315"/>
    <w:rsid w:val="009E24BE"/>
    <w:rsid w:val="009E342B"/>
    <w:rsid w:val="009E6B8F"/>
    <w:rsid w:val="009E7E50"/>
    <w:rsid w:val="009F04DE"/>
    <w:rsid w:val="009F11B4"/>
    <w:rsid w:val="009F15A8"/>
    <w:rsid w:val="009F1CF5"/>
    <w:rsid w:val="009F256D"/>
    <w:rsid w:val="009F343F"/>
    <w:rsid w:val="009F46EA"/>
    <w:rsid w:val="009F4C13"/>
    <w:rsid w:val="009F581E"/>
    <w:rsid w:val="009F5A22"/>
    <w:rsid w:val="009F6381"/>
    <w:rsid w:val="009F69B4"/>
    <w:rsid w:val="009F6E1F"/>
    <w:rsid w:val="00A00B40"/>
    <w:rsid w:val="00A01765"/>
    <w:rsid w:val="00A03AAF"/>
    <w:rsid w:val="00A04807"/>
    <w:rsid w:val="00A04A9E"/>
    <w:rsid w:val="00A06167"/>
    <w:rsid w:val="00A075C6"/>
    <w:rsid w:val="00A1016E"/>
    <w:rsid w:val="00A1281B"/>
    <w:rsid w:val="00A14980"/>
    <w:rsid w:val="00A157F6"/>
    <w:rsid w:val="00A15A37"/>
    <w:rsid w:val="00A20EBF"/>
    <w:rsid w:val="00A22541"/>
    <w:rsid w:val="00A23812"/>
    <w:rsid w:val="00A238DE"/>
    <w:rsid w:val="00A25658"/>
    <w:rsid w:val="00A2756B"/>
    <w:rsid w:val="00A30509"/>
    <w:rsid w:val="00A336F9"/>
    <w:rsid w:val="00A33F8A"/>
    <w:rsid w:val="00A35737"/>
    <w:rsid w:val="00A357C8"/>
    <w:rsid w:val="00A359C6"/>
    <w:rsid w:val="00A37D20"/>
    <w:rsid w:val="00A40AA4"/>
    <w:rsid w:val="00A449E0"/>
    <w:rsid w:val="00A45845"/>
    <w:rsid w:val="00A46297"/>
    <w:rsid w:val="00A470F2"/>
    <w:rsid w:val="00A474F1"/>
    <w:rsid w:val="00A4764E"/>
    <w:rsid w:val="00A52CE1"/>
    <w:rsid w:val="00A52DE6"/>
    <w:rsid w:val="00A558CE"/>
    <w:rsid w:val="00A63FF5"/>
    <w:rsid w:val="00A64FDC"/>
    <w:rsid w:val="00A652EA"/>
    <w:rsid w:val="00A65D82"/>
    <w:rsid w:val="00A6641D"/>
    <w:rsid w:val="00A66CEF"/>
    <w:rsid w:val="00A66E3B"/>
    <w:rsid w:val="00A7038C"/>
    <w:rsid w:val="00A714F3"/>
    <w:rsid w:val="00A72235"/>
    <w:rsid w:val="00A722B4"/>
    <w:rsid w:val="00A730AC"/>
    <w:rsid w:val="00A74978"/>
    <w:rsid w:val="00A751A9"/>
    <w:rsid w:val="00A7532B"/>
    <w:rsid w:val="00A76837"/>
    <w:rsid w:val="00A779AD"/>
    <w:rsid w:val="00A77D3B"/>
    <w:rsid w:val="00A77F52"/>
    <w:rsid w:val="00A80E9D"/>
    <w:rsid w:val="00A817A9"/>
    <w:rsid w:val="00A83B3D"/>
    <w:rsid w:val="00A83B72"/>
    <w:rsid w:val="00A84F77"/>
    <w:rsid w:val="00A85C73"/>
    <w:rsid w:val="00A873EC"/>
    <w:rsid w:val="00A9072E"/>
    <w:rsid w:val="00A92989"/>
    <w:rsid w:val="00A93727"/>
    <w:rsid w:val="00A93FF6"/>
    <w:rsid w:val="00A940FF"/>
    <w:rsid w:val="00A9460D"/>
    <w:rsid w:val="00A94872"/>
    <w:rsid w:val="00AA0566"/>
    <w:rsid w:val="00AA2272"/>
    <w:rsid w:val="00AA3FE9"/>
    <w:rsid w:val="00AA6CC5"/>
    <w:rsid w:val="00AB07AE"/>
    <w:rsid w:val="00AB0AE3"/>
    <w:rsid w:val="00AB3C24"/>
    <w:rsid w:val="00AB4F03"/>
    <w:rsid w:val="00AC0565"/>
    <w:rsid w:val="00AC218F"/>
    <w:rsid w:val="00AC3972"/>
    <w:rsid w:val="00AC3A2F"/>
    <w:rsid w:val="00AC5538"/>
    <w:rsid w:val="00AC68B3"/>
    <w:rsid w:val="00AD0854"/>
    <w:rsid w:val="00AD23CE"/>
    <w:rsid w:val="00AD26FE"/>
    <w:rsid w:val="00AD38E3"/>
    <w:rsid w:val="00AD45DA"/>
    <w:rsid w:val="00AD4AE0"/>
    <w:rsid w:val="00AD517E"/>
    <w:rsid w:val="00AD5BCF"/>
    <w:rsid w:val="00AD65E5"/>
    <w:rsid w:val="00AD7AAF"/>
    <w:rsid w:val="00AE02C2"/>
    <w:rsid w:val="00AE03B1"/>
    <w:rsid w:val="00AE0FC7"/>
    <w:rsid w:val="00AE268E"/>
    <w:rsid w:val="00AE2BBF"/>
    <w:rsid w:val="00AE2D95"/>
    <w:rsid w:val="00AE360D"/>
    <w:rsid w:val="00AE367C"/>
    <w:rsid w:val="00AE42B3"/>
    <w:rsid w:val="00AE4937"/>
    <w:rsid w:val="00AE5ED6"/>
    <w:rsid w:val="00AE742F"/>
    <w:rsid w:val="00AF027C"/>
    <w:rsid w:val="00AF0860"/>
    <w:rsid w:val="00AF47FB"/>
    <w:rsid w:val="00AF4CCD"/>
    <w:rsid w:val="00AF55EC"/>
    <w:rsid w:val="00AF7251"/>
    <w:rsid w:val="00AF7700"/>
    <w:rsid w:val="00B00A9E"/>
    <w:rsid w:val="00B00FFD"/>
    <w:rsid w:val="00B01EA7"/>
    <w:rsid w:val="00B0318C"/>
    <w:rsid w:val="00B059AA"/>
    <w:rsid w:val="00B066BF"/>
    <w:rsid w:val="00B105C1"/>
    <w:rsid w:val="00B1142E"/>
    <w:rsid w:val="00B139C0"/>
    <w:rsid w:val="00B1682B"/>
    <w:rsid w:val="00B17856"/>
    <w:rsid w:val="00B17BC9"/>
    <w:rsid w:val="00B20AAE"/>
    <w:rsid w:val="00B2199D"/>
    <w:rsid w:val="00B224F7"/>
    <w:rsid w:val="00B22ADE"/>
    <w:rsid w:val="00B23B64"/>
    <w:rsid w:val="00B24BB8"/>
    <w:rsid w:val="00B25D88"/>
    <w:rsid w:val="00B279EA"/>
    <w:rsid w:val="00B27B03"/>
    <w:rsid w:val="00B27EE8"/>
    <w:rsid w:val="00B36ACF"/>
    <w:rsid w:val="00B3770F"/>
    <w:rsid w:val="00B41C50"/>
    <w:rsid w:val="00B429BA"/>
    <w:rsid w:val="00B43F24"/>
    <w:rsid w:val="00B458CB"/>
    <w:rsid w:val="00B500EC"/>
    <w:rsid w:val="00B5091A"/>
    <w:rsid w:val="00B51B26"/>
    <w:rsid w:val="00B521DD"/>
    <w:rsid w:val="00B53EC3"/>
    <w:rsid w:val="00B54A22"/>
    <w:rsid w:val="00B554E0"/>
    <w:rsid w:val="00B61B8A"/>
    <w:rsid w:val="00B6257E"/>
    <w:rsid w:val="00B6323E"/>
    <w:rsid w:val="00B6485B"/>
    <w:rsid w:val="00B65927"/>
    <w:rsid w:val="00B67663"/>
    <w:rsid w:val="00B67B41"/>
    <w:rsid w:val="00B700DF"/>
    <w:rsid w:val="00B704CB"/>
    <w:rsid w:val="00B70D61"/>
    <w:rsid w:val="00B71B15"/>
    <w:rsid w:val="00B72088"/>
    <w:rsid w:val="00B764A3"/>
    <w:rsid w:val="00B771D5"/>
    <w:rsid w:val="00B77CB9"/>
    <w:rsid w:val="00B80014"/>
    <w:rsid w:val="00B80C7D"/>
    <w:rsid w:val="00B81599"/>
    <w:rsid w:val="00B817AC"/>
    <w:rsid w:val="00B81A69"/>
    <w:rsid w:val="00B823A3"/>
    <w:rsid w:val="00B8535F"/>
    <w:rsid w:val="00B90533"/>
    <w:rsid w:val="00B90957"/>
    <w:rsid w:val="00B9368B"/>
    <w:rsid w:val="00B954C4"/>
    <w:rsid w:val="00B95840"/>
    <w:rsid w:val="00B96976"/>
    <w:rsid w:val="00B96CF0"/>
    <w:rsid w:val="00BA0137"/>
    <w:rsid w:val="00BA03E4"/>
    <w:rsid w:val="00BA12D5"/>
    <w:rsid w:val="00BA28F0"/>
    <w:rsid w:val="00BA2B3F"/>
    <w:rsid w:val="00BA2B84"/>
    <w:rsid w:val="00BA3331"/>
    <w:rsid w:val="00BA5D1C"/>
    <w:rsid w:val="00BA7ACE"/>
    <w:rsid w:val="00BB01E8"/>
    <w:rsid w:val="00BB4191"/>
    <w:rsid w:val="00BB4BF1"/>
    <w:rsid w:val="00BB4D5A"/>
    <w:rsid w:val="00BB5298"/>
    <w:rsid w:val="00BB663B"/>
    <w:rsid w:val="00BB75E7"/>
    <w:rsid w:val="00BC0780"/>
    <w:rsid w:val="00BC3EA2"/>
    <w:rsid w:val="00BC745D"/>
    <w:rsid w:val="00BD0AA7"/>
    <w:rsid w:val="00BD0B47"/>
    <w:rsid w:val="00BD1E7C"/>
    <w:rsid w:val="00BD1ED4"/>
    <w:rsid w:val="00BD4B62"/>
    <w:rsid w:val="00BD4C50"/>
    <w:rsid w:val="00BD539D"/>
    <w:rsid w:val="00BD6C41"/>
    <w:rsid w:val="00BE0606"/>
    <w:rsid w:val="00BE4B9F"/>
    <w:rsid w:val="00BE5432"/>
    <w:rsid w:val="00BE5988"/>
    <w:rsid w:val="00BE6485"/>
    <w:rsid w:val="00BE66DD"/>
    <w:rsid w:val="00BF1861"/>
    <w:rsid w:val="00BF4208"/>
    <w:rsid w:val="00BF5554"/>
    <w:rsid w:val="00BF7BAE"/>
    <w:rsid w:val="00C00487"/>
    <w:rsid w:val="00C01E5C"/>
    <w:rsid w:val="00C045D7"/>
    <w:rsid w:val="00C04F4D"/>
    <w:rsid w:val="00C04FF1"/>
    <w:rsid w:val="00C052DB"/>
    <w:rsid w:val="00C0720C"/>
    <w:rsid w:val="00C1094E"/>
    <w:rsid w:val="00C10E98"/>
    <w:rsid w:val="00C1146A"/>
    <w:rsid w:val="00C11848"/>
    <w:rsid w:val="00C11C65"/>
    <w:rsid w:val="00C126A4"/>
    <w:rsid w:val="00C14CCA"/>
    <w:rsid w:val="00C1530B"/>
    <w:rsid w:val="00C17A9D"/>
    <w:rsid w:val="00C22B48"/>
    <w:rsid w:val="00C27A78"/>
    <w:rsid w:val="00C3144A"/>
    <w:rsid w:val="00C33598"/>
    <w:rsid w:val="00C35D84"/>
    <w:rsid w:val="00C37E3E"/>
    <w:rsid w:val="00C40205"/>
    <w:rsid w:val="00C40C2D"/>
    <w:rsid w:val="00C41FE3"/>
    <w:rsid w:val="00C43A61"/>
    <w:rsid w:val="00C43F37"/>
    <w:rsid w:val="00C44EE2"/>
    <w:rsid w:val="00C45009"/>
    <w:rsid w:val="00C45527"/>
    <w:rsid w:val="00C45B2A"/>
    <w:rsid w:val="00C520F5"/>
    <w:rsid w:val="00C52236"/>
    <w:rsid w:val="00C52FCE"/>
    <w:rsid w:val="00C5492B"/>
    <w:rsid w:val="00C54E81"/>
    <w:rsid w:val="00C550D9"/>
    <w:rsid w:val="00C570FD"/>
    <w:rsid w:val="00C577CB"/>
    <w:rsid w:val="00C60B99"/>
    <w:rsid w:val="00C616D3"/>
    <w:rsid w:val="00C62E9C"/>
    <w:rsid w:val="00C6345E"/>
    <w:rsid w:val="00C6570B"/>
    <w:rsid w:val="00C672DD"/>
    <w:rsid w:val="00C72253"/>
    <w:rsid w:val="00C72D78"/>
    <w:rsid w:val="00C73271"/>
    <w:rsid w:val="00C75026"/>
    <w:rsid w:val="00C750D0"/>
    <w:rsid w:val="00C75229"/>
    <w:rsid w:val="00C7587A"/>
    <w:rsid w:val="00C75B34"/>
    <w:rsid w:val="00C80196"/>
    <w:rsid w:val="00C80401"/>
    <w:rsid w:val="00C807ED"/>
    <w:rsid w:val="00C80EB9"/>
    <w:rsid w:val="00C82D3F"/>
    <w:rsid w:val="00C82EB4"/>
    <w:rsid w:val="00C83119"/>
    <w:rsid w:val="00C84DD1"/>
    <w:rsid w:val="00C84E9E"/>
    <w:rsid w:val="00C856C9"/>
    <w:rsid w:val="00C87CC4"/>
    <w:rsid w:val="00C912F3"/>
    <w:rsid w:val="00C9227F"/>
    <w:rsid w:val="00C93303"/>
    <w:rsid w:val="00C94379"/>
    <w:rsid w:val="00C951B1"/>
    <w:rsid w:val="00C96696"/>
    <w:rsid w:val="00C9691E"/>
    <w:rsid w:val="00C9776C"/>
    <w:rsid w:val="00CA0F29"/>
    <w:rsid w:val="00CA2315"/>
    <w:rsid w:val="00CA2BEF"/>
    <w:rsid w:val="00CA328C"/>
    <w:rsid w:val="00CA3EC7"/>
    <w:rsid w:val="00CA498A"/>
    <w:rsid w:val="00CA52D2"/>
    <w:rsid w:val="00CA556B"/>
    <w:rsid w:val="00CB09A3"/>
    <w:rsid w:val="00CB39A6"/>
    <w:rsid w:val="00CB4ADE"/>
    <w:rsid w:val="00CB5BF7"/>
    <w:rsid w:val="00CB5F5B"/>
    <w:rsid w:val="00CB73DD"/>
    <w:rsid w:val="00CC11BB"/>
    <w:rsid w:val="00CC2F5B"/>
    <w:rsid w:val="00CC570E"/>
    <w:rsid w:val="00CC75A0"/>
    <w:rsid w:val="00CD0DE6"/>
    <w:rsid w:val="00CD10A4"/>
    <w:rsid w:val="00CD14AE"/>
    <w:rsid w:val="00CD4D23"/>
    <w:rsid w:val="00CD513E"/>
    <w:rsid w:val="00CD6DA6"/>
    <w:rsid w:val="00CE00E1"/>
    <w:rsid w:val="00CE38C7"/>
    <w:rsid w:val="00CE41CF"/>
    <w:rsid w:val="00CE5B0C"/>
    <w:rsid w:val="00CE64E0"/>
    <w:rsid w:val="00CE6665"/>
    <w:rsid w:val="00CE6B9F"/>
    <w:rsid w:val="00CF06C6"/>
    <w:rsid w:val="00CF1DAC"/>
    <w:rsid w:val="00CF1DC0"/>
    <w:rsid w:val="00CF2872"/>
    <w:rsid w:val="00CF3C9B"/>
    <w:rsid w:val="00CF41F9"/>
    <w:rsid w:val="00CF4AFE"/>
    <w:rsid w:val="00CF4CB3"/>
    <w:rsid w:val="00CF4D6C"/>
    <w:rsid w:val="00CF56AB"/>
    <w:rsid w:val="00CF5772"/>
    <w:rsid w:val="00D003C1"/>
    <w:rsid w:val="00D00ADD"/>
    <w:rsid w:val="00D02915"/>
    <w:rsid w:val="00D02CBA"/>
    <w:rsid w:val="00D042B5"/>
    <w:rsid w:val="00D0655F"/>
    <w:rsid w:val="00D10D67"/>
    <w:rsid w:val="00D11ADC"/>
    <w:rsid w:val="00D149DD"/>
    <w:rsid w:val="00D14CA8"/>
    <w:rsid w:val="00D14F1E"/>
    <w:rsid w:val="00D1590A"/>
    <w:rsid w:val="00D15A8E"/>
    <w:rsid w:val="00D16B5A"/>
    <w:rsid w:val="00D16BF7"/>
    <w:rsid w:val="00D16FB8"/>
    <w:rsid w:val="00D2184C"/>
    <w:rsid w:val="00D24146"/>
    <w:rsid w:val="00D25F33"/>
    <w:rsid w:val="00D26742"/>
    <w:rsid w:val="00D27D06"/>
    <w:rsid w:val="00D30E5F"/>
    <w:rsid w:val="00D319FD"/>
    <w:rsid w:val="00D32DDC"/>
    <w:rsid w:val="00D33E07"/>
    <w:rsid w:val="00D357A4"/>
    <w:rsid w:val="00D35A67"/>
    <w:rsid w:val="00D37EFB"/>
    <w:rsid w:val="00D4014F"/>
    <w:rsid w:val="00D41512"/>
    <w:rsid w:val="00D421F9"/>
    <w:rsid w:val="00D42722"/>
    <w:rsid w:val="00D430B8"/>
    <w:rsid w:val="00D45514"/>
    <w:rsid w:val="00D45A8A"/>
    <w:rsid w:val="00D508F2"/>
    <w:rsid w:val="00D50A56"/>
    <w:rsid w:val="00D513BB"/>
    <w:rsid w:val="00D520D0"/>
    <w:rsid w:val="00D53359"/>
    <w:rsid w:val="00D53B21"/>
    <w:rsid w:val="00D545E3"/>
    <w:rsid w:val="00D54600"/>
    <w:rsid w:val="00D54EE5"/>
    <w:rsid w:val="00D556E5"/>
    <w:rsid w:val="00D55D60"/>
    <w:rsid w:val="00D562B6"/>
    <w:rsid w:val="00D56E13"/>
    <w:rsid w:val="00D57133"/>
    <w:rsid w:val="00D62669"/>
    <w:rsid w:val="00D634FB"/>
    <w:rsid w:val="00D63D41"/>
    <w:rsid w:val="00D663AA"/>
    <w:rsid w:val="00D705A0"/>
    <w:rsid w:val="00D71062"/>
    <w:rsid w:val="00D7492E"/>
    <w:rsid w:val="00D76AF6"/>
    <w:rsid w:val="00D76E8B"/>
    <w:rsid w:val="00D77EEE"/>
    <w:rsid w:val="00D824A1"/>
    <w:rsid w:val="00D840EA"/>
    <w:rsid w:val="00D84764"/>
    <w:rsid w:val="00D84DD4"/>
    <w:rsid w:val="00D852C6"/>
    <w:rsid w:val="00D87CB4"/>
    <w:rsid w:val="00D9024C"/>
    <w:rsid w:val="00D91506"/>
    <w:rsid w:val="00D936B0"/>
    <w:rsid w:val="00D9372D"/>
    <w:rsid w:val="00D96EC3"/>
    <w:rsid w:val="00D970A1"/>
    <w:rsid w:val="00D97602"/>
    <w:rsid w:val="00DA062E"/>
    <w:rsid w:val="00DA187A"/>
    <w:rsid w:val="00DA1A37"/>
    <w:rsid w:val="00DA2655"/>
    <w:rsid w:val="00DA79C5"/>
    <w:rsid w:val="00DB5589"/>
    <w:rsid w:val="00DB55EF"/>
    <w:rsid w:val="00DB6015"/>
    <w:rsid w:val="00DB6635"/>
    <w:rsid w:val="00DB7036"/>
    <w:rsid w:val="00DC0BED"/>
    <w:rsid w:val="00DC2795"/>
    <w:rsid w:val="00DC5736"/>
    <w:rsid w:val="00DC641F"/>
    <w:rsid w:val="00DD084B"/>
    <w:rsid w:val="00DD1BD2"/>
    <w:rsid w:val="00DD2142"/>
    <w:rsid w:val="00DD22D1"/>
    <w:rsid w:val="00DD5FE8"/>
    <w:rsid w:val="00DD6261"/>
    <w:rsid w:val="00DD693E"/>
    <w:rsid w:val="00DD69BD"/>
    <w:rsid w:val="00DE1B52"/>
    <w:rsid w:val="00DE2799"/>
    <w:rsid w:val="00DE57A7"/>
    <w:rsid w:val="00DE59F7"/>
    <w:rsid w:val="00DF09F4"/>
    <w:rsid w:val="00DF15DA"/>
    <w:rsid w:val="00DF5497"/>
    <w:rsid w:val="00DF564C"/>
    <w:rsid w:val="00DF6804"/>
    <w:rsid w:val="00DF6882"/>
    <w:rsid w:val="00E003ED"/>
    <w:rsid w:val="00E00651"/>
    <w:rsid w:val="00E044E2"/>
    <w:rsid w:val="00E06DDD"/>
    <w:rsid w:val="00E06E2B"/>
    <w:rsid w:val="00E1142B"/>
    <w:rsid w:val="00E1179F"/>
    <w:rsid w:val="00E122DA"/>
    <w:rsid w:val="00E129B1"/>
    <w:rsid w:val="00E12B07"/>
    <w:rsid w:val="00E150A0"/>
    <w:rsid w:val="00E15D01"/>
    <w:rsid w:val="00E16924"/>
    <w:rsid w:val="00E16B17"/>
    <w:rsid w:val="00E219DB"/>
    <w:rsid w:val="00E239EA"/>
    <w:rsid w:val="00E240E7"/>
    <w:rsid w:val="00E25801"/>
    <w:rsid w:val="00E25F34"/>
    <w:rsid w:val="00E33AC8"/>
    <w:rsid w:val="00E344F9"/>
    <w:rsid w:val="00E346DD"/>
    <w:rsid w:val="00E34ACA"/>
    <w:rsid w:val="00E3530E"/>
    <w:rsid w:val="00E35DC2"/>
    <w:rsid w:val="00E378F8"/>
    <w:rsid w:val="00E40B42"/>
    <w:rsid w:val="00E40F9B"/>
    <w:rsid w:val="00E41B4C"/>
    <w:rsid w:val="00E41E44"/>
    <w:rsid w:val="00E432BC"/>
    <w:rsid w:val="00E43A1B"/>
    <w:rsid w:val="00E46305"/>
    <w:rsid w:val="00E46A81"/>
    <w:rsid w:val="00E46AAC"/>
    <w:rsid w:val="00E47235"/>
    <w:rsid w:val="00E510E1"/>
    <w:rsid w:val="00E51FEF"/>
    <w:rsid w:val="00E53CA2"/>
    <w:rsid w:val="00E6001D"/>
    <w:rsid w:val="00E60607"/>
    <w:rsid w:val="00E62FF8"/>
    <w:rsid w:val="00E65D74"/>
    <w:rsid w:val="00E6665F"/>
    <w:rsid w:val="00E66DAD"/>
    <w:rsid w:val="00E67005"/>
    <w:rsid w:val="00E6715C"/>
    <w:rsid w:val="00E67EE5"/>
    <w:rsid w:val="00E70BCF"/>
    <w:rsid w:val="00E71C34"/>
    <w:rsid w:val="00E75000"/>
    <w:rsid w:val="00E75997"/>
    <w:rsid w:val="00E764BC"/>
    <w:rsid w:val="00E77E88"/>
    <w:rsid w:val="00E814BB"/>
    <w:rsid w:val="00E81BA6"/>
    <w:rsid w:val="00E81BE1"/>
    <w:rsid w:val="00E824D8"/>
    <w:rsid w:val="00E83F94"/>
    <w:rsid w:val="00E863A7"/>
    <w:rsid w:val="00E8774C"/>
    <w:rsid w:val="00E87C7C"/>
    <w:rsid w:val="00E9068D"/>
    <w:rsid w:val="00E91221"/>
    <w:rsid w:val="00E9131B"/>
    <w:rsid w:val="00E91B3F"/>
    <w:rsid w:val="00E91FF4"/>
    <w:rsid w:val="00E92051"/>
    <w:rsid w:val="00E9360A"/>
    <w:rsid w:val="00E9387B"/>
    <w:rsid w:val="00E9441A"/>
    <w:rsid w:val="00E96B4F"/>
    <w:rsid w:val="00E97C5E"/>
    <w:rsid w:val="00EA0944"/>
    <w:rsid w:val="00EA0E18"/>
    <w:rsid w:val="00EA11CB"/>
    <w:rsid w:val="00EA2E7C"/>
    <w:rsid w:val="00EA586C"/>
    <w:rsid w:val="00EA6309"/>
    <w:rsid w:val="00EA7FD0"/>
    <w:rsid w:val="00EB067F"/>
    <w:rsid w:val="00EB16BA"/>
    <w:rsid w:val="00EB451A"/>
    <w:rsid w:val="00EB5776"/>
    <w:rsid w:val="00EC1197"/>
    <w:rsid w:val="00EC2407"/>
    <w:rsid w:val="00EC4F1A"/>
    <w:rsid w:val="00EC563A"/>
    <w:rsid w:val="00EC63D9"/>
    <w:rsid w:val="00EC73FB"/>
    <w:rsid w:val="00ED0FB4"/>
    <w:rsid w:val="00ED2321"/>
    <w:rsid w:val="00ED2533"/>
    <w:rsid w:val="00ED3778"/>
    <w:rsid w:val="00ED3CFE"/>
    <w:rsid w:val="00ED4FA2"/>
    <w:rsid w:val="00ED506A"/>
    <w:rsid w:val="00ED77F5"/>
    <w:rsid w:val="00EE049C"/>
    <w:rsid w:val="00EE0812"/>
    <w:rsid w:val="00EE0C14"/>
    <w:rsid w:val="00EE1A41"/>
    <w:rsid w:val="00EE1E6D"/>
    <w:rsid w:val="00EE2732"/>
    <w:rsid w:val="00EE3A63"/>
    <w:rsid w:val="00EE5411"/>
    <w:rsid w:val="00EE5B54"/>
    <w:rsid w:val="00EE657E"/>
    <w:rsid w:val="00EE6AB8"/>
    <w:rsid w:val="00EF1CE1"/>
    <w:rsid w:val="00EF1F45"/>
    <w:rsid w:val="00EF2C4B"/>
    <w:rsid w:val="00EF319E"/>
    <w:rsid w:val="00EF4689"/>
    <w:rsid w:val="00EF4D9A"/>
    <w:rsid w:val="00EF5190"/>
    <w:rsid w:val="00EF634E"/>
    <w:rsid w:val="00EF6633"/>
    <w:rsid w:val="00EF737F"/>
    <w:rsid w:val="00EF7693"/>
    <w:rsid w:val="00F02E09"/>
    <w:rsid w:val="00F02E3A"/>
    <w:rsid w:val="00F1023C"/>
    <w:rsid w:val="00F10A4C"/>
    <w:rsid w:val="00F10FA9"/>
    <w:rsid w:val="00F11B18"/>
    <w:rsid w:val="00F16C21"/>
    <w:rsid w:val="00F17521"/>
    <w:rsid w:val="00F22564"/>
    <w:rsid w:val="00F23AE8"/>
    <w:rsid w:val="00F23C68"/>
    <w:rsid w:val="00F2512A"/>
    <w:rsid w:val="00F25F87"/>
    <w:rsid w:val="00F30F97"/>
    <w:rsid w:val="00F33033"/>
    <w:rsid w:val="00F336FD"/>
    <w:rsid w:val="00F345EF"/>
    <w:rsid w:val="00F35366"/>
    <w:rsid w:val="00F36025"/>
    <w:rsid w:val="00F36FC6"/>
    <w:rsid w:val="00F4038D"/>
    <w:rsid w:val="00F43D72"/>
    <w:rsid w:val="00F46989"/>
    <w:rsid w:val="00F46B2B"/>
    <w:rsid w:val="00F47A12"/>
    <w:rsid w:val="00F500D9"/>
    <w:rsid w:val="00F519EA"/>
    <w:rsid w:val="00F51ED9"/>
    <w:rsid w:val="00F53402"/>
    <w:rsid w:val="00F55D6E"/>
    <w:rsid w:val="00F5641E"/>
    <w:rsid w:val="00F56939"/>
    <w:rsid w:val="00F60435"/>
    <w:rsid w:val="00F60764"/>
    <w:rsid w:val="00F63354"/>
    <w:rsid w:val="00F63401"/>
    <w:rsid w:val="00F6390E"/>
    <w:rsid w:val="00F64658"/>
    <w:rsid w:val="00F6490D"/>
    <w:rsid w:val="00F64DE4"/>
    <w:rsid w:val="00F65F35"/>
    <w:rsid w:val="00F676F9"/>
    <w:rsid w:val="00F7060B"/>
    <w:rsid w:val="00F71D4B"/>
    <w:rsid w:val="00F73EDA"/>
    <w:rsid w:val="00F744F1"/>
    <w:rsid w:val="00F808EF"/>
    <w:rsid w:val="00F81597"/>
    <w:rsid w:val="00F8280A"/>
    <w:rsid w:val="00F83F90"/>
    <w:rsid w:val="00F84268"/>
    <w:rsid w:val="00F855F7"/>
    <w:rsid w:val="00F85C72"/>
    <w:rsid w:val="00F86BA0"/>
    <w:rsid w:val="00F8753C"/>
    <w:rsid w:val="00F90116"/>
    <w:rsid w:val="00F9039D"/>
    <w:rsid w:val="00F90831"/>
    <w:rsid w:val="00F91FDB"/>
    <w:rsid w:val="00F9442B"/>
    <w:rsid w:val="00F949B7"/>
    <w:rsid w:val="00F9539E"/>
    <w:rsid w:val="00F96A87"/>
    <w:rsid w:val="00F97128"/>
    <w:rsid w:val="00F97734"/>
    <w:rsid w:val="00F97FD9"/>
    <w:rsid w:val="00FA21BE"/>
    <w:rsid w:val="00FA3C69"/>
    <w:rsid w:val="00FA3FF9"/>
    <w:rsid w:val="00FA4349"/>
    <w:rsid w:val="00FA51FF"/>
    <w:rsid w:val="00FA553B"/>
    <w:rsid w:val="00FA6148"/>
    <w:rsid w:val="00FA7841"/>
    <w:rsid w:val="00FA7DAD"/>
    <w:rsid w:val="00FB18B5"/>
    <w:rsid w:val="00FB18E4"/>
    <w:rsid w:val="00FB5271"/>
    <w:rsid w:val="00FB5AEF"/>
    <w:rsid w:val="00FC45CB"/>
    <w:rsid w:val="00FC59DF"/>
    <w:rsid w:val="00FC5CFC"/>
    <w:rsid w:val="00FC7781"/>
    <w:rsid w:val="00FC7C58"/>
    <w:rsid w:val="00FD02DB"/>
    <w:rsid w:val="00FD19E2"/>
    <w:rsid w:val="00FD1BB3"/>
    <w:rsid w:val="00FD2B3E"/>
    <w:rsid w:val="00FD4308"/>
    <w:rsid w:val="00FD436C"/>
    <w:rsid w:val="00FD5A4E"/>
    <w:rsid w:val="00FD5E08"/>
    <w:rsid w:val="00FD7954"/>
    <w:rsid w:val="00FD7D5D"/>
    <w:rsid w:val="00FE2CDA"/>
    <w:rsid w:val="00FE2F12"/>
    <w:rsid w:val="00FE30AB"/>
    <w:rsid w:val="00FE31D4"/>
    <w:rsid w:val="00FE3999"/>
    <w:rsid w:val="00FE4958"/>
    <w:rsid w:val="00FE5851"/>
    <w:rsid w:val="00FE5B94"/>
    <w:rsid w:val="00FE661B"/>
    <w:rsid w:val="00FF0855"/>
    <w:rsid w:val="00FF3A9A"/>
    <w:rsid w:val="00FF3C13"/>
    <w:rsid w:val="00FF4C7F"/>
    <w:rsid w:val="00FF4DA3"/>
    <w:rsid w:val="00FF6F4F"/>
    <w:rsid w:val="00FF7210"/>
    <w:rsid w:val="00FF771A"/>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 w:type="table" w:styleId="GridTable4">
    <w:name w:val="Grid Table 4"/>
    <w:basedOn w:val="TableNormal"/>
    <w:uiPriority w:val="49"/>
    <w:rsid w:val="006959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1775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7509"/>
    <w:rPr>
      <w:rFonts w:ascii="Consolas" w:hAnsi="Consolas"/>
      <w:sz w:val="20"/>
      <w:szCs w:val="20"/>
    </w:rPr>
  </w:style>
  <w:style w:type="paragraph" w:customStyle="1" w:styleId="msonormal0">
    <w:name w:val="msonormal"/>
    <w:basedOn w:val="Normal"/>
    <w:rsid w:val="00C9776C"/>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customStyle="1" w:styleId="xl65">
    <w:name w:val="xl65"/>
    <w:basedOn w:val="Normal"/>
    <w:rsid w:val="00C9776C"/>
    <w:pPr>
      <w:pBdr>
        <w:top w:val="single" w:sz="4" w:space="0" w:color="BFBFBF"/>
        <w:left w:val="single" w:sz="4" w:space="0" w:color="BFBFBF"/>
        <w:bottom w:val="single" w:sz="4" w:space="0" w:color="BFBFBF"/>
        <w:right w:val="single" w:sz="4" w:space="0" w:color="BFBFBF"/>
      </w:pBdr>
      <w:shd w:val="clear" w:color="666699" w:fill="305496"/>
      <w:spacing w:before="100" w:beforeAutospacing="1" w:after="100" w:afterAutospacing="1" w:line="240" w:lineRule="auto"/>
      <w:textAlignment w:val="top"/>
    </w:pPr>
    <w:rPr>
      <w:rFonts w:eastAsia="Times New Roman" w:cs="Arial"/>
      <w:b/>
      <w:bCs/>
      <w:color w:val="FFFFFF"/>
      <w:kern w:val="0"/>
      <w:sz w:val="20"/>
      <w:szCs w:val="20"/>
      <w:lang w:eastAsia="en-GB"/>
      <w14:ligatures w14:val="none"/>
    </w:rPr>
  </w:style>
  <w:style w:type="paragraph" w:customStyle="1" w:styleId="xl66">
    <w:name w:val="xl66"/>
    <w:basedOn w:val="Normal"/>
    <w:rsid w:val="00C9776C"/>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textAlignment w:val="top"/>
    </w:pPr>
    <w:rPr>
      <w:rFonts w:eastAsia="Times New Roman" w:cs="Arial"/>
      <w:kern w:val="0"/>
      <w:sz w:val="20"/>
      <w:szCs w:val="20"/>
      <w:lang w:eastAsia="en-GB"/>
      <w14:ligatures w14:val="none"/>
    </w:rPr>
  </w:style>
  <w:style w:type="paragraph" w:customStyle="1" w:styleId="xl67">
    <w:name w:val="xl67"/>
    <w:basedOn w:val="Normal"/>
    <w:rsid w:val="00C9776C"/>
    <w:pPr>
      <w:pBdr>
        <w:top w:val="single" w:sz="4" w:space="0" w:color="BFBFBF"/>
        <w:left w:val="single" w:sz="4" w:space="0" w:color="BFBFBF"/>
        <w:bottom w:val="single" w:sz="4" w:space="0" w:color="BFBFBF"/>
        <w:right w:val="single" w:sz="4" w:space="0" w:color="BFBFBF"/>
      </w:pBdr>
      <w:shd w:val="clear" w:color="D9D9D9" w:fill="FFC7CE"/>
      <w:spacing w:before="100" w:beforeAutospacing="1" w:after="100" w:afterAutospacing="1" w:line="240" w:lineRule="auto"/>
      <w:textAlignment w:val="top"/>
    </w:pPr>
    <w:rPr>
      <w:rFonts w:eastAsia="Times New Roman" w:cs="Arial"/>
      <w:kern w:val="0"/>
      <w:sz w:val="20"/>
      <w:szCs w:val="20"/>
      <w:lang w:eastAsia="en-GB"/>
      <w14:ligatures w14:val="none"/>
    </w:rPr>
  </w:style>
  <w:style w:type="paragraph" w:customStyle="1" w:styleId="xl68">
    <w:name w:val="xl68"/>
    <w:basedOn w:val="Normal"/>
    <w:rsid w:val="00C9776C"/>
    <w:pPr>
      <w:pBdr>
        <w:top w:val="single" w:sz="4" w:space="0" w:color="BFBFBF"/>
        <w:left w:val="single" w:sz="4" w:space="0" w:color="BFBFBF"/>
        <w:bottom w:val="single" w:sz="4" w:space="0" w:color="BFBFBF"/>
        <w:right w:val="single" w:sz="4" w:space="0" w:color="BFBFBF"/>
      </w:pBdr>
      <w:shd w:val="clear" w:color="D9D9D9" w:fill="C6EFCE"/>
      <w:spacing w:before="100" w:beforeAutospacing="1" w:after="100" w:afterAutospacing="1" w:line="240" w:lineRule="auto"/>
      <w:textAlignment w:val="top"/>
    </w:pPr>
    <w:rPr>
      <w:rFonts w:eastAsia="Times New Roman" w:cs="Arial"/>
      <w:kern w:val="0"/>
      <w:sz w:val="20"/>
      <w:szCs w:val="20"/>
      <w:lang w:eastAsia="en-GB"/>
      <w14:ligatures w14:val="none"/>
    </w:rPr>
  </w:style>
  <w:style w:type="paragraph" w:customStyle="1" w:styleId="xl69">
    <w:name w:val="xl69"/>
    <w:basedOn w:val="Normal"/>
    <w:rsid w:val="00C9776C"/>
    <w:pPr>
      <w:pBdr>
        <w:top w:val="single" w:sz="4" w:space="0" w:color="BFBFBF"/>
        <w:left w:val="single" w:sz="4" w:space="0" w:color="BFBFBF"/>
        <w:bottom w:val="single" w:sz="4" w:space="0" w:color="BFBFBF"/>
        <w:right w:val="single" w:sz="4" w:space="0" w:color="BFBFBF"/>
      </w:pBdr>
      <w:shd w:val="clear" w:color="C6EFCE" w:fill="D9D9D9"/>
      <w:spacing w:before="100" w:beforeAutospacing="1" w:after="100" w:afterAutospacing="1" w:line="240" w:lineRule="auto"/>
      <w:textAlignment w:val="top"/>
    </w:pPr>
    <w:rPr>
      <w:rFonts w:eastAsia="Times New Roman" w:cs="Arial"/>
      <w:kern w:val="0"/>
      <w:sz w:val="20"/>
      <w:szCs w:val="20"/>
      <w:lang w:eastAsia="en-GB"/>
      <w14:ligatures w14:val="none"/>
    </w:rPr>
  </w:style>
  <w:style w:type="table" w:styleId="GridTable4-Accent1">
    <w:name w:val="Grid Table 4 Accent 1"/>
    <w:basedOn w:val="TableNormal"/>
    <w:uiPriority w:val="49"/>
    <w:rsid w:val="00DC641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4220-023-00106-z" TargetMode="External"/><Relationship Id="rId18" Type="http://schemas.openxmlformats.org/officeDocument/2006/relationships/hyperlink" Target="https://doi.org/10.1038/s41591-023-02766-x" TargetMode="External"/><Relationship Id="rId26" Type="http://schemas.openxmlformats.org/officeDocument/2006/relationships/hyperlink" Target="https://doi.org/10.3389/fdgth.2022.1004547" TargetMode="External"/><Relationship Id="rId21" Type="http://schemas.openxmlformats.org/officeDocument/2006/relationships/hyperlink" Target="https://ico.org.uk/for-organisations/uk-gdpr-guidance-and-resources/artificial-intelligence/guidance-on-ai-and-data-protection" TargetMode="External"/><Relationship Id="rId34" Type="http://schemas.openxmlformats.org/officeDocument/2006/relationships/hyperlink" Target="https://www.sabp.nhs.uk/news/ai-chatbot-used-mind-matters-surrey-awarded-medical-device-status" TargetMode="External"/><Relationship Id="rId7" Type="http://schemas.openxmlformats.org/officeDocument/2006/relationships/endnotes" Target="endnotes.xml"/><Relationship Id="rId12" Type="http://schemas.openxmlformats.org/officeDocument/2006/relationships/hyperlink" Target="https://doi.org/10.1186/s12913-023-10536-1" TargetMode="External"/><Relationship Id="rId17" Type="http://schemas.openxmlformats.org/officeDocument/2006/relationships/hyperlink" Target="https://doi.org/10.3310/GJAB1822" TargetMode="External"/><Relationship Id="rId25" Type="http://schemas.openxmlformats.org/officeDocument/2006/relationships/hyperlink" Target="https://www.gov.uk/government/publications/software-and-ai-as-a-medical-device-change-programme" TargetMode="External"/><Relationship Id="rId33" Type="http://schemas.openxmlformats.org/officeDocument/2006/relationships/hyperlink" Target="https://doi.org/10.2196/4435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put.nhs.uk/wp-content/uploads/2025/05/board_of_directors_meeting_part_1-1-March-2024.pdf" TargetMode="External"/><Relationship Id="rId20" Type="http://schemas.openxmlformats.org/officeDocument/2006/relationships/hyperlink" Target="https://www.hra.nhs.uk/planning-and-improving-research/application-summaries/research-summaries/limbic-ai-enabled-information-collection-tool-for-mental-health" TargetMode="External"/><Relationship Id="rId29" Type="http://schemas.openxmlformats.org/officeDocument/2006/relationships/hyperlink" Target="https://www.england.nhs.uk/publication/nhs-long-term--workforce-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55766" TargetMode="External"/><Relationship Id="rId24" Type="http://schemas.openxmlformats.org/officeDocument/2006/relationships/hyperlink" Target="https://doi.org/10.1186/s12913-023-10030-8" TargetMode="External"/><Relationship Id="rId32" Type="http://schemas.openxmlformats.org/officeDocument/2006/relationships/hyperlink" Target="https://digital.nhs.uk/data-and-information/publications/statistical/nhs-talking-therapies-for-anxiety-and-depression-annual-reports/2024-2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a-plan-for-digital-health-and-social-care/a-plan-for-digital-health-and-social-care" TargetMode="External"/><Relationship Id="rId23" Type="http://schemas.openxmlformats.org/officeDocument/2006/relationships/hyperlink" Target="https://doi.org/10.1017/S026646232510055X" TargetMode="External"/><Relationship Id="rId28" Type="http://schemas.openxmlformats.org/officeDocument/2006/relationships/hyperlink" Target="https://www.nice.org.uk/guidance/htg756" TargetMode="External"/><Relationship Id="rId36" Type="http://schemas.openxmlformats.org/officeDocument/2006/relationships/footer" Target="footer1.xml"/><Relationship Id="rId10" Type="http://schemas.openxmlformats.org/officeDocument/2006/relationships/hyperlink" Target="https://www.digitalregulations.innovation.nhs.uk/case-studies/using-a-chatbot-to-ease-staff-shortages-and-improve-patient-care" TargetMode="External"/><Relationship Id="rId19" Type="http://schemas.openxmlformats.org/officeDocument/2006/relationships/hyperlink" Target="https://doi.org/10.37829/HF-2021-I03" TargetMode="External"/><Relationship Id="rId31" Type="http://schemas.openxmlformats.org/officeDocument/2006/relationships/hyperlink" Target="https://www.england.nhs.uk/publication/the-improving-access-to-psychological-therapies-manu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digital-working-in-adult-social-care-what-good-looks-like/digital-working-in-adult-social-care-what-good-looks-like-for-local-authorities-and-care-providers" TargetMode="External"/><Relationship Id="rId22" Type="http://schemas.openxmlformats.org/officeDocument/2006/relationships/hyperlink" Target="https://ico.org.uk/for-organisations/uk-gdpr-guidance-and-resources/lawful-basis/special-category-data/what-are-the-rules-on-special-category-data" TargetMode="External"/><Relationship Id="rId27" Type="http://schemas.openxmlformats.org/officeDocument/2006/relationships/hyperlink" Target="https://www.kingsfund.org.uk/insight-and-analysis/long-reads/infrastructure-nhs-social-care-ai" TargetMode="External"/><Relationship Id="rId30" Type="http://schemas.openxmlformats.org/officeDocument/2006/relationships/hyperlink" Target="https://www.england.nhs.uk/long-read/inclusive-digital-healthcare-a-framework-for-nhs-action-on-digital-inclusion" TargetMode="External"/><Relationship Id="rId35" Type="http://schemas.openxmlformats.org/officeDocument/2006/relationships/hyperlink" Target="https://uclpartners.com/new-report-calls-for-workforce-centred-ai-adopti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3944</Words>
  <Characters>22483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Component 1: Digital innovation Report</vt:lpstr>
    </vt:vector>
  </TitlesOfParts>
  <Company>SYED MUDASSAR HUSSAIN(2407258)</Company>
  <LinksUpToDate>false</LinksUpToDate>
  <CharactersWithSpaces>26375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Digital innovation Report</dc:title>
  <dc:subject>Digital Transformation in the Health and Care Professions (BMHP6026)</dc:subject>
  <dc:creator>Syed Mudassar Hussain (2407258)</dc:creator>
  <cp:keywords/>
  <dc:description/>
  <cp:lastModifiedBy>Syed Mudassar Hussain (2407258)</cp:lastModifiedBy>
  <cp:revision>280</cp:revision>
  <dcterms:created xsi:type="dcterms:W3CDTF">2026-09-22T00:49:00Z</dcterms:created>
  <dcterms:modified xsi:type="dcterms:W3CDTF">2026-10-18T20:12:00Z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