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549" w:rsidRDefault="00D74549" w:rsidP="00D74549">
      <w:pPr>
        <w:spacing w:line="259" w:lineRule="auto"/>
        <w:jc w:val="center"/>
      </w:pPr>
    </w:p>
    <w:p w:rsidR="008B74FF" w:rsidRDefault="008B74FF" w:rsidP="00A71A56">
      <w:pPr>
        <w:spacing w:line="259" w:lineRule="auto"/>
        <w:jc w:val="center"/>
        <w:rPr>
          <w:b/>
          <w:bCs/>
          <w:sz w:val="36"/>
          <w:szCs w:val="36"/>
        </w:rPr>
      </w:pPr>
    </w:p>
    <w:p w:rsidR="008B74FF" w:rsidRPr="00FE4B1F" w:rsidRDefault="00777D01" w:rsidP="00A71A56">
      <w:pPr>
        <w:spacing w:line="259" w:lineRule="auto"/>
        <w:jc w:val="center"/>
        <w:rPr>
          <w:b/>
          <w:bCs/>
          <w:sz w:val="36"/>
          <w:szCs w:val="36"/>
        </w:rPr>
      </w:pPr>
      <w:r w:rsidRPr="00FE4B1F">
        <w:rPr>
          <w:noProof/>
          <w:lang w:val="en-US"/>
        </w:rPr>
        <w:drawing>
          <wp:inline distT="0" distB="0" distL="0" distR="0">
            <wp:extent cx="3081867" cy="1020101"/>
            <wp:effectExtent l="0" t="0" r="4445" b="8890"/>
            <wp:docPr id="1948172479"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23640" cy="1033928"/>
                    </a:xfrm>
                    <a:prstGeom prst="rect">
                      <a:avLst/>
                    </a:prstGeom>
                    <a:noFill/>
                    <a:ln>
                      <a:noFill/>
                    </a:ln>
                  </pic:spPr>
                </pic:pic>
              </a:graphicData>
            </a:graphic>
          </wp:inline>
        </w:drawing>
      </w:r>
    </w:p>
    <w:p w:rsidR="008B74FF" w:rsidRPr="00FE4B1F" w:rsidRDefault="008B74FF" w:rsidP="00A71A56">
      <w:pPr>
        <w:spacing w:line="259" w:lineRule="auto"/>
        <w:jc w:val="center"/>
        <w:rPr>
          <w:b/>
          <w:bCs/>
          <w:sz w:val="36"/>
          <w:szCs w:val="36"/>
        </w:rPr>
      </w:pPr>
    </w:p>
    <w:p w:rsidR="008B74FF" w:rsidRPr="00FE4B1F" w:rsidRDefault="008B74FF" w:rsidP="00A71A56">
      <w:pPr>
        <w:spacing w:line="259" w:lineRule="auto"/>
        <w:jc w:val="center"/>
        <w:rPr>
          <w:b/>
          <w:bCs/>
          <w:sz w:val="36"/>
          <w:szCs w:val="36"/>
        </w:rPr>
      </w:pPr>
    </w:p>
    <w:p w:rsidR="00777D01" w:rsidRPr="00FE4B1F" w:rsidRDefault="00C723C7" w:rsidP="00A8103C">
      <w:pPr>
        <w:spacing w:line="259" w:lineRule="auto"/>
        <w:jc w:val="center"/>
        <w:rPr>
          <w:b/>
          <w:bCs/>
          <w:sz w:val="36"/>
          <w:szCs w:val="36"/>
        </w:rPr>
      </w:pPr>
      <w:r w:rsidRPr="00FE4B1F">
        <w:rPr>
          <w:b/>
          <w:bCs/>
          <w:sz w:val="36"/>
          <w:szCs w:val="36"/>
        </w:rPr>
        <w:t>MSc Public Health and Social Care in Practice</w:t>
      </w:r>
    </w:p>
    <w:p w:rsidR="00777D01" w:rsidRPr="00FE4B1F" w:rsidRDefault="00777D01" w:rsidP="00A71A56">
      <w:pPr>
        <w:spacing w:line="259" w:lineRule="auto"/>
        <w:jc w:val="center"/>
        <w:rPr>
          <w:b/>
          <w:bCs/>
          <w:sz w:val="36"/>
          <w:szCs w:val="36"/>
        </w:rPr>
      </w:pPr>
    </w:p>
    <w:p w:rsidR="00A71A56" w:rsidRPr="00FE4B1F" w:rsidRDefault="00C723C7" w:rsidP="00520C08">
      <w:pPr>
        <w:spacing w:line="259" w:lineRule="auto"/>
        <w:jc w:val="center"/>
        <w:rPr>
          <w:b/>
          <w:bCs/>
          <w:sz w:val="32"/>
          <w:szCs w:val="32"/>
        </w:rPr>
      </w:pPr>
      <w:r w:rsidRPr="00FE4B1F">
        <w:rPr>
          <w:b/>
          <w:bCs/>
          <w:sz w:val="32"/>
          <w:szCs w:val="32"/>
        </w:rPr>
        <w:t>Quality Assurance and Service Improvements</w:t>
      </w:r>
    </w:p>
    <w:p w:rsidR="00A71A56" w:rsidRPr="00FE4B1F" w:rsidRDefault="00C723C7" w:rsidP="00A71A56">
      <w:pPr>
        <w:spacing w:line="259" w:lineRule="auto"/>
        <w:jc w:val="center"/>
        <w:rPr>
          <w:b/>
          <w:bCs/>
          <w:sz w:val="32"/>
          <w:szCs w:val="32"/>
        </w:rPr>
      </w:pPr>
      <w:r w:rsidRPr="00FE4B1F">
        <w:rPr>
          <w:b/>
          <w:bCs/>
          <w:sz w:val="32"/>
          <w:szCs w:val="32"/>
        </w:rPr>
        <w:t>LCHS7006</w:t>
      </w:r>
    </w:p>
    <w:p w:rsidR="00A8103C" w:rsidRPr="00FE4B1F" w:rsidRDefault="00C723C7" w:rsidP="00533EDC">
      <w:pPr>
        <w:spacing w:line="259" w:lineRule="auto"/>
        <w:jc w:val="center"/>
        <w:rPr>
          <w:b/>
          <w:bCs/>
          <w:sz w:val="32"/>
          <w:szCs w:val="28"/>
        </w:rPr>
      </w:pPr>
      <w:r w:rsidRPr="00FE4B1F">
        <w:rPr>
          <w:b/>
          <w:bCs/>
          <w:sz w:val="32"/>
          <w:szCs w:val="28"/>
        </w:rPr>
        <w:t>Component 2</w:t>
      </w:r>
      <w:r w:rsidR="00777D01" w:rsidRPr="00FE4B1F">
        <w:rPr>
          <w:b/>
          <w:bCs/>
          <w:sz w:val="32"/>
          <w:szCs w:val="28"/>
        </w:rPr>
        <w:t xml:space="preserve">: </w:t>
      </w:r>
      <w:r w:rsidRPr="00FE4B1F">
        <w:rPr>
          <w:b/>
          <w:bCs/>
          <w:sz w:val="32"/>
          <w:szCs w:val="28"/>
        </w:rPr>
        <w:t>Service Improvement Report</w:t>
      </w:r>
    </w:p>
    <w:p w:rsidR="00520C08" w:rsidRPr="00FE4B1F" w:rsidRDefault="00520C08" w:rsidP="00520C08">
      <w:pPr>
        <w:jc w:val="center"/>
        <w:rPr>
          <w:b/>
          <w:bCs/>
          <w:sz w:val="28"/>
          <w:szCs w:val="28"/>
          <w:lang w:val="en-GB"/>
        </w:rPr>
      </w:pPr>
      <w:r w:rsidRPr="00FE4B1F">
        <w:rPr>
          <w:b/>
          <w:bCs/>
          <w:sz w:val="28"/>
          <w:szCs w:val="28"/>
          <w:lang w:val="en-GB"/>
        </w:rPr>
        <w:t>Lecturer’s Name: Dr Fahad Khan</w:t>
      </w:r>
    </w:p>
    <w:p w:rsidR="00520C08" w:rsidRPr="00FE4B1F" w:rsidRDefault="00520C08" w:rsidP="00520C08">
      <w:pPr>
        <w:jc w:val="center"/>
        <w:rPr>
          <w:b/>
          <w:bCs/>
          <w:sz w:val="28"/>
          <w:szCs w:val="28"/>
          <w:lang w:val="en-GB"/>
        </w:rPr>
      </w:pPr>
      <w:r w:rsidRPr="00FE4B1F">
        <w:rPr>
          <w:b/>
          <w:bCs/>
          <w:sz w:val="28"/>
          <w:szCs w:val="28"/>
          <w:lang w:val="en-GB"/>
        </w:rPr>
        <w:t>Student Name: Ramani Krupali Hasmukhbhai</w:t>
      </w:r>
    </w:p>
    <w:p w:rsidR="00520C08" w:rsidRPr="00FE4B1F" w:rsidRDefault="00520C08" w:rsidP="00520C08">
      <w:pPr>
        <w:jc w:val="center"/>
        <w:rPr>
          <w:b/>
          <w:bCs/>
          <w:sz w:val="28"/>
          <w:szCs w:val="28"/>
          <w:lang w:val="en-GB"/>
        </w:rPr>
      </w:pPr>
      <w:r w:rsidRPr="00FE4B1F">
        <w:rPr>
          <w:b/>
          <w:bCs/>
          <w:sz w:val="28"/>
          <w:szCs w:val="28"/>
          <w:lang w:val="en-GB"/>
        </w:rPr>
        <w:t>Student Number: 2520812</w:t>
      </w:r>
    </w:p>
    <w:p w:rsidR="00533EDC" w:rsidRPr="00FE4B1F" w:rsidRDefault="00533EDC" w:rsidP="00533EDC">
      <w:pPr>
        <w:jc w:val="center"/>
        <w:rPr>
          <w:b/>
          <w:bCs/>
          <w:sz w:val="22"/>
          <w:szCs w:val="28"/>
          <w:lang w:val="en-US"/>
        </w:rPr>
      </w:pPr>
      <w:r w:rsidRPr="00FE4B1F">
        <w:rPr>
          <w:b/>
          <w:bCs/>
          <w:sz w:val="22"/>
          <w:szCs w:val="28"/>
        </w:rPr>
        <w:t>Southern Health NHS Foundation Trust — Learning Disability and Mental Health Deaths</w:t>
      </w:r>
    </w:p>
    <w:p w:rsidR="00A8103C" w:rsidRPr="00FE4B1F" w:rsidRDefault="00533EDC" w:rsidP="00533EDC">
      <w:pPr>
        <w:jc w:val="center"/>
        <w:rPr>
          <w:b/>
          <w:bCs/>
          <w:sz w:val="28"/>
          <w:szCs w:val="28"/>
          <w:lang w:val="en-US"/>
        </w:rPr>
      </w:pPr>
      <w:hyperlink r:id="rId9" w:history="1">
        <w:r w:rsidRPr="00FE4B1F">
          <w:rPr>
            <w:rStyle w:val="Hyperlink"/>
            <w:b/>
            <w:bCs/>
            <w:sz w:val="22"/>
            <w:szCs w:val="28"/>
          </w:rPr>
          <w:t>https://www.theguardian.com/society/2015/dec/09/southern-health-nhs-trust-failed-investigate-patient-deaths-inquiry</w:t>
        </w:r>
      </w:hyperlink>
      <w:r w:rsidRPr="00FE4B1F">
        <w:rPr>
          <w:b/>
          <w:bCs/>
          <w:sz w:val="28"/>
          <w:szCs w:val="28"/>
        </w:rPr>
        <w:t xml:space="preserve"> </w:t>
      </w:r>
    </w:p>
    <w:p w:rsidR="00D52C07" w:rsidRPr="00FE4B1F" w:rsidRDefault="00D52C07" w:rsidP="00A8103C">
      <w:pPr>
        <w:spacing w:line="259" w:lineRule="auto"/>
        <w:jc w:val="center"/>
        <w:rPr>
          <w:b/>
          <w:bCs/>
        </w:rPr>
      </w:pPr>
    </w:p>
    <w:p w:rsidR="00A8103C" w:rsidRPr="00FE4B1F" w:rsidRDefault="0085439E" w:rsidP="00533EDC">
      <w:pPr>
        <w:spacing w:line="259" w:lineRule="auto"/>
        <w:jc w:val="center"/>
        <w:rPr>
          <w:b/>
          <w:bCs/>
          <w:sz w:val="28"/>
          <w:szCs w:val="24"/>
        </w:rPr>
      </w:pPr>
      <w:r w:rsidRPr="00FE4B1F">
        <w:rPr>
          <w:b/>
          <w:bCs/>
          <w:sz w:val="28"/>
          <w:szCs w:val="24"/>
        </w:rPr>
        <w:t>[</w:t>
      </w:r>
      <w:r w:rsidR="00A8103C" w:rsidRPr="00FE4B1F">
        <w:rPr>
          <w:b/>
          <w:bCs/>
          <w:sz w:val="28"/>
          <w:szCs w:val="24"/>
        </w:rPr>
        <w:t>Word Count: 3</w:t>
      </w:r>
      <w:r w:rsidR="00395142" w:rsidRPr="00FE4B1F">
        <w:rPr>
          <w:b/>
          <w:bCs/>
          <w:sz w:val="28"/>
          <w:szCs w:val="24"/>
        </w:rPr>
        <w:t>297</w:t>
      </w:r>
      <w:r w:rsidRPr="00FE4B1F">
        <w:rPr>
          <w:b/>
          <w:bCs/>
          <w:sz w:val="28"/>
          <w:szCs w:val="24"/>
        </w:rPr>
        <w:t>]</w:t>
      </w:r>
    </w:p>
    <w:sdt>
      <w:sdtPr>
        <w:rPr>
          <w:i/>
          <w:iCs/>
        </w:rPr>
        <w:id w:val="651641766"/>
        <w:docPartObj>
          <w:docPartGallery w:val="Table of Contents"/>
          <w:docPartUnique/>
        </w:docPartObj>
      </w:sdtPr>
      <w:sdtEndPr>
        <w:rPr>
          <w:b/>
          <w:bCs/>
          <w:noProof/>
        </w:rPr>
      </w:sdtEndPr>
      <w:sdtContent>
        <w:p w:rsidR="008B74FF" w:rsidRPr="00FE4B1F" w:rsidRDefault="00C723C7" w:rsidP="00A8103C">
          <w:pPr>
            <w:jc w:val="center"/>
            <w:rPr>
              <w:sz w:val="28"/>
              <w:szCs w:val="24"/>
            </w:rPr>
          </w:pPr>
          <w:r w:rsidRPr="00FE4B1F">
            <w:rPr>
              <w:rFonts w:cs="Arial"/>
              <w:b/>
              <w:bCs/>
              <w:sz w:val="28"/>
              <w:szCs w:val="24"/>
            </w:rPr>
            <w:t>Table of Contents</w:t>
          </w:r>
        </w:p>
        <w:p w:rsidR="00D52C07" w:rsidRPr="00FE4B1F" w:rsidRDefault="0077094D">
          <w:pPr>
            <w:pStyle w:val="TOC1"/>
            <w:rPr>
              <w:rFonts w:asciiTheme="minorHAnsi" w:eastAsiaTheme="minorEastAsia" w:hAnsiTheme="minorHAnsi"/>
              <w:b w:val="0"/>
              <w:bCs w:val="0"/>
              <w:szCs w:val="24"/>
              <w:lang w:val="en-GB" w:eastAsia="en-GB"/>
            </w:rPr>
          </w:pPr>
          <w:r w:rsidRPr="00FE4B1F">
            <w:rPr>
              <w:i/>
              <w:iCs/>
              <w:noProof w:val="0"/>
              <w:sz w:val="32"/>
              <w:szCs w:val="32"/>
            </w:rPr>
            <w:lastRenderedPageBreak/>
            <w:fldChar w:fldCharType="begin"/>
          </w:r>
          <w:r w:rsidR="00C723C7" w:rsidRPr="00FE4B1F">
            <w:rPr>
              <w:i/>
              <w:iCs/>
              <w:sz w:val="32"/>
              <w:szCs w:val="32"/>
            </w:rPr>
            <w:instrText xml:space="preserve"> TOC \o "1-3" \h \z \u </w:instrText>
          </w:r>
          <w:r w:rsidRPr="00FE4B1F">
            <w:rPr>
              <w:i/>
              <w:iCs/>
              <w:noProof w:val="0"/>
              <w:sz w:val="32"/>
              <w:szCs w:val="32"/>
            </w:rPr>
            <w:fldChar w:fldCharType="separate"/>
          </w:r>
          <w:hyperlink w:anchor="_Toc235484983" w:history="1">
            <w:r w:rsidR="00D52C07" w:rsidRPr="00FE4B1F">
              <w:rPr>
                <w:rStyle w:val="Hyperlink"/>
              </w:rPr>
              <w:t>1. Introduction</w:t>
            </w:r>
            <w:r w:rsidR="00D52C07" w:rsidRPr="00FE4B1F">
              <w:rPr>
                <w:webHidden/>
              </w:rPr>
              <w:tab/>
            </w:r>
            <w:r w:rsidRPr="00FE4B1F">
              <w:rPr>
                <w:webHidden/>
              </w:rPr>
              <w:fldChar w:fldCharType="begin"/>
            </w:r>
            <w:r w:rsidR="00D52C07" w:rsidRPr="00FE4B1F">
              <w:rPr>
                <w:webHidden/>
              </w:rPr>
              <w:instrText xml:space="preserve"> PAGEREF _Toc235484983 \h </w:instrText>
            </w:r>
            <w:r w:rsidRPr="00FE4B1F">
              <w:rPr>
                <w:webHidden/>
              </w:rPr>
            </w:r>
            <w:r w:rsidRPr="00FE4B1F">
              <w:rPr>
                <w:webHidden/>
              </w:rPr>
              <w:fldChar w:fldCharType="separate"/>
            </w:r>
            <w:r w:rsidR="00D52C07" w:rsidRPr="00FE4B1F">
              <w:rPr>
                <w:webHidden/>
              </w:rPr>
              <w:t>3</w:t>
            </w:r>
            <w:r w:rsidRPr="00FE4B1F">
              <w:rPr>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84" w:history="1">
            <w:r w:rsidR="00D52C07" w:rsidRPr="00FE4B1F">
              <w:rPr>
                <w:rStyle w:val="Hyperlink"/>
                <w:noProof/>
              </w:rPr>
              <w:t>1.1. Background Context</w:t>
            </w:r>
            <w:r w:rsidR="00D52C07" w:rsidRPr="00FE4B1F">
              <w:rPr>
                <w:noProof/>
                <w:webHidden/>
              </w:rPr>
              <w:tab/>
            </w:r>
            <w:r w:rsidRPr="00FE4B1F">
              <w:rPr>
                <w:noProof/>
                <w:webHidden/>
              </w:rPr>
              <w:fldChar w:fldCharType="begin"/>
            </w:r>
            <w:r w:rsidR="00D52C07" w:rsidRPr="00FE4B1F">
              <w:rPr>
                <w:noProof/>
                <w:webHidden/>
              </w:rPr>
              <w:instrText xml:space="preserve"> PAGEREF _Toc235484984 \h </w:instrText>
            </w:r>
            <w:r w:rsidRPr="00FE4B1F">
              <w:rPr>
                <w:noProof/>
                <w:webHidden/>
              </w:rPr>
            </w:r>
            <w:r w:rsidRPr="00FE4B1F">
              <w:rPr>
                <w:noProof/>
                <w:webHidden/>
              </w:rPr>
              <w:fldChar w:fldCharType="separate"/>
            </w:r>
            <w:r w:rsidR="00D52C07" w:rsidRPr="00FE4B1F">
              <w:rPr>
                <w:noProof/>
                <w:webHidden/>
              </w:rPr>
              <w:t>3</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85" w:history="1">
            <w:r w:rsidR="00D52C07" w:rsidRPr="00FE4B1F">
              <w:rPr>
                <w:rStyle w:val="Hyperlink"/>
                <w:noProof/>
              </w:rPr>
              <w:t>1.2. Problem Identification</w:t>
            </w:r>
            <w:r w:rsidR="00D52C07" w:rsidRPr="00FE4B1F">
              <w:rPr>
                <w:noProof/>
                <w:webHidden/>
              </w:rPr>
              <w:tab/>
            </w:r>
            <w:r w:rsidRPr="00FE4B1F">
              <w:rPr>
                <w:noProof/>
                <w:webHidden/>
              </w:rPr>
              <w:fldChar w:fldCharType="begin"/>
            </w:r>
            <w:r w:rsidR="00D52C07" w:rsidRPr="00FE4B1F">
              <w:rPr>
                <w:noProof/>
                <w:webHidden/>
              </w:rPr>
              <w:instrText xml:space="preserve"> PAGEREF _Toc235484985 \h </w:instrText>
            </w:r>
            <w:r w:rsidRPr="00FE4B1F">
              <w:rPr>
                <w:noProof/>
                <w:webHidden/>
              </w:rPr>
            </w:r>
            <w:r w:rsidRPr="00FE4B1F">
              <w:rPr>
                <w:noProof/>
                <w:webHidden/>
              </w:rPr>
              <w:fldChar w:fldCharType="separate"/>
            </w:r>
            <w:r w:rsidR="00D52C07" w:rsidRPr="00FE4B1F">
              <w:rPr>
                <w:noProof/>
                <w:webHidden/>
              </w:rPr>
              <w:t>3</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86" w:history="1">
            <w:r w:rsidR="00D52C07" w:rsidRPr="00FE4B1F">
              <w:rPr>
                <w:rStyle w:val="Hyperlink"/>
                <w:noProof/>
              </w:rPr>
              <w:t>1.3. Evidential Support</w:t>
            </w:r>
            <w:r w:rsidR="00D52C07" w:rsidRPr="00FE4B1F">
              <w:rPr>
                <w:noProof/>
                <w:webHidden/>
              </w:rPr>
              <w:tab/>
            </w:r>
            <w:r w:rsidRPr="00FE4B1F">
              <w:rPr>
                <w:noProof/>
                <w:webHidden/>
              </w:rPr>
              <w:fldChar w:fldCharType="begin"/>
            </w:r>
            <w:r w:rsidR="00D52C07" w:rsidRPr="00FE4B1F">
              <w:rPr>
                <w:noProof/>
                <w:webHidden/>
              </w:rPr>
              <w:instrText xml:space="preserve"> PAGEREF _Toc235484986 \h </w:instrText>
            </w:r>
            <w:r w:rsidRPr="00FE4B1F">
              <w:rPr>
                <w:noProof/>
                <w:webHidden/>
              </w:rPr>
            </w:r>
            <w:r w:rsidRPr="00FE4B1F">
              <w:rPr>
                <w:noProof/>
                <w:webHidden/>
              </w:rPr>
              <w:fldChar w:fldCharType="separate"/>
            </w:r>
            <w:r w:rsidR="00D52C07" w:rsidRPr="00FE4B1F">
              <w:rPr>
                <w:noProof/>
                <w:webHidden/>
              </w:rPr>
              <w:t>3</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87" w:history="1">
            <w:r w:rsidR="00D52C07" w:rsidRPr="00FE4B1F">
              <w:rPr>
                <w:rStyle w:val="Hyperlink"/>
                <w:noProof/>
              </w:rPr>
              <w:t>1.4. Report Objectives</w:t>
            </w:r>
            <w:r w:rsidR="00D52C07" w:rsidRPr="00FE4B1F">
              <w:rPr>
                <w:noProof/>
                <w:webHidden/>
              </w:rPr>
              <w:tab/>
            </w:r>
            <w:r w:rsidRPr="00FE4B1F">
              <w:rPr>
                <w:noProof/>
                <w:webHidden/>
              </w:rPr>
              <w:fldChar w:fldCharType="begin"/>
            </w:r>
            <w:r w:rsidR="00D52C07" w:rsidRPr="00FE4B1F">
              <w:rPr>
                <w:noProof/>
                <w:webHidden/>
              </w:rPr>
              <w:instrText xml:space="preserve"> PAGEREF _Toc235484987 \h </w:instrText>
            </w:r>
            <w:r w:rsidRPr="00FE4B1F">
              <w:rPr>
                <w:noProof/>
                <w:webHidden/>
              </w:rPr>
            </w:r>
            <w:r w:rsidRPr="00FE4B1F">
              <w:rPr>
                <w:noProof/>
                <w:webHidden/>
              </w:rPr>
              <w:fldChar w:fldCharType="separate"/>
            </w:r>
            <w:r w:rsidR="00D52C07" w:rsidRPr="00FE4B1F">
              <w:rPr>
                <w:noProof/>
                <w:webHidden/>
              </w:rPr>
              <w:t>4</w:t>
            </w:r>
            <w:r w:rsidRPr="00FE4B1F">
              <w:rPr>
                <w:noProof/>
                <w:webHidden/>
              </w:rPr>
              <w:fldChar w:fldCharType="end"/>
            </w:r>
          </w:hyperlink>
        </w:p>
        <w:p w:rsidR="00D52C07" w:rsidRPr="00FE4B1F" w:rsidRDefault="0077094D">
          <w:pPr>
            <w:pStyle w:val="TOC1"/>
            <w:rPr>
              <w:rFonts w:asciiTheme="minorHAnsi" w:eastAsiaTheme="minorEastAsia" w:hAnsiTheme="minorHAnsi"/>
              <w:b w:val="0"/>
              <w:bCs w:val="0"/>
              <w:szCs w:val="24"/>
              <w:lang w:val="en-GB" w:eastAsia="en-GB"/>
            </w:rPr>
          </w:pPr>
          <w:hyperlink w:anchor="_Toc235484988" w:history="1">
            <w:r w:rsidR="00D52C07" w:rsidRPr="00FE4B1F">
              <w:rPr>
                <w:rStyle w:val="Hyperlink"/>
              </w:rPr>
              <w:t>2. Critical Evaluation of Theories</w:t>
            </w:r>
            <w:r w:rsidR="00D52C07" w:rsidRPr="00FE4B1F">
              <w:rPr>
                <w:webHidden/>
              </w:rPr>
              <w:tab/>
            </w:r>
            <w:r w:rsidRPr="00FE4B1F">
              <w:rPr>
                <w:webHidden/>
              </w:rPr>
              <w:fldChar w:fldCharType="begin"/>
            </w:r>
            <w:r w:rsidR="00D52C07" w:rsidRPr="00FE4B1F">
              <w:rPr>
                <w:webHidden/>
              </w:rPr>
              <w:instrText xml:space="preserve"> PAGEREF _Toc235484988 \h </w:instrText>
            </w:r>
            <w:r w:rsidRPr="00FE4B1F">
              <w:rPr>
                <w:webHidden/>
              </w:rPr>
            </w:r>
            <w:r w:rsidRPr="00FE4B1F">
              <w:rPr>
                <w:webHidden/>
              </w:rPr>
              <w:fldChar w:fldCharType="separate"/>
            </w:r>
            <w:r w:rsidR="00D52C07" w:rsidRPr="00FE4B1F">
              <w:rPr>
                <w:webHidden/>
              </w:rPr>
              <w:t>4</w:t>
            </w:r>
            <w:r w:rsidRPr="00FE4B1F">
              <w:rPr>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89" w:history="1">
            <w:r w:rsidR="00D52C07" w:rsidRPr="00FE4B1F">
              <w:rPr>
                <w:rStyle w:val="Hyperlink"/>
                <w:noProof/>
              </w:rPr>
              <w:t>2.1 Fishbone Diagram (Cause-and-Effect Analysis) &amp; 5 Whys</w:t>
            </w:r>
            <w:r w:rsidR="00D52C07" w:rsidRPr="00FE4B1F">
              <w:rPr>
                <w:noProof/>
                <w:webHidden/>
              </w:rPr>
              <w:tab/>
            </w:r>
            <w:r w:rsidRPr="00FE4B1F">
              <w:rPr>
                <w:noProof/>
                <w:webHidden/>
              </w:rPr>
              <w:fldChar w:fldCharType="begin"/>
            </w:r>
            <w:r w:rsidR="00D52C07" w:rsidRPr="00FE4B1F">
              <w:rPr>
                <w:noProof/>
                <w:webHidden/>
              </w:rPr>
              <w:instrText xml:space="preserve"> PAGEREF _Toc235484989 \h </w:instrText>
            </w:r>
            <w:r w:rsidRPr="00FE4B1F">
              <w:rPr>
                <w:noProof/>
                <w:webHidden/>
              </w:rPr>
            </w:r>
            <w:r w:rsidRPr="00FE4B1F">
              <w:rPr>
                <w:noProof/>
                <w:webHidden/>
              </w:rPr>
              <w:fldChar w:fldCharType="separate"/>
            </w:r>
            <w:r w:rsidR="00D52C07" w:rsidRPr="00FE4B1F">
              <w:rPr>
                <w:noProof/>
                <w:webHidden/>
              </w:rPr>
              <w:t>4</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0" w:history="1">
            <w:r w:rsidR="00D52C07" w:rsidRPr="00FE4B1F">
              <w:rPr>
                <w:rStyle w:val="Hyperlink"/>
                <w:noProof/>
              </w:rPr>
              <w:t>2.2 Donabedian Model [Structure-Process-Outcome]</w:t>
            </w:r>
            <w:r w:rsidR="00D52C07" w:rsidRPr="00FE4B1F">
              <w:rPr>
                <w:noProof/>
                <w:webHidden/>
              </w:rPr>
              <w:tab/>
            </w:r>
            <w:r w:rsidRPr="00FE4B1F">
              <w:rPr>
                <w:noProof/>
                <w:webHidden/>
              </w:rPr>
              <w:fldChar w:fldCharType="begin"/>
            </w:r>
            <w:r w:rsidR="00D52C07" w:rsidRPr="00FE4B1F">
              <w:rPr>
                <w:noProof/>
                <w:webHidden/>
              </w:rPr>
              <w:instrText xml:space="preserve"> PAGEREF _Toc235484990 \h </w:instrText>
            </w:r>
            <w:r w:rsidRPr="00FE4B1F">
              <w:rPr>
                <w:noProof/>
                <w:webHidden/>
              </w:rPr>
            </w:r>
            <w:r w:rsidRPr="00FE4B1F">
              <w:rPr>
                <w:noProof/>
                <w:webHidden/>
              </w:rPr>
              <w:fldChar w:fldCharType="separate"/>
            </w:r>
            <w:r w:rsidR="00D52C07" w:rsidRPr="00FE4B1F">
              <w:rPr>
                <w:noProof/>
                <w:webHidden/>
              </w:rPr>
              <w:t>7</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1" w:history="1">
            <w:r w:rsidR="00D52C07" w:rsidRPr="00FE4B1F">
              <w:rPr>
                <w:rStyle w:val="Hyperlink"/>
                <w:noProof/>
              </w:rPr>
              <w:t>2.3 SWOT Analysis</w:t>
            </w:r>
            <w:r w:rsidR="00D52C07" w:rsidRPr="00FE4B1F">
              <w:rPr>
                <w:noProof/>
                <w:webHidden/>
              </w:rPr>
              <w:tab/>
            </w:r>
            <w:r w:rsidRPr="00FE4B1F">
              <w:rPr>
                <w:noProof/>
                <w:webHidden/>
              </w:rPr>
              <w:fldChar w:fldCharType="begin"/>
            </w:r>
            <w:r w:rsidR="00D52C07" w:rsidRPr="00FE4B1F">
              <w:rPr>
                <w:noProof/>
                <w:webHidden/>
              </w:rPr>
              <w:instrText xml:space="preserve"> PAGEREF _Toc235484991 \h </w:instrText>
            </w:r>
            <w:r w:rsidRPr="00FE4B1F">
              <w:rPr>
                <w:noProof/>
                <w:webHidden/>
              </w:rPr>
            </w:r>
            <w:r w:rsidRPr="00FE4B1F">
              <w:rPr>
                <w:noProof/>
                <w:webHidden/>
              </w:rPr>
              <w:fldChar w:fldCharType="separate"/>
            </w:r>
            <w:r w:rsidR="00D52C07" w:rsidRPr="00FE4B1F">
              <w:rPr>
                <w:noProof/>
                <w:webHidden/>
              </w:rPr>
              <w:t>8</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2" w:history="1">
            <w:r w:rsidR="00D52C07" w:rsidRPr="00FE4B1F">
              <w:rPr>
                <w:rStyle w:val="Hyperlink"/>
                <w:noProof/>
              </w:rPr>
              <w:t>2.4 PDSA Cycle</w:t>
            </w:r>
            <w:r w:rsidR="00D52C07" w:rsidRPr="00FE4B1F">
              <w:rPr>
                <w:noProof/>
                <w:webHidden/>
              </w:rPr>
              <w:tab/>
            </w:r>
            <w:r w:rsidRPr="00FE4B1F">
              <w:rPr>
                <w:noProof/>
                <w:webHidden/>
              </w:rPr>
              <w:fldChar w:fldCharType="begin"/>
            </w:r>
            <w:r w:rsidR="00D52C07" w:rsidRPr="00FE4B1F">
              <w:rPr>
                <w:noProof/>
                <w:webHidden/>
              </w:rPr>
              <w:instrText xml:space="preserve"> PAGEREF _Toc235484992 \h </w:instrText>
            </w:r>
            <w:r w:rsidRPr="00FE4B1F">
              <w:rPr>
                <w:noProof/>
                <w:webHidden/>
              </w:rPr>
            </w:r>
            <w:r w:rsidRPr="00FE4B1F">
              <w:rPr>
                <w:noProof/>
                <w:webHidden/>
              </w:rPr>
              <w:fldChar w:fldCharType="separate"/>
            </w:r>
            <w:r w:rsidR="00D52C07" w:rsidRPr="00FE4B1F">
              <w:rPr>
                <w:noProof/>
                <w:webHidden/>
              </w:rPr>
              <w:t>10</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3" w:history="1">
            <w:r w:rsidR="00D52C07" w:rsidRPr="00FE4B1F">
              <w:rPr>
                <w:rStyle w:val="Hyperlink"/>
                <w:noProof/>
              </w:rPr>
              <w:t>2.5 Kotter’s 8-Step Change Model</w:t>
            </w:r>
            <w:r w:rsidR="00D52C07" w:rsidRPr="00FE4B1F">
              <w:rPr>
                <w:noProof/>
                <w:webHidden/>
              </w:rPr>
              <w:tab/>
            </w:r>
            <w:r w:rsidRPr="00FE4B1F">
              <w:rPr>
                <w:noProof/>
                <w:webHidden/>
              </w:rPr>
              <w:fldChar w:fldCharType="begin"/>
            </w:r>
            <w:r w:rsidR="00D52C07" w:rsidRPr="00FE4B1F">
              <w:rPr>
                <w:noProof/>
                <w:webHidden/>
              </w:rPr>
              <w:instrText xml:space="preserve"> PAGEREF _Toc235484993 \h </w:instrText>
            </w:r>
            <w:r w:rsidRPr="00FE4B1F">
              <w:rPr>
                <w:noProof/>
                <w:webHidden/>
              </w:rPr>
            </w:r>
            <w:r w:rsidRPr="00FE4B1F">
              <w:rPr>
                <w:noProof/>
                <w:webHidden/>
              </w:rPr>
              <w:fldChar w:fldCharType="separate"/>
            </w:r>
            <w:r w:rsidR="00D52C07" w:rsidRPr="00FE4B1F">
              <w:rPr>
                <w:noProof/>
                <w:webHidden/>
              </w:rPr>
              <w:t>13</w:t>
            </w:r>
            <w:r w:rsidRPr="00FE4B1F">
              <w:rPr>
                <w:noProof/>
                <w:webHidden/>
              </w:rPr>
              <w:fldChar w:fldCharType="end"/>
            </w:r>
          </w:hyperlink>
        </w:p>
        <w:p w:rsidR="00D52C07" w:rsidRPr="00FE4B1F" w:rsidRDefault="0077094D">
          <w:pPr>
            <w:pStyle w:val="TOC1"/>
            <w:rPr>
              <w:rFonts w:asciiTheme="minorHAnsi" w:eastAsiaTheme="minorEastAsia" w:hAnsiTheme="minorHAnsi"/>
              <w:b w:val="0"/>
              <w:bCs w:val="0"/>
              <w:szCs w:val="24"/>
              <w:lang w:val="en-GB" w:eastAsia="en-GB"/>
            </w:rPr>
          </w:pPr>
          <w:hyperlink w:anchor="_Toc235484994" w:history="1">
            <w:r w:rsidR="00D52C07" w:rsidRPr="00FE4B1F">
              <w:rPr>
                <w:rStyle w:val="Hyperlink"/>
              </w:rPr>
              <w:t>3. Recommendations</w:t>
            </w:r>
            <w:r w:rsidR="00D52C07" w:rsidRPr="00FE4B1F">
              <w:rPr>
                <w:webHidden/>
              </w:rPr>
              <w:tab/>
            </w:r>
            <w:r w:rsidRPr="00FE4B1F">
              <w:rPr>
                <w:webHidden/>
              </w:rPr>
              <w:fldChar w:fldCharType="begin"/>
            </w:r>
            <w:r w:rsidR="00D52C07" w:rsidRPr="00FE4B1F">
              <w:rPr>
                <w:webHidden/>
              </w:rPr>
              <w:instrText xml:space="preserve"> PAGEREF _Toc235484994 \h </w:instrText>
            </w:r>
            <w:r w:rsidRPr="00FE4B1F">
              <w:rPr>
                <w:webHidden/>
              </w:rPr>
            </w:r>
            <w:r w:rsidRPr="00FE4B1F">
              <w:rPr>
                <w:webHidden/>
              </w:rPr>
              <w:fldChar w:fldCharType="separate"/>
            </w:r>
            <w:r w:rsidR="00D52C07" w:rsidRPr="00FE4B1F">
              <w:rPr>
                <w:webHidden/>
              </w:rPr>
              <w:t>14</w:t>
            </w:r>
            <w:r w:rsidRPr="00FE4B1F">
              <w:rPr>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5" w:history="1">
            <w:r w:rsidR="00D52C07" w:rsidRPr="00FE4B1F">
              <w:rPr>
                <w:rStyle w:val="Hyperlink"/>
                <w:noProof/>
              </w:rPr>
              <w:t>3.1 Centralise and Professionalize Mortality Investigations</w:t>
            </w:r>
            <w:r w:rsidR="00D52C07" w:rsidRPr="00FE4B1F">
              <w:rPr>
                <w:noProof/>
                <w:webHidden/>
              </w:rPr>
              <w:tab/>
            </w:r>
            <w:r w:rsidRPr="00FE4B1F">
              <w:rPr>
                <w:noProof/>
                <w:webHidden/>
              </w:rPr>
              <w:fldChar w:fldCharType="begin"/>
            </w:r>
            <w:r w:rsidR="00D52C07" w:rsidRPr="00FE4B1F">
              <w:rPr>
                <w:noProof/>
                <w:webHidden/>
              </w:rPr>
              <w:instrText xml:space="preserve"> PAGEREF _Toc235484995 \h </w:instrText>
            </w:r>
            <w:r w:rsidRPr="00FE4B1F">
              <w:rPr>
                <w:noProof/>
                <w:webHidden/>
              </w:rPr>
            </w:r>
            <w:r w:rsidRPr="00FE4B1F">
              <w:rPr>
                <w:noProof/>
                <w:webHidden/>
              </w:rPr>
              <w:fldChar w:fldCharType="separate"/>
            </w:r>
            <w:r w:rsidR="00D52C07" w:rsidRPr="00FE4B1F">
              <w:rPr>
                <w:noProof/>
                <w:webHidden/>
              </w:rPr>
              <w:t>14</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6" w:history="1">
            <w:r w:rsidR="00D52C07" w:rsidRPr="00FE4B1F">
              <w:rPr>
                <w:rStyle w:val="Hyperlink"/>
                <w:noProof/>
              </w:rPr>
              <w:t>3.2 Implement a Mandatory Family Integration Framework</w:t>
            </w:r>
            <w:r w:rsidR="00D52C07" w:rsidRPr="00FE4B1F">
              <w:rPr>
                <w:noProof/>
                <w:webHidden/>
              </w:rPr>
              <w:tab/>
            </w:r>
            <w:r w:rsidRPr="00FE4B1F">
              <w:rPr>
                <w:noProof/>
                <w:webHidden/>
              </w:rPr>
              <w:fldChar w:fldCharType="begin"/>
            </w:r>
            <w:r w:rsidR="00D52C07" w:rsidRPr="00FE4B1F">
              <w:rPr>
                <w:noProof/>
                <w:webHidden/>
              </w:rPr>
              <w:instrText xml:space="preserve"> PAGEREF _Toc235484996 \h </w:instrText>
            </w:r>
            <w:r w:rsidRPr="00FE4B1F">
              <w:rPr>
                <w:noProof/>
                <w:webHidden/>
              </w:rPr>
            </w:r>
            <w:r w:rsidRPr="00FE4B1F">
              <w:rPr>
                <w:noProof/>
                <w:webHidden/>
              </w:rPr>
              <w:fldChar w:fldCharType="separate"/>
            </w:r>
            <w:r w:rsidR="00D52C07" w:rsidRPr="00FE4B1F">
              <w:rPr>
                <w:noProof/>
                <w:webHidden/>
              </w:rPr>
              <w:t>15</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7" w:history="1">
            <w:r w:rsidR="00D52C07" w:rsidRPr="00FE4B1F">
              <w:rPr>
                <w:rStyle w:val="Hyperlink"/>
                <w:noProof/>
              </w:rPr>
              <w:t>3.3 Automate Incident Triage for Vulnerable Demographics</w:t>
            </w:r>
            <w:r w:rsidR="00D52C07" w:rsidRPr="00FE4B1F">
              <w:rPr>
                <w:noProof/>
                <w:webHidden/>
              </w:rPr>
              <w:tab/>
            </w:r>
            <w:r w:rsidRPr="00FE4B1F">
              <w:rPr>
                <w:noProof/>
                <w:webHidden/>
              </w:rPr>
              <w:fldChar w:fldCharType="begin"/>
            </w:r>
            <w:r w:rsidR="00D52C07" w:rsidRPr="00FE4B1F">
              <w:rPr>
                <w:noProof/>
                <w:webHidden/>
              </w:rPr>
              <w:instrText xml:space="preserve"> PAGEREF _Toc235484997 \h </w:instrText>
            </w:r>
            <w:r w:rsidRPr="00FE4B1F">
              <w:rPr>
                <w:noProof/>
                <w:webHidden/>
              </w:rPr>
            </w:r>
            <w:r w:rsidRPr="00FE4B1F">
              <w:rPr>
                <w:noProof/>
                <w:webHidden/>
              </w:rPr>
              <w:fldChar w:fldCharType="separate"/>
            </w:r>
            <w:r w:rsidR="00D52C07" w:rsidRPr="00FE4B1F">
              <w:rPr>
                <w:noProof/>
                <w:webHidden/>
              </w:rPr>
              <w:t>15</w:t>
            </w:r>
            <w:r w:rsidRPr="00FE4B1F">
              <w:rPr>
                <w:noProof/>
                <w:webHidden/>
              </w:rPr>
              <w:fldChar w:fldCharType="end"/>
            </w:r>
          </w:hyperlink>
        </w:p>
        <w:p w:rsidR="00D52C07" w:rsidRPr="00FE4B1F" w:rsidRDefault="0077094D">
          <w:pPr>
            <w:pStyle w:val="TOC2"/>
            <w:rPr>
              <w:rFonts w:asciiTheme="minorHAnsi" w:eastAsiaTheme="minorEastAsia" w:hAnsiTheme="minorHAnsi"/>
              <w:noProof/>
              <w:szCs w:val="24"/>
              <w:lang w:val="en-GB" w:eastAsia="en-GB"/>
            </w:rPr>
          </w:pPr>
          <w:hyperlink w:anchor="_Toc235484998" w:history="1">
            <w:r w:rsidR="00D52C07" w:rsidRPr="00FE4B1F">
              <w:rPr>
                <w:rStyle w:val="Hyperlink"/>
                <w:noProof/>
              </w:rPr>
              <w:t>3.4 Benchmark Table - Before vs After</w:t>
            </w:r>
            <w:r w:rsidR="00D52C07" w:rsidRPr="00FE4B1F">
              <w:rPr>
                <w:noProof/>
                <w:webHidden/>
              </w:rPr>
              <w:tab/>
            </w:r>
            <w:r w:rsidRPr="00FE4B1F">
              <w:rPr>
                <w:noProof/>
                <w:webHidden/>
              </w:rPr>
              <w:fldChar w:fldCharType="begin"/>
            </w:r>
            <w:r w:rsidR="00D52C07" w:rsidRPr="00FE4B1F">
              <w:rPr>
                <w:noProof/>
                <w:webHidden/>
              </w:rPr>
              <w:instrText xml:space="preserve"> PAGEREF _Toc235484998 \h </w:instrText>
            </w:r>
            <w:r w:rsidRPr="00FE4B1F">
              <w:rPr>
                <w:noProof/>
                <w:webHidden/>
              </w:rPr>
            </w:r>
            <w:r w:rsidRPr="00FE4B1F">
              <w:rPr>
                <w:noProof/>
                <w:webHidden/>
              </w:rPr>
              <w:fldChar w:fldCharType="separate"/>
            </w:r>
            <w:r w:rsidR="00D52C07" w:rsidRPr="00FE4B1F">
              <w:rPr>
                <w:noProof/>
                <w:webHidden/>
              </w:rPr>
              <w:t>15</w:t>
            </w:r>
            <w:r w:rsidRPr="00FE4B1F">
              <w:rPr>
                <w:noProof/>
                <w:webHidden/>
              </w:rPr>
              <w:fldChar w:fldCharType="end"/>
            </w:r>
          </w:hyperlink>
        </w:p>
        <w:p w:rsidR="00D52C07" w:rsidRPr="00FE4B1F" w:rsidRDefault="0077094D">
          <w:pPr>
            <w:pStyle w:val="TOC1"/>
            <w:rPr>
              <w:rFonts w:asciiTheme="minorHAnsi" w:eastAsiaTheme="minorEastAsia" w:hAnsiTheme="minorHAnsi"/>
              <w:b w:val="0"/>
              <w:bCs w:val="0"/>
              <w:szCs w:val="24"/>
              <w:lang w:val="en-GB" w:eastAsia="en-GB"/>
            </w:rPr>
          </w:pPr>
          <w:hyperlink w:anchor="_Toc235484999" w:history="1">
            <w:r w:rsidR="00D52C07" w:rsidRPr="00FE4B1F">
              <w:rPr>
                <w:rStyle w:val="Hyperlink"/>
              </w:rPr>
              <w:t>4. Conclusion</w:t>
            </w:r>
            <w:r w:rsidR="00D52C07" w:rsidRPr="00FE4B1F">
              <w:rPr>
                <w:webHidden/>
              </w:rPr>
              <w:tab/>
            </w:r>
            <w:r w:rsidRPr="00FE4B1F">
              <w:rPr>
                <w:webHidden/>
              </w:rPr>
              <w:fldChar w:fldCharType="begin"/>
            </w:r>
            <w:r w:rsidR="00D52C07" w:rsidRPr="00FE4B1F">
              <w:rPr>
                <w:webHidden/>
              </w:rPr>
              <w:instrText xml:space="preserve"> PAGEREF _Toc235484999 \h </w:instrText>
            </w:r>
            <w:r w:rsidRPr="00FE4B1F">
              <w:rPr>
                <w:webHidden/>
              </w:rPr>
            </w:r>
            <w:r w:rsidRPr="00FE4B1F">
              <w:rPr>
                <w:webHidden/>
              </w:rPr>
              <w:fldChar w:fldCharType="separate"/>
            </w:r>
            <w:r w:rsidR="00D52C07" w:rsidRPr="00FE4B1F">
              <w:rPr>
                <w:webHidden/>
              </w:rPr>
              <w:t>16</w:t>
            </w:r>
            <w:r w:rsidRPr="00FE4B1F">
              <w:rPr>
                <w:webHidden/>
              </w:rPr>
              <w:fldChar w:fldCharType="end"/>
            </w:r>
          </w:hyperlink>
        </w:p>
        <w:p w:rsidR="00D52C07" w:rsidRPr="00FE4B1F" w:rsidRDefault="0077094D">
          <w:pPr>
            <w:pStyle w:val="TOC1"/>
            <w:rPr>
              <w:rFonts w:asciiTheme="minorHAnsi" w:eastAsiaTheme="minorEastAsia" w:hAnsiTheme="minorHAnsi"/>
              <w:b w:val="0"/>
              <w:bCs w:val="0"/>
              <w:szCs w:val="24"/>
              <w:lang w:val="en-GB" w:eastAsia="en-GB"/>
            </w:rPr>
          </w:pPr>
          <w:hyperlink w:anchor="_Toc235485000" w:history="1">
            <w:r w:rsidR="00D52C07" w:rsidRPr="00FE4B1F">
              <w:rPr>
                <w:rStyle w:val="Hyperlink"/>
              </w:rPr>
              <w:t>Reference List</w:t>
            </w:r>
            <w:r w:rsidR="00D52C07" w:rsidRPr="00FE4B1F">
              <w:rPr>
                <w:webHidden/>
              </w:rPr>
              <w:tab/>
            </w:r>
            <w:r w:rsidRPr="00FE4B1F">
              <w:rPr>
                <w:webHidden/>
              </w:rPr>
              <w:fldChar w:fldCharType="begin"/>
            </w:r>
            <w:r w:rsidR="00D52C07" w:rsidRPr="00FE4B1F">
              <w:rPr>
                <w:webHidden/>
              </w:rPr>
              <w:instrText xml:space="preserve"> PAGEREF _Toc235485000 \h </w:instrText>
            </w:r>
            <w:r w:rsidRPr="00FE4B1F">
              <w:rPr>
                <w:webHidden/>
              </w:rPr>
            </w:r>
            <w:r w:rsidRPr="00FE4B1F">
              <w:rPr>
                <w:webHidden/>
              </w:rPr>
              <w:fldChar w:fldCharType="separate"/>
            </w:r>
            <w:r w:rsidR="00D52C07" w:rsidRPr="00FE4B1F">
              <w:rPr>
                <w:webHidden/>
              </w:rPr>
              <w:t>18</w:t>
            </w:r>
            <w:r w:rsidRPr="00FE4B1F">
              <w:rPr>
                <w:webHidden/>
              </w:rPr>
              <w:fldChar w:fldCharType="end"/>
            </w:r>
          </w:hyperlink>
        </w:p>
        <w:p w:rsidR="008B74FF" w:rsidRPr="00FE4B1F" w:rsidRDefault="0077094D" w:rsidP="008B74FF">
          <w:r w:rsidRPr="00FE4B1F">
            <w:rPr>
              <w:b/>
              <w:bCs/>
              <w:i/>
              <w:iCs/>
              <w:noProof/>
              <w:sz w:val="32"/>
              <w:szCs w:val="32"/>
            </w:rPr>
            <w:fldChar w:fldCharType="end"/>
          </w:r>
        </w:p>
      </w:sdtContent>
    </w:sdt>
    <w:p w:rsidR="00D74549" w:rsidRPr="00FE4B1F" w:rsidRDefault="00C723C7">
      <w:pPr>
        <w:spacing w:line="259" w:lineRule="auto"/>
        <w:jc w:val="left"/>
        <w:rPr>
          <w:rFonts w:eastAsiaTheme="majorEastAsia" w:cstheme="majorBidi"/>
          <w:b/>
          <w:sz w:val="28"/>
          <w:szCs w:val="40"/>
        </w:rPr>
      </w:pPr>
      <w:r w:rsidRPr="00FE4B1F">
        <w:br w:type="page"/>
      </w:r>
    </w:p>
    <w:p w:rsidR="000740BD" w:rsidRPr="00FE4B1F" w:rsidRDefault="00C723C7" w:rsidP="003460CA">
      <w:pPr>
        <w:pStyle w:val="Heading1"/>
      </w:pPr>
      <w:bookmarkStart w:id="0" w:name="_Toc235484983"/>
      <w:r w:rsidRPr="00FE4B1F">
        <w:lastRenderedPageBreak/>
        <w:t>1. Introduction</w:t>
      </w:r>
      <w:bookmarkEnd w:id="0"/>
    </w:p>
    <w:p w:rsidR="003460CA" w:rsidRPr="00FE4B1F" w:rsidRDefault="00C723C7" w:rsidP="003460CA">
      <w:pPr>
        <w:pStyle w:val="Heading2"/>
      </w:pPr>
      <w:bookmarkStart w:id="1" w:name="_Toc235484984"/>
      <w:r w:rsidRPr="00FE4B1F">
        <w:t xml:space="preserve">1.1. </w:t>
      </w:r>
      <w:r w:rsidRPr="00FE4B1F">
        <w:t>Background Context</w:t>
      </w:r>
      <w:bookmarkEnd w:id="1"/>
    </w:p>
    <w:p w:rsidR="003460CA" w:rsidRPr="00FE4B1F" w:rsidRDefault="00C723C7" w:rsidP="003460CA">
      <w:r w:rsidRPr="00FE4B1F">
        <w:t>This report is based on an investigation into a large public sector provider</w:t>
      </w:r>
      <w:r w:rsidR="00A30EC7" w:rsidRPr="00FE4B1F">
        <w:t xml:space="preserve">, </w:t>
      </w:r>
      <w:r w:rsidRPr="00FE4B1F">
        <w:t>Southern Health NHS Foundation Trust</w:t>
      </w:r>
      <w:r w:rsidR="00A30EC7" w:rsidRPr="00FE4B1F">
        <w:t xml:space="preserve">; </w:t>
      </w:r>
      <w:r w:rsidRPr="00FE4B1F">
        <w:t>a large organisation in the</w:t>
      </w:r>
      <w:r w:rsidRPr="00FE4B1F">
        <w:t xml:space="preserve"> public sector that delivers community, specialist mental health and learning disability services in England. The Trust has faced significant attention due to its inconsistent and flawed practices highlighted by external audits, including the deaths of pat</w:t>
      </w:r>
      <w:r w:rsidRPr="00FE4B1F">
        <w:t>ients being ignored or under investigated with no opportunity for learning to take place (Baker et al., 2023).</w:t>
      </w:r>
    </w:p>
    <w:p w:rsidR="003460CA" w:rsidRPr="00FE4B1F" w:rsidRDefault="00C723C7" w:rsidP="003460CA">
      <w:pPr>
        <w:pStyle w:val="Heading2"/>
      </w:pPr>
      <w:bookmarkStart w:id="2" w:name="_Toc235484985"/>
      <w:r w:rsidRPr="00FE4B1F">
        <w:t xml:space="preserve">1.2. </w:t>
      </w:r>
      <w:r w:rsidRPr="00FE4B1F">
        <w:t>Problem Identification</w:t>
      </w:r>
      <w:bookmarkEnd w:id="2"/>
    </w:p>
    <w:p w:rsidR="003460CA" w:rsidRPr="00FE4B1F" w:rsidRDefault="00C723C7" w:rsidP="003460CA">
      <w:r w:rsidRPr="00FE4B1F">
        <w:t>The central issue around issues of quality in Southern Health was a devastating failure in the areas of clinical gove</w:t>
      </w:r>
      <w:r w:rsidRPr="00FE4B1F">
        <w:t>rnance, incident reporting, and executive leadership in relation to capacity around 'unexpected mortality'. NHS governance studies have revealed that there has often been a focus on the need for consistency of NHS processes and staffing for successful inci</w:t>
      </w:r>
      <w:r w:rsidRPr="00FE4B1F">
        <w:t>dent reporting and serious incident investigations (Baker et al., 2023). The critical patient safety incidents that happened as a result of unexpected deaths were not being appropriately identified as such and therefore not fully investigated as such withi</w:t>
      </w:r>
      <w:r w:rsidRPr="00FE4B1F">
        <w:t xml:space="preserve">n Southern Health. </w:t>
      </w:r>
    </w:p>
    <w:p w:rsidR="003460CA" w:rsidRPr="00FE4B1F" w:rsidRDefault="00C723C7" w:rsidP="001619B9">
      <w:pPr>
        <w:pStyle w:val="Heading2"/>
      </w:pPr>
      <w:bookmarkStart w:id="3" w:name="_Toc235484986"/>
      <w:r w:rsidRPr="00FE4B1F">
        <w:t xml:space="preserve">1.3. </w:t>
      </w:r>
      <w:r w:rsidRPr="00FE4B1F">
        <w:t>Evidential Support</w:t>
      </w:r>
      <w:bookmarkEnd w:id="3"/>
    </w:p>
    <w:p w:rsidR="003460CA" w:rsidRPr="00FE4B1F" w:rsidRDefault="00C723C7" w:rsidP="003460CA">
      <w:r w:rsidRPr="00FE4B1F">
        <w:t>This is a serious concern as the Trust investigated less than 1% of patients with learning disabilities who died unexpectedly as a serious incident (Baker et al., 2023). This was subsequently followed by the nati</w:t>
      </w:r>
      <w:r w:rsidRPr="00FE4B1F">
        <w:t>onal policy of ‘Learning from Deaths' which sought to make compulsory the standard of mortality investigations in all NHS Trusts to correct for these geographically isolated shortcomings (Lalani et al., 2022). Lately, though, studies of statutory reporting</w:t>
      </w:r>
      <w:r w:rsidRPr="00FE4B1F">
        <w:t xml:space="preserve"> in the NHS reveal that adherence to patient safety regulatory systems continues to be inconsistent, with poor organisational learning and transparency in governance persisting as a national public health issue (Brummell et al., 2023). In addition, there i</w:t>
      </w:r>
      <w:r w:rsidRPr="00FE4B1F">
        <w:t>s a need for good policies that enable patient safety incidents to be transparently investigated, upskill staff and foster a true patient safety culture (Hibbert et al., 2023).</w:t>
      </w:r>
    </w:p>
    <w:p w:rsidR="001619B9" w:rsidRPr="00FE4B1F" w:rsidRDefault="00C723C7" w:rsidP="001619B9">
      <w:pPr>
        <w:pStyle w:val="Heading2"/>
      </w:pPr>
      <w:bookmarkStart w:id="4" w:name="_Toc235484987"/>
      <w:r w:rsidRPr="00FE4B1F">
        <w:lastRenderedPageBreak/>
        <w:t xml:space="preserve">1.4. </w:t>
      </w:r>
      <w:r w:rsidR="003460CA" w:rsidRPr="00FE4B1F">
        <w:t>Report Objectives</w:t>
      </w:r>
      <w:bookmarkEnd w:id="4"/>
    </w:p>
    <w:p w:rsidR="000740BD" w:rsidRPr="00FE4B1F" w:rsidRDefault="00C723C7" w:rsidP="003460CA">
      <w:r w:rsidRPr="00FE4B1F">
        <w:t>The aim of this report is to critically analyse the root</w:t>
      </w:r>
      <w:r w:rsidRPr="00FE4B1F">
        <w:t xml:space="preserve"> causes of the governance and reporting failures at Southern Health. This report will use theoretical frameworks such as Fishbone Diagram and the Donabedian Model to disaggregate systemic issues. A SWOT analysis will feed into strategy for action and actio</w:t>
      </w:r>
      <w:r w:rsidRPr="00FE4B1F">
        <w:t>nable recommendations will include an implementation strategy based on the Plan-Do-Study-Act (PDSA) cycle for sustainable service improvement.</w:t>
      </w:r>
    </w:p>
    <w:p w:rsidR="000740BD" w:rsidRPr="00FE4B1F" w:rsidRDefault="00C723C7" w:rsidP="00800CC8">
      <w:pPr>
        <w:pStyle w:val="Heading1"/>
      </w:pPr>
      <w:bookmarkStart w:id="5" w:name="_Toc235484988"/>
      <w:r w:rsidRPr="00FE4B1F">
        <w:t xml:space="preserve">2. </w:t>
      </w:r>
      <w:r w:rsidR="002A49E1" w:rsidRPr="00FE4B1F">
        <w:t>Critical Evaluation of Theories</w:t>
      </w:r>
      <w:bookmarkEnd w:id="5"/>
    </w:p>
    <w:p w:rsidR="005E5636" w:rsidRPr="00FE4B1F" w:rsidRDefault="00C723C7" w:rsidP="005E5636">
      <w:pPr>
        <w:pStyle w:val="Heading2"/>
      </w:pPr>
      <w:bookmarkStart w:id="6" w:name="_Toc235484989"/>
      <w:r w:rsidRPr="00FE4B1F">
        <w:t>2.</w:t>
      </w:r>
      <w:r w:rsidR="00BD5958" w:rsidRPr="00FE4B1F">
        <w:t>1</w:t>
      </w:r>
      <w:r w:rsidR="0038153A" w:rsidRPr="00FE4B1F">
        <w:t>Fishbone Diagram (Cause-and-Effect Analysis) &amp; 5 Whys</w:t>
      </w:r>
      <w:bookmarkEnd w:id="6"/>
    </w:p>
    <w:p w:rsidR="00800CC8" w:rsidRPr="00FE4B1F" w:rsidRDefault="00C723C7" w:rsidP="00800CC8">
      <w:r w:rsidRPr="00FE4B1F">
        <w:t xml:space="preserve">The Root Cause Analysis (RCA) is a core method in quality management in healthcare to look beyond the human error and at a systemic vulnerability (Wiegmann et al., 2022). </w:t>
      </w:r>
    </w:p>
    <w:p w:rsidR="00800CC8" w:rsidRPr="00FE4B1F" w:rsidRDefault="00C723C7" w:rsidP="00800CC8">
      <w:r w:rsidRPr="00FE4B1F">
        <w:rPr>
          <w:b/>
          <w:bCs/>
        </w:rPr>
        <w:t>Fishbone Diagram (Ishikawa) Analysis</w:t>
      </w:r>
    </w:p>
    <w:p w:rsidR="00A21F48" w:rsidRPr="00FE4B1F" w:rsidRDefault="00C723C7" w:rsidP="00800CC8">
      <w:r w:rsidRPr="00FE4B1F">
        <w:rPr>
          <w:noProof/>
          <w:lang w:val="en-US"/>
        </w:rPr>
        <w:drawing>
          <wp:inline distT="0" distB="0" distL="0" distR="0">
            <wp:extent cx="5784753" cy="3174267"/>
            <wp:effectExtent l="0" t="0" r="6985" b="7620"/>
            <wp:docPr id="5603623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6235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809480" cy="3187835"/>
                    </a:xfrm>
                    <a:prstGeom prst="rect">
                      <a:avLst/>
                    </a:prstGeom>
                    <a:noFill/>
                  </pic:spPr>
                </pic:pic>
              </a:graphicData>
            </a:graphic>
          </wp:inline>
        </w:drawing>
      </w:r>
    </w:p>
    <w:p w:rsidR="00A21F48" w:rsidRPr="00FE4B1F" w:rsidRDefault="00C723C7" w:rsidP="00A21F48">
      <w:pPr>
        <w:pStyle w:val="Caption"/>
        <w:jc w:val="center"/>
      </w:pPr>
      <w:r w:rsidRPr="00FE4B1F">
        <w:t xml:space="preserve">Figure </w:t>
      </w:r>
      <w:fldSimple w:instr=" SEQ Figure \* ARABIC ">
        <w:r w:rsidR="00C975BD" w:rsidRPr="00FE4B1F">
          <w:rPr>
            <w:noProof/>
          </w:rPr>
          <w:t>1</w:t>
        </w:r>
      </w:fldSimple>
      <w:r w:rsidRPr="00FE4B1F">
        <w:t>: Fishbone D</w:t>
      </w:r>
      <w:r w:rsidRPr="00FE4B1F">
        <w:t>iagram</w:t>
      </w:r>
    </w:p>
    <w:p w:rsidR="00A21F48" w:rsidRPr="00FE4B1F" w:rsidRDefault="00C723C7" w:rsidP="00A21F48">
      <w:pPr>
        <w:jc w:val="center"/>
      </w:pPr>
      <w:r w:rsidRPr="00FE4B1F">
        <w:t>(Source: Self-developed)</w:t>
      </w:r>
    </w:p>
    <w:p w:rsidR="00A21F48" w:rsidRPr="00FE4B1F" w:rsidRDefault="00C723C7" w:rsidP="00800CC8">
      <w:r w:rsidRPr="00FE4B1F">
        <w:lastRenderedPageBreak/>
        <w:t>The Fishbone Diagram lists the many contributing causes that contributed to failure of quality assurance at Southern Health.</w:t>
      </w:r>
      <w:r w:rsidR="009475E1" w:rsidRPr="00FE4B1F">
        <w:t>It i</w:t>
      </w:r>
      <w:r w:rsidR="009475E1" w:rsidRPr="00FE4B1F">
        <w:rPr>
          <w:i/>
          <w:iCs/>
        </w:rPr>
        <w:t>s</w:t>
      </w:r>
      <w:r w:rsidR="009475E1" w:rsidRPr="00FE4B1F">
        <w:t xml:space="preserve"> used to map and break down into parts the various contributing factors, relating to leadership, process, people and culture that lead to the failure of the quality assurance system at the Trust.</w:t>
      </w:r>
    </w:p>
    <w:p w:rsidR="00E15FEF" w:rsidRPr="00FE4B1F" w:rsidRDefault="00C723C7" w:rsidP="00E15FEF">
      <w:pPr>
        <w:pStyle w:val="ListParagraph"/>
        <w:numPr>
          <w:ilvl w:val="0"/>
          <w:numId w:val="7"/>
        </w:numPr>
      </w:pPr>
      <w:r w:rsidRPr="00FE4B1F">
        <w:rPr>
          <w:b/>
          <w:bCs/>
        </w:rPr>
        <w:t>Management and Leadership</w:t>
      </w:r>
      <w:r w:rsidRPr="00FE4B1F">
        <w:t>: The governance framework was largely disconnected from frontline realities. The extent of the problem was minimised by only show</w:t>
      </w:r>
      <w:r w:rsidRPr="00FE4B1F">
        <w:t xml:space="preserve">ing the data about deaths that were already “SIRIs” i.e. already investigated rather than large numbers of un-investigated deaths. </w:t>
      </w:r>
    </w:p>
    <w:p w:rsidR="00E15FEF" w:rsidRPr="00FE4B1F" w:rsidRDefault="00C723C7" w:rsidP="00E15FEF">
      <w:pPr>
        <w:pStyle w:val="ListParagraph"/>
        <w:numPr>
          <w:ilvl w:val="0"/>
          <w:numId w:val="7"/>
        </w:numPr>
      </w:pPr>
      <w:r w:rsidRPr="00FE4B1F">
        <w:rPr>
          <w:b/>
          <w:bCs/>
        </w:rPr>
        <w:t>Process</w:t>
      </w:r>
      <w:r w:rsidRPr="00FE4B1F">
        <w:t>: Incident reporting was fragmented and highly delayed. A SIRI report would on average wait for 10 months to get to e</w:t>
      </w:r>
      <w:r w:rsidRPr="00FE4B1F">
        <w:t>xternal Clinical Commissioning Group (CCG) closure panels and thereby be entirely out of date with regard to any learning that could have been acted upon. In addition, there was no well-defined protocol for multi-agency review of patients who passed away o</w:t>
      </w:r>
      <w:r w:rsidRPr="00FE4B1F">
        <w:t xml:space="preserve">utside of an acute hospital. </w:t>
      </w:r>
    </w:p>
    <w:p w:rsidR="00E15FEF" w:rsidRPr="00FE4B1F" w:rsidRDefault="00C723C7" w:rsidP="00E15FEF">
      <w:pPr>
        <w:pStyle w:val="ListParagraph"/>
        <w:numPr>
          <w:ilvl w:val="0"/>
          <w:numId w:val="7"/>
        </w:numPr>
      </w:pPr>
      <w:r w:rsidRPr="00FE4B1F">
        <w:rPr>
          <w:b/>
          <w:bCs/>
        </w:rPr>
        <w:t>People (Staff and Families)</w:t>
      </w:r>
      <w:r w:rsidRPr="00FE4B1F">
        <w:t xml:space="preserve">: </w:t>
      </w:r>
      <w:r w:rsidR="000B1CD5" w:rsidRPr="00FE4B1F">
        <w:t>P</w:t>
      </w:r>
      <w:r w:rsidRPr="00FE4B1F">
        <w:t>oor training of clinical staff and investigators leading to poor and careless quality reports, which included grammatical and factual errors. Most crucially, there was a total failure to have engaged stakeholders: 64% of investigations failed to involve th</w:t>
      </w:r>
      <w:r w:rsidRPr="00FE4B1F">
        <w:t xml:space="preserve">e families of the deceased patients at all, resulting in loss of public confidence and important contextual information. </w:t>
      </w:r>
    </w:p>
    <w:p w:rsidR="00800CC8" w:rsidRPr="00FE4B1F" w:rsidRDefault="00C723C7" w:rsidP="00E15FEF">
      <w:pPr>
        <w:pStyle w:val="ListParagraph"/>
        <w:numPr>
          <w:ilvl w:val="0"/>
          <w:numId w:val="7"/>
        </w:numPr>
      </w:pPr>
      <w:r w:rsidRPr="00FE4B1F">
        <w:rPr>
          <w:b/>
          <w:bCs/>
        </w:rPr>
        <w:t>Environment and Culture</w:t>
      </w:r>
      <w:r w:rsidRPr="00FE4B1F">
        <w:t>: Normalised absence of mortality review pervaded the thinking of the organisation in matters of Environment an</w:t>
      </w:r>
      <w:r w:rsidRPr="00FE4B1F">
        <w:t>d Culture. There was an inward-looking culture within the Trust, which did not facilitate transparency, resulting in failure to recognise recurrent clinical themes, such as the need for increased care for learning disabled patients with respect to dysphagi</w:t>
      </w:r>
      <w:r w:rsidRPr="00FE4B1F">
        <w:t>a management or delayed interventions for poor physical health (Barrell et al., 2024; Hibbert et al., 2023).</w:t>
      </w:r>
    </w:p>
    <w:p w:rsidR="002757A2" w:rsidRPr="00FE4B1F" w:rsidRDefault="002757A2" w:rsidP="002757A2">
      <w:r w:rsidRPr="00FE4B1F">
        <w:rPr>
          <w:b/>
          <w:bCs/>
        </w:rPr>
        <w:t>The 5 Whys Analysis</w:t>
      </w:r>
    </w:p>
    <w:p w:rsidR="002757A2" w:rsidRPr="00FE4B1F" w:rsidRDefault="002757A2" w:rsidP="002757A2">
      <w:r w:rsidRPr="00FE4B1F">
        <w:t xml:space="preserve">In this section, this analysis is used to identify the series of failures that circulates from the top surface-level issue, lack of response to the mortality reports, to the </w:t>
      </w:r>
      <w:r w:rsidRPr="00FE4B1F">
        <w:lastRenderedPageBreak/>
        <w:t>bottom level root cause, poor executive leadership and the Trust culture</w:t>
      </w:r>
      <w:r w:rsidR="00CA49B5" w:rsidRPr="00FE4B1F">
        <w:t xml:space="preserve"> (Tsamasiotis et al., 2024)</w:t>
      </w:r>
      <w:r w:rsidRPr="00FE4B1F">
        <w:t xml:space="preserve">. </w:t>
      </w:r>
    </w:p>
    <w:p w:rsidR="002757A2" w:rsidRPr="00FE4B1F" w:rsidRDefault="002757A2" w:rsidP="002757A2">
      <w:pPr>
        <w:pStyle w:val="ListParagraph"/>
        <w:numPr>
          <w:ilvl w:val="0"/>
          <w:numId w:val="7"/>
        </w:numPr>
      </w:pPr>
      <w:r w:rsidRPr="00FE4B1F">
        <w:rPr>
          <w:b/>
          <w:bCs/>
        </w:rPr>
        <w:t>Problem Statement</w:t>
      </w:r>
      <w:r w:rsidRPr="00FE4B1F">
        <w:t>: Investigations were routinely ignored and/or poorly carried out concerning the unexpected death of potentially vulnerable patients (Learning Disability (LD) and Older People Mental Health (OPMH) patients).</w:t>
      </w:r>
    </w:p>
    <w:tbl>
      <w:tblPr>
        <w:tblStyle w:val="PlainTable1"/>
        <w:tblW w:w="0" w:type="auto"/>
        <w:tblLook w:val="04A0"/>
      </w:tblPr>
      <w:tblGrid>
        <w:gridCol w:w="1491"/>
        <w:gridCol w:w="7751"/>
      </w:tblGrid>
      <w:tr w:rsidR="002757A2" w:rsidRPr="00FE4B1F" w:rsidTr="00D412DB">
        <w:trPr>
          <w:cnfStyle w:val="100000000000"/>
        </w:trPr>
        <w:tc>
          <w:tcPr>
            <w:cnfStyle w:val="001000000000"/>
            <w:tcW w:w="0" w:type="auto"/>
            <w:hideMark/>
          </w:tcPr>
          <w:p w:rsidR="002757A2" w:rsidRPr="00FE4B1F" w:rsidRDefault="002757A2" w:rsidP="00D412DB">
            <w:pPr>
              <w:spacing w:after="160"/>
            </w:pPr>
            <w:r w:rsidRPr="00FE4B1F">
              <w:t>Analysis Level</w:t>
            </w:r>
          </w:p>
        </w:tc>
        <w:tc>
          <w:tcPr>
            <w:tcW w:w="0" w:type="auto"/>
            <w:hideMark/>
          </w:tcPr>
          <w:p w:rsidR="002757A2" w:rsidRPr="00FE4B1F" w:rsidRDefault="002757A2" w:rsidP="00D412DB">
            <w:pPr>
              <w:spacing w:after="160"/>
              <w:cnfStyle w:val="100000000000"/>
            </w:pPr>
            <w:r w:rsidRPr="00FE4B1F">
              <w:t>Description</w:t>
            </w:r>
          </w:p>
        </w:tc>
      </w:tr>
      <w:tr w:rsidR="002757A2" w:rsidRPr="00FE4B1F" w:rsidTr="00D412DB">
        <w:trPr>
          <w:cnfStyle w:val="000000100000"/>
        </w:trPr>
        <w:tc>
          <w:tcPr>
            <w:cnfStyle w:val="001000000000"/>
            <w:tcW w:w="0" w:type="auto"/>
            <w:hideMark/>
          </w:tcPr>
          <w:p w:rsidR="002757A2" w:rsidRPr="00FE4B1F" w:rsidRDefault="002757A2" w:rsidP="00D412DB">
            <w:pPr>
              <w:spacing w:after="160"/>
            </w:pPr>
            <w:r w:rsidRPr="00FE4B1F">
              <w:t>Why 1?</w:t>
            </w:r>
          </w:p>
        </w:tc>
        <w:tc>
          <w:tcPr>
            <w:tcW w:w="0" w:type="auto"/>
            <w:hideMark/>
          </w:tcPr>
          <w:p w:rsidR="002757A2" w:rsidRPr="00FE4B1F" w:rsidRDefault="002757A2" w:rsidP="00D412DB">
            <w:pPr>
              <w:spacing w:after="160"/>
              <w:cnfStyle w:val="000000100000"/>
            </w:pPr>
            <w:r w:rsidRPr="00FE4B1F">
              <w:t xml:space="preserve">There was considerable "leaking" from the reporting box; for </w:t>
            </w:r>
            <w:r w:rsidR="00CA49B5" w:rsidRPr="00FE4B1F">
              <w:t>example,</w:t>
            </w:r>
            <w:r w:rsidRPr="00FE4B1F">
              <w:t xml:space="preserve"> only two of the 157 reported LD deaths were identified in the internal Ulysses system as Serious Incidents Requiring Investigation (SIRIs). </w:t>
            </w:r>
          </w:p>
        </w:tc>
      </w:tr>
      <w:tr w:rsidR="002757A2" w:rsidRPr="00FE4B1F" w:rsidTr="00D412DB">
        <w:tc>
          <w:tcPr>
            <w:cnfStyle w:val="001000000000"/>
            <w:tcW w:w="0" w:type="auto"/>
            <w:hideMark/>
          </w:tcPr>
          <w:p w:rsidR="002757A2" w:rsidRPr="00FE4B1F" w:rsidRDefault="002757A2" w:rsidP="00D412DB">
            <w:pPr>
              <w:spacing w:after="160"/>
            </w:pPr>
            <w:r w:rsidRPr="00FE4B1F">
              <w:t>Why 2?</w:t>
            </w:r>
          </w:p>
        </w:tc>
        <w:tc>
          <w:tcPr>
            <w:tcW w:w="0" w:type="auto"/>
            <w:hideMark/>
          </w:tcPr>
          <w:p w:rsidR="002757A2" w:rsidRPr="00FE4B1F" w:rsidRDefault="002757A2" w:rsidP="00D412DB">
            <w:pPr>
              <w:spacing w:after="160"/>
              <w:cnfStyle w:val="000000000000"/>
            </w:pPr>
            <w:r w:rsidRPr="00FE4B1F">
              <w:t xml:space="preserve">There was a lack of enforcement of due process at divisional and local area panels, with many incidents being misunderstood or downgraded in order to prevent such cases moving up to formal SIRI status. </w:t>
            </w:r>
          </w:p>
        </w:tc>
      </w:tr>
      <w:tr w:rsidR="002757A2" w:rsidRPr="00FE4B1F" w:rsidTr="00D412DB">
        <w:trPr>
          <w:cnfStyle w:val="000000100000"/>
        </w:trPr>
        <w:tc>
          <w:tcPr>
            <w:cnfStyle w:val="001000000000"/>
            <w:tcW w:w="0" w:type="auto"/>
            <w:hideMark/>
          </w:tcPr>
          <w:p w:rsidR="002757A2" w:rsidRPr="00FE4B1F" w:rsidRDefault="002757A2" w:rsidP="00D412DB">
            <w:pPr>
              <w:spacing w:after="160"/>
            </w:pPr>
            <w:r w:rsidRPr="00FE4B1F">
              <w:t>Why 3?</w:t>
            </w:r>
          </w:p>
        </w:tc>
        <w:tc>
          <w:tcPr>
            <w:tcW w:w="0" w:type="auto"/>
            <w:hideMark/>
          </w:tcPr>
          <w:p w:rsidR="002757A2" w:rsidRPr="00FE4B1F" w:rsidRDefault="002757A2" w:rsidP="00D412DB">
            <w:pPr>
              <w:spacing w:after="160"/>
              <w:cnfStyle w:val="000000100000"/>
            </w:pPr>
            <w:r w:rsidRPr="00FE4B1F">
              <w:t xml:space="preserve">The Trust adopted a very decentralised and fragmented investigation practice, with more than 110 different local leads, where no independent, standardised mortality review could be set up. </w:t>
            </w:r>
          </w:p>
        </w:tc>
      </w:tr>
      <w:tr w:rsidR="002757A2" w:rsidRPr="00FE4B1F" w:rsidTr="00D412DB">
        <w:tc>
          <w:tcPr>
            <w:cnfStyle w:val="001000000000"/>
            <w:tcW w:w="0" w:type="auto"/>
            <w:hideMark/>
          </w:tcPr>
          <w:p w:rsidR="002757A2" w:rsidRPr="00FE4B1F" w:rsidRDefault="002757A2" w:rsidP="00D412DB">
            <w:pPr>
              <w:spacing w:after="160"/>
            </w:pPr>
            <w:r w:rsidRPr="00FE4B1F">
              <w:t>Why 4?</w:t>
            </w:r>
          </w:p>
        </w:tc>
        <w:tc>
          <w:tcPr>
            <w:tcW w:w="0" w:type="auto"/>
            <w:hideMark/>
          </w:tcPr>
          <w:p w:rsidR="002757A2" w:rsidRPr="00FE4B1F" w:rsidRDefault="002757A2" w:rsidP="00D412DB">
            <w:pPr>
              <w:spacing w:after="160"/>
              <w:cnfStyle w:val="000000000000"/>
            </w:pPr>
            <w:r w:rsidRPr="00FE4B1F">
              <w:t xml:space="preserve">The executive board did not have a strategic interest in mortality data, and failed to review and question the standardisation of investigations throughout the Trust. </w:t>
            </w:r>
          </w:p>
        </w:tc>
      </w:tr>
      <w:tr w:rsidR="002757A2" w:rsidRPr="00FE4B1F" w:rsidTr="00D412DB">
        <w:trPr>
          <w:cnfStyle w:val="000000100000"/>
        </w:trPr>
        <w:tc>
          <w:tcPr>
            <w:cnfStyle w:val="001000000000"/>
            <w:tcW w:w="0" w:type="auto"/>
            <w:hideMark/>
          </w:tcPr>
          <w:p w:rsidR="002757A2" w:rsidRPr="00FE4B1F" w:rsidRDefault="002757A2" w:rsidP="00D412DB">
            <w:pPr>
              <w:spacing w:after="160"/>
            </w:pPr>
            <w:r w:rsidRPr="00FE4B1F">
              <w:t>Why 5? (Root Cause)</w:t>
            </w:r>
          </w:p>
        </w:tc>
        <w:tc>
          <w:tcPr>
            <w:tcW w:w="0" w:type="auto"/>
            <w:hideMark/>
          </w:tcPr>
          <w:p w:rsidR="002757A2" w:rsidRPr="00FE4B1F" w:rsidRDefault="002757A2" w:rsidP="00D412DB">
            <w:pPr>
              <w:spacing w:after="160"/>
              <w:cnfStyle w:val="000000100000"/>
            </w:pPr>
            <w:r w:rsidRPr="00FE4B1F">
              <w:t>The Trust's culture was defensive, closed, and narrowed on reputation management to the point where patient safety was sidelined and ignored, and all the early signals from coroners, family members and commissioners were ignored.</w:t>
            </w:r>
          </w:p>
        </w:tc>
      </w:tr>
    </w:tbl>
    <w:p w:rsidR="002757A2" w:rsidRPr="00FE4B1F" w:rsidRDefault="002757A2" w:rsidP="002757A2">
      <w:r w:rsidRPr="00FE4B1F">
        <w:t>In the end, a lack of in executive leadership was the cause, and there was an atmosphere of "organised irresponsibility", meaning that lessons were not learnt from death incidents and that they were not woven into operational practice (Baker et al., 2023).</w:t>
      </w:r>
    </w:p>
    <w:p w:rsidR="000740BD" w:rsidRPr="00FE4B1F" w:rsidRDefault="00C723C7" w:rsidP="000F09B3">
      <w:pPr>
        <w:pStyle w:val="Heading2"/>
        <w:tabs>
          <w:tab w:val="left" w:pos="3970"/>
        </w:tabs>
      </w:pPr>
      <w:bookmarkStart w:id="7" w:name="_Toc235484990"/>
      <w:r w:rsidRPr="00FE4B1F">
        <w:lastRenderedPageBreak/>
        <w:t>2.</w:t>
      </w:r>
      <w:r w:rsidR="00BD5958" w:rsidRPr="00FE4B1F">
        <w:t>2</w:t>
      </w:r>
      <w:r w:rsidRPr="00FE4B1F">
        <w:t xml:space="preserve"> Donabedian Model</w:t>
      </w:r>
      <w:r w:rsidR="000F09B3" w:rsidRPr="00FE4B1F">
        <w:t xml:space="preserve"> [Structure-Process-Outcome]</w:t>
      </w:r>
      <w:bookmarkEnd w:id="7"/>
    </w:p>
    <w:p w:rsidR="00FC239D" w:rsidRPr="00FE4B1F" w:rsidRDefault="00C723C7" w:rsidP="00FC239D">
      <w:r w:rsidRPr="00FE4B1F">
        <w:rPr>
          <w:noProof/>
          <w:lang w:val="en-US"/>
        </w:rPr>
        <w:drawing>
          <wp:inline distT="0" distB="0" distL="0" distR="0">
            <wp:extent cx="5731510" cy="2141855"/>
            <wp:effectExtent l="0" t="0" r="2540" b="0"/>
            <wp:docPr id="8139403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40315" name="Picture 16"/>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731510" cy="2141855"/>
                    </a:xfrm>
                    <a:prstGeom prst="rect">
                      <a:avLst/>
                    </a:prstGeom>
                    <a:noFill/>
                    <a:ln>
                      <a:noFill/>
                    </a:ln>
                  </pic:spPr>
                </pic:pic>
              </a:graphicData>
            </a:graphic>
          </wp:inline>
        </w:drawing>
      </w:r>
    </w:p>
    <w:p w:rsidR="00FC239D" w:rsidRPr="00FE4B1F" w:rsidRDefault="00C723C7" w:rsidP="00042658">
      <w:pPr>
        <w:pStyle w:val="Caption"/>
        <w:jc w:val="center"/>
      </w:pPr>
      <w:r w:rsidRPr="00FE4B1F">
        <w:t xml:space="preserve">Figure </w:t>
      </w:r>
      <w:fldSimple w:instr=" SEQ Figure \* ARABIC ">
        <w:r w:rsidR="00C975BD" w:rsidRPr="00FE4B1F">
          <w:rPr>
            <w:noProof/>
          </w:rPr>
          <w:t>2</w:t>
        </w:r>
      </w:fldSimple>
      <w:r w:rsidRPr="00FE4B1F">
        <w:t xml:space="preserve">: </w:t>
      </w:r>
      <w:r w:rsidRPr="00FE4B1F">
        <w:t>Donabedian Model</w:t>
      </w:r>
    </w:p>
    <w:p w:rsidR="00FC239D" w:rsidRPr="00FE4B1F" w:rsidRDefault="00C723C7" w:rsidP="00042658">
      <w:pPr>
        <w:jc w:val="center"/>
      </w:pPr>
      <w:r w:rsidRPr="00FE4B1F">
        <w:t xml:space="preserve">(Source: </w:t>
      </w:r>
      <w:r w:rsidRPr="00FE4B1F">
        <w:t>Ogilvie, 2017</w:t>
      </w:r>
      <w:r w:rsidRPr="00FE4B1F">
        <w:t>)</w:t>
      </w:r>
    </w:p>
    <w:p w:rsidR="005B4544" w:rsidRPr="00FE4B1F" w:rsidRDefault="00C723C7" w:rsidP="005B4544">
      <w:r w:rsidRPr="00FE4B1F">
        <w:t>The Donabedian Model offers a solid foundation for evaluating health care quality by linking the inputs, processes, and outcomes</w:t>
      </w:r>
      <w:r w:rsidRPr="00FE4B1F">
        <w:t xml:space="preserve"> in a linear fashion (Tsamasiotis et al., 2024). </w:t>
      </w:r>
      <w:r w:rsidR="00226124" w:rsidRPr="00FE4B1F">
        <w:t>It is used to systematically assess any contributing factors and the degree to which Southern Health's structural shortcomings and inaccurate incident reporting system directly led to the devastating outcome of patient deaths that were unaddressed.</w:t>
      </w:r>
    </w:p>
    <w:p w:rsidR="005B4544" w:rsidRPr="00FE4B1F" w:rsidRDefault="00C723C7" w:rsidP="005B4544">
      <w:r w:rsidRPr="00FE4B1F">
        <w:rPr>
          <w:b/>
          <w:bCs/>
        </w:rPr>
        <w:t>Structure</w:t>
      </w:r>
    </w:p>
    <w:p w:rsidR="005B4544" w:rsidRPr="00FE4B1F" w:rsidRDefault="00C723C7" w:rsidP="005B4544">
      <w:r w:rsidRPr="00FE4B1F">
        <w:t>Structural quality captures the organisation structure, resource allocation and governance board effectiveness (Tsamasiotis et al., 2024). The organisational structure at Southern Health was extremely wea</w:t>
      </w:r>
      <w:r w:rsidRPr="00FE4B1F">
        <w:t>k. Strategic oversight over mortality data was missing from the Trust's executive board and there was not an active and dedicated Mortality Review Group which would have overseen patient deaths. Moreover, there was a very diffused staffing pattern for inci</w:t>
      </w:r>
      <w:r w:rsidRPr="00FE4B1F">
        <w:t>dent reviews. Instead of having a team of patient safety experts who could be independent and trained appropriately, the Trust used more than 110 different local investigators, not all of whom were well trained in Root Cause Analysis. This structural fragm</w:t>
      </w:r>
      <w:r w:rsidRPr="00FE4B1F">
        <w:t>entation resulted in a lack of uniform and strict monitoring of Patient Groups at Risk (PGRs).</w:t>
      </w:r>
    </w:p>
    <w:p w:rsidR="005B4544" w:rsidRPr="00FE4B1F" w:rsidRDefault="00C723C7" w:rsidP="005B4544">
      <w:r w:rsidRPr="00FE4B1F">
        <w:rPr>
          <w:b/>
          <w:bCs/>
        </w:rPr>
        <w:t>Process</w:t>
      </w:r>
    </w:p>
    <w:p w:rsidR="005B4544" w:rsidRPr="00FE4B1F" w:rsidRDefault="00C723C7" w:rsidP="005B4544">
      <w:r w:rsidRPr="00FE4B1F">
        <w:lastRenderedPageBreak/>
        <w:t>Process focuses on operational procedures and reporting systems of health care and administrative functions (Tsamasiotis et al., 2024). The Trust's incid</w:t>
      </w:r>
      <w:r w:rsidRPr="00FE4B1F">
        <w:t>ent reporting processes were very much flawed. While deaths occurred on the internal Ulysses system, protocol for determining whether that death had met the criteria for being classified as triggering an Initial Management Assessment (IMA) or a Serious Inc</w:t>
      </w:r>
      <w:r w:rsidRPr="00FE4B1F">
        <w:t>ident Requiring Investigation (SIRIs) for school grounds was completely inconsistent. Less than 1% of unexpected deaths in Learning Disability services progressed to a formal SIRI for example. In addition, the investigation timeline was seriously flawed, w</w:t>
      </w:r>
      <w:r w:rsidRPr="00FE4B1F">
        <w:t>ith reports that frequently ignored the 45-day national requirement for investigation and took an average of 127 elapsed days for CCG internal sign off only and a further nine months for CCG closure panels. This prevented any learning in the clinical setti</w:t>
      </w:r>
      <w:r w:rsidRPr="00FE4B1F">
        <w:t>ng in a timely fashion.</w:t>
      </w:r>
    </w:p>
    <w:p w:rsidR="005B4544" w:rsidRPr="00FE4B1F" w:rsidRDefault="00C723C7" w:rsidP="005B4544">
      <w:r w:rsidRPr="00FE4B1F">
        <w:rPr>
          <w:b/>
          <w:bCs/>
        </w:rPr>
        <w:t>Outcomes</w:t>
      </w:r>
    </w:p>
    <w:p w:rsidR="005B4544" w:rsidRPr="00FE4B1F" w:rsidRDefault="00C723C7" w:rsidP="005B4544">
      <w:r w:rsidRPr="00FE4B1F">
        <w:t>Outcomes are the end goal of how healthcare systems influence patient outcomes, patient safety, and reputation of the health organisation (Tsamasiotis et al., 2024). The collapse of the structure and processes of Southern H</w:t>
      </w:r>
      <w:r w:rsidRPr="00FE4B1F">
        <w:t>ealth caused and led to the devastating outcomes</w:t>
      </w:r>
      <w:r w:rsidR="0088418F" w:rsidRPr="00FE4B1F">
        <w:t xml:space="preserve"> (Agius et al., 2025)</w:t>
      </w:r>
      <w:r w:rsidRPr="00FE4B1F">
        <w:t xml:space="preserve">. This opacity of institutions, along with systemic exclusion of families in 64% of investigations, led to the breakdown of public confidence, great distress for grieving family, and the </w:t>
      </w:r>
      <w:r w:rsidRPr="00FE4B1F">
        <w:t>need for regulatory action</w:t>
      </w:r>
      <w:r w:rsidR="00827568" w:rsidRPr="00FE4B1F">
        <w:t xml:space="preserve"> (Khan, 2025)</w:t>
      </w:r>
      <w:r w:rsidRPr="00FE4B1F">
        <w:t>.</w:t>
      </w:r>
    </w:p>
    <w:p w:rsidR="000740BD" w:rsidRPr="00FE4B1F" w:rsidRDefault="00C723C7" w:rsidP="00842F4F">
      <w:pPr>
        <w:pStyle w:val="Heading2"/>
      </w:pPr>
      <w:bookmarkStart w:id="8" w:name="_Toc235484991"/>
      <w:r w:rsidRPr="00FE4B1F">
        <w:t xml:space="preserve">2.3 </w:t>
      </w:r>
      <w:r w:rsidR="0038153A" w:rsidRPr="00FE4B1F">
        <w:t>SWOT Analysis</w:t>
      </w:r>
      <w:bookmarkEnd w:id="8"/>
    </w:p>
    <w:p w:rsidR="00842F4F" w:rsidRPr="00FE4B1F" w:rsidRDefault="00C723C7" w:rsidP="00842F4F">
      <w:r w:rsidRPr="00FE4B1F">
        <w:t>It is important to have strategic planning to move from a reactive/defensive mindset to a proactive safety culture (</w:t>
      </w:r>
      <w:r w:rsidR="00ED6331" w:rsidRPr="00FE4B1F">
        <w:t>Almohaisen et al., 2023</w:t>
      </w:r>
      <w:r w:rsidRPr="00FE4B1F">
        <w:t xml:space="preserve">). A SWOT (Strengths, Weaknesses, Opportunities, Threats) </w:t>
      </w:r>
      <w:r w:rsidRPr="00FE4B1F">
        <w:t>analysis is a useful framework to assess Southern Health's ability to make comprehensive quality improvement (Smith et al., 202</w:t>
      </w:r>
      <w:r w:rsidR="007F5E7C" w:rsidRPr="00FE4B1F">
        <w:t>5</w:t>
      </w:r>
      <w:r w:rsidRPr="00FE4B1F">
        <w:t>).</w:t>
      </w:r>
      <w:r w:rsidR="004416AD" w:rsidRPr="00FE4B1F">
        <w:t>This is used to strategically consider the Trust's internal weaknesses, such as a culture for defence and outside opportunities such as the new national patient safety policies.</w:t>
      </w:r>
    </w:p>
    <w:tbl>
      <w:tblPr>
        <w:tblStyle w:val="TableGrid"/>
        <w:tblW w:w="0" w:type="auto"/>
        <w:tblLook w:val="04A0"/>
      </w:tblPr>
      <w:tblGrid>
        <w:gridCol w:w="4508"/>
        <w:gridCol w:w="4508"/>
      </w:tblGrid>
      <w:tr w:rsidR="006A575E" w:rsidRPr="00FE4B1F" w:rsidTr="00842F4F">
        <w:tc>
          <w:tcPr>
            <w:tcW w:w="4508" w:type="dxa"/>
          </w:tcPr>
          <w:p w:rsidR="00842F4F" w:rsidRPr="00FE4B1F" w:rsidRDefault="00C723C7" w:rsidP="00266A85">
            <w:pPr>
              <w:jc w:val="center"/>
            </w:pPr>
            <w:r w:rsidRPr="00FE4B1F">
              <w:rPr>
                <w:b/>
                <w:bCs/>
              </w:rPr>
              <w:lastRenderedPageBreak/>
              <w:t>Strengths</w:t>
            </w:r>
          </w:p>
        </w:tc>
        <w:tc>
          <w:tcPr>
            <w:tcW w:w="4508" w:type="dxa"/>
          </w:tcPr>
          <w:p w:rsidR="00842F4F" w:rsidRPr="00FE4B1F" w:rsidRDefault="00C723C7" w:rsidP="00266A85">
            <w:pPr>
              <w:jc w:val="center"/>
            </w:pPr>
            <w:r w:rsidRPr="00FE4B1F">
              <w:rPr>
                <w:b/>
                <w:bCs/>
              </w:rPr>
              <w:t>Weaknesses</w:t>
            </w:r>
          </w:p>
        </w:tc>
      </w:tr>
      <w:tr w:rsidR="006A575E" w:rsidRPr="00FE4B1F" w:rsidTr="00842F4F">
        <w:tc>
          <w:tcPr>
            <w:tcW w:w="4508" w:type="dxa"/>
          </w:tcPr>
          <w:p w:rsidR="00842F4F" w:rsidRPr="00FE4B1F" w:rsidRDefault="00C723C7" w:rsidP="00842F4F">
            <w:r w:rsidRPr="00FE4B1F">
              <w:t>Even though there are governance issues, the Trust has full raw patient data through the RiO</w:t>
            </w:r>
            <w:r w:rsidRPr="00FE4B1F">
              <w:t xml:space="preserve"> system and the Ulysses system. Such rich data is a building block of strength and vital for robust quality improvement (QI) and mortality surveillance initiatives (</w:t>
            </w:r>
            <w:r w:rsidR="009766FF" w:rsidRPr="00FE4B1F">
              <w:t>O’Dea</w:t>
            </w:r>
            <w:r w:rsidRPr="00FE4B1F">
              <w:t>et al., 202</w:t>
            </w:r>
            <w:r w:rsidR="00E16AE4" w:rsidRPr="00FE4B1F">
              <w:t>5</w:t>
            </w:r>
            <w:r w:rsidRPr="00FE4B1F">
              <w:t>). Moreover, the recent inclusion of a new safety culture (</w:t>
            </w:r>
            <w:r w:rsidR="00B30159" w:rsidRPr="00FE4B1F">
              <w:t>Maercker</w:t>
            </w:r>
            <w:r w:rsidRPr="00FE4B1F">
              <w:t xml:space="preserve"> et al.</w:t>
            </w:r>
            <w:r w:rsidRPr="00FE4B1F">
              <w:t>, 2022) in the form of a new dedicated Mortality Review Group, including the Medical Director, shows an emerging executive commitment is a prerequisite for embedding a new safety culture</w:t>
            </w:r>
            <w:r w:rsidR="003B4614" w:rsidRPr="00FE4B1F">
              <w:t xml:space="preserve"> (Melino, 2025)</w:t>
            </w:r>
            <w:r w:rsidRPr="00FE4B1F">
              <w:t>.</w:t>
            </w:r>
          </w:p>
        </w:tc>
        <w:tc>
          <w:tcPr>
            <w:tcW w:w="4508" w:type="dxa"/>
          </w:tcPr>
          <w:p w:rsidR="00842F4F" w:rsidRPr="00FE4B1F" w:rsidRDefault="00C723C7" w:rsidP="00842F4F">
            <w:r w:rsidRPr="00FE4B1F">
              <w:t xml:space="preserve">The Trust's internal weaknesses are significant. The </w:t>
            </w:r>
            <w:r w:rsidRPr="00FE4B1F">
              <w:t xml:space="preserve">model for investigations is broken; in fact, evidence suggests the investigations rely on more than 110 different and largely unqualified leads, ultimately affecting the integrity of Root Cause Analysis. When investigation teams are dispersed in the field </w:t>
            </w:r>
            <w:r w:rsidRPr="00FE4B1F">
              <w:t>and do not have specialist human factors training, they will necessarily generate outputs that are low fidelity and inconsistent (</w:t>
            </w:r>
            <w:r w:rsidR="009D08C2" w:rsidRPr="00FE4B1F">
              <w:t>Machen, 2023</w:t>
            </w:r>
            <w:r w:rsidRPr="00FE4B1F">
              <w:t>). In addition, this longstanding, entrenched defensive organisational culture and lack of Board level oversight o</w:t>
            </w:r>
            <w:r w:rsidRPr="00FE4B1F">
              <w:t>f non-suicide deaths is a huge deficiency</w:t>
            </w:r>
            <w:r w:rsidR="00304598" w:rsidRPr="00FE4B1F">
              <w:t>,</w:t>
            </w:r>
            <w:r w:rsidRPr="00FE4B1F">
              <w:t xml:space="preserve"> the transparent leadership to foster psychological safety in healthcare (</w:t>
            </w:r>
            <w:r w:rsidR="001A42C7" w:rsidRPr="00FE4B1F">
              <w:t>Pinheiro and Pulkkinen, 2023</w:t>
            </w:r>
            <w:r w:rsidRPr="00FE4B1F">
              <w:t>).</w:t>
            </w:r>
          </w:p>
        </w:tc>
      </w:tr>
      <w:tr w:rsidR="006A575E" w:rsidRPr="00FE4B1F" w:rsidTr="00842F4F">
        <w:tc>
          <w:tcPr>
            <w:tcW w:w="4508" w:type="dxa"/>
          </w:tcPr>
          <w:p w:rsidR="00842F4F" w:rsidRPr="00FE4B1F" w:rsidRDefault="00C723C7" w:rsidP="00266A85">
            <w:pPr>
              <w:jc w:val="center"/>
            </w:pPr>
            <w:r w:rsidRPr="00FE4B1F">
              <w:rPr>
                <w:b/>
                <w:bCs/>
              </w:rPr>
              <w:t>Opportunities</w:t>
            </w:r>
          </w:p>
        </w:tc>
        <w:tc>
          <w:tcPr>
            <w:tcW w:w="4508" w:type="dxa"/>
          </w:tcPr>
          <w:p w:rsidR="00842F4F" w:rsidRPr="00FE4B1F" w:rsidRDefault="00C723C7" w:rsidP="00266A85">
            <w:pPr>
              <w:jc w:val="center"/>
            </w:pPr>
            <w:r w:rsidRPr="00FE4B1F">
              <w:rPr>
                <w:b/>
                <w:bCs/>
              </w:rPr>
              <w:t>Threats</w:t>
            </w:r>
          </w:p>
        </w:tc>
      </w:tr>
      <w:tr w:rsidR="006A575E" w:rsidRPr="00FE4B1F" w:rsidTr="00842F4F">
        <w:tc>
          <w:tcPr>
            <w:tcW w:w="4508" w:type="dxa"/>
          </w:tcPr>
          <w:p w:rsidR="00842F4F" w:rsidRPr="00FE4B1F" w:rsidRDefault="00C723C7" w:rsidP="00842F4F">
            <w:r w:rsidRPr="00FE4B1F">
              <w:t>External Policy changes can be a real game-changer. The accompanying National Mandate</w:t>
            </w:r>
            <w:r w:rsidRPr="00FE4B1F">
              <w:t xml:space="preserve"> on Patient Safety, the NHS Patient Safety Incident Response Framework (PSIRF), is a response to this, giving a national mandate for trusts to move away from a 'one-size-fits-all' approach to investigating every patient safety incident and towards proporti</w:t>
            </w:r>
            <w:r w:rsidRPr="00FE4B1F">
              <w:t>onate and system-focused learning (</w:t>
            </w:r>
            <w:r w:rsidR="00B05B8D" w:rsidRPr="00FE4B1F">
              <w:t>El-Haddad et al.</w:t>
            </w:r>
            <w:r w:rsidRPr="00FE4B1F">
              <w:t>, 202</w:t>
            </w:r>
            <w:r w:rsidR="00B05B8D" w:rsidRPr="00FE4B1F">
              <w:t>6</w:t>
            </w:r>
            <w:r w:rsidRPr="00FE4B1F">
              <w:t>). Additionally, there is a crucial opportunity to link these reporting procedures with multi-</w:t>
            </w:r>
            <w:r w:rsidRPr="00FE4B1F">
              <w:lastRenderedPageBreak/>
              <w:t>agency processes and liaise closely with Clinical Commissioning Groups (CCGs) and acute treatment provide</w:t>
            </w:r>
            <w:r w:rsidRPr="00FE4B1F">
              <w:t>rs, so as to ensure the safety of very vulnerable Learning Disability (LD) patients. This dovetails into the strata of modern concepts of healthcare with a resilient, cross-boundary approach (</w:t>
            </w:r>
            <w:r w:rsidR="00447252" w:rsidRPr="00FE4B1F">
              <w:t>Kislov et al., 2021</w:t>
            </w:r>
            <w:r w:rsidRPr="00FE4B1F">
              <w:t>).</w:t>
            </w:r>
          </w:p>
        </w:tc>
        <w:tc>
          <w:tcPr>
            <w:tcW w:w="4508" w:type="dxa"/>
          </w:tcPr>
          <w:p w:rsidR="00842F4F" w:rsidRPr="00FE4B1F" w:rsidRDefault="00C723C7" w:rsidP="00842F4F">
            <w:r w:rsidRPr="00FE4B1F">
              <w:lastRenderedPageBreak/>
              <w:t>The highest priority issue is ongoing loss</w:t>
            </w:r>
            <w:r w:rsidRPr="00FE4B1F">
              <w:t xml:space="preserve"> of trust from the public and regulators due to high-profile fatalities not investigated. Unacceptably long delays in reporting, taking an average of 10 months to close a CCG, leaves opportunities for punitive regulatory interventions from the Care Quality</w:t>
            </w:r>
            <w:r w:rsidRPr="00FE4B1F">
              <w:t xml:space="preserve"> Commission (CQC) (</w:t>
            </w:r>
            <w:r w:rsidR="00ED6331" w:rsidRPr="00FE4B1F">
              <w:t>Almohaisen et al., 203</w:t>
            </w:r>
            <w:r w:rsidRPr="00FE4B1F">
              <w:t xml:space="preserve">). Lastly, resistance to some of the new transparency requirements in the local area and chronic staff burnout can easily become a stumbling block in the </w:t>
            </w:r>
            <w:r w:rsidRPr="00FE4B1F">
              <w:lastRenderedPageBreak/>
              <w:t xml:space="preserve">deployment of these quality improvement strategies (Smith et </w:t>
            </w:r>
            <w:r w:rsidRPr="00FE4B1F">
              <w:t>al., 202</w:t>
            </w:r>
            <w:r w:rsidR="007F5E7C" w:rsidRPr="00FE4B1F">
              <w:t>5</w:t>
            </w:r>
            <w:r w:rsidRPr="00FE4B1F">
              <w:t>).</w:t>
            </w:r>
          </w:p>
        </w:tc>
      </w:tr>
    </w:tbl>
    <w:p w:rsidR="00FB2053" w:rsidRPr="00FE4B1F" w:rsidRDefault="00FB2053" w:rsidP="00FB2053">
      <w:pPr>
        <w:pStyle w:val="Heading2"/>
      </w:pPr>
      <w:bookmarkStart w:id="9" w:name="_Toc235484992"/>
      <w:r w:rsidRPr="00FE4B1F">
        <w:lastRenderedPageBreak/>
        <w:t>2.4 PDSA Cycle</w:t>
      </w:r>
      <w:bookmarkEnd w:id="9"/>
    </w:p>
    <w:p w:rsidR="00FB2053" w:rsidRPr="00FE4B1F" w:rsidRDefault="00FB2053" w:rsidP="00FB2053">
      <w:r w:rsidRPr="00FE4B1F">
        <w:t>The PDSA approach is well suited for contexts within healthcare contexts, with the advantage that it involves testing in an iterative fashion, thereby reducing risk, and making modification from what is learned on the fly (Manandi et al., 2023).It is selected to offer a low-risk, iterative strategy for trial, research and development of the automated Ulysses triage system in a pilot ward prior to full implementation.</w:t>
      </w:r>
    </w:p>
    <w:p w:rsidR="00FB2053" w:rsidRPr="00FE4B1F" w:rsidRDefault="00FB2053" w:rsidP="00FB2053">
      <w:pPr>
        <w:jc w:val="center"/>
      </w:pPr>
      <w:r w:rsidRPr="00FE4B1F">
        <w:rPr>
          <w:noProof/>
          <w:lang w:val="en-US"/>
        </w:rPr>
        <w:drawing>
          <wp:inline distT="0" distB="0" distL="0" distR="0">
            <wp:extent cx="4574103" cy="3208867"/>
            <wp:effectExtent l="0" t="0" r="0" b="0"/>
            <wp:docPr id="1503192749" name="Picture 6" descr="Figure 17. Plan-Do-Study-Act Cycle for Iterative and Continuou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92749" name="Picture 18" descr="Figure 17. Plan-Do-Study-Act Cycle for Iterative and Continuous Learni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597947" cy="3225594"/>
                    </a:xfrm>
                    <a:prstGeom prst="rect">
                      <a:avLst/>
                    </a:prstGeom>
                    <a:noFill/>
                    <a:ln>
                      <a:noFill/>
                    </a:ln>
                  </pic:spPr>
                </pic:pic>
              </a:graphicData>
            </a:graphic>
          </wp:inline>
        </w:drawing>
      </w:r>
    </w:p>
    <w:p w:rsidR="00FB2053" w:rsidRPr="00FE4B1F" w:rsidRDefault="00FB2053" w:rsidP="00FB2053">
      <w:pPr>
        <w:pStyle w:val="Caption"/>
        <w:jc w:val="center"/>
      </w:pPr>
      <w:r w:rsidRPr="00FE4B1F">
        <w:t xml:space="preserve">Figure </w:t>
      </w:r>
      <w:fldSimple w:instr=" SEQ Figure \* ARABIC ">
        <w:r w:rsidRPr="00FE4B1F">
          <w:rPr>
            <w:noProof/>
          </w:rPr>
          <w:t>4</w:t>
        </w:r>
      </w:fldSimple>
      <w:r w:rsidRPr="00FE4B1F">
        <w:t>: PDSA Cycle</w:t>
      </w:r>
    </w:p>
    <w:p w:rsidR="00FB2053" w:rsidRPr="00FE4B1F" w:rsidRDefault="00FB2053" w:rsidP="00FB2053">
      <w:pPr>
        <w:jc w:val="center"/>
      </w:pPr>
      <w:r w:rsidRPr="00FE4B1F">
        <w:t>(Source: Gromerand Kopp, 2020)</w:t>
      </w:r>
    </w:p>
    <w:p w:rsidR="00FB2053" w:rsidRPr="00FE4B1F" w:rsidRDefault="00FB2053" w:rsidP="00FB2053">
      <w:r w:rsidRPr="00FE4B1F">
        <w:rPr>
          <w:b/>
          <w:bCs/>
        </w:rPr>
        <w:lastRenderedPageBreak/>
        <w:t>Plan:</w:t>
      </w:r>
      <w:r w:rsidRPr="00FE4B1F">
        <w:t>The first step is to carefully document the implementation of the new measures and in this case the creation of an independent Corporate Mortality Review Board and the automated Ulysses triage system. Executive leadership needs to set clear operational goals and review internal governance processes and policies to ensure that family involvement is required(Kynoch et al., 2026). In this stage, extensive training program modules should be set up for the new central investigative team on issues of Human Factors and Root Cause Analysis (RCA). Additionally, IT systems need to be updated to notify executives when a patient with a Learning Disability (LD) or Older People Mental Health (OPMH) finally has passed on, as existing systems allow middle managers to downgrade patients to ‘Extensive Care’ should this be appropriate. A key awareness during this phase is staff apprehension and driving psychological safety to mitigate staff resistance to the new culture of transparent reporting (Thomas et al. 2025).</w:t>
      </w:r>
    </w:p>
    <w:p w:rsidR="00FB2053" w:rsidRPr="00FE4B1F" w:rsidRDefault="00FB2053" w:rsidP="00FB2053">
      <w:r w:rsidRPr="00FE4B1F">
        <w:rPr>
          <w:b/>
          <w:bCs/>
        </w:rPr>
        <w:t>Do:</w:t>
      </w:r>
      <w:r w:rsidRPr="00FE4B1F">
        <w:t xml:space="preserve">The new protocols will not be undertaken as a high-risk, Trust-wide rollout, but rather will be undertaken as a high priority, targeted department rollout (Tyler et al., 2023). The OPMH in the North and West Hampshire area is ideally located to host the pilots because it is where there are historically high numbers of inpatient deaths and low numbers of investigations, only investigating 0.3% deaths as serious incidents. </w:t>
      </w:r>
    </w:p>
    <w:p w:rsidR="00FB2053" w:rsidRPr="00FE4B1F" w:rsidRDefault="00FB2053" w:rsidP="00FB2053">
      <w:r w:rsidRPr="00FE4B1F">
        <w:rPr>
          <w:b/>
          <w:bCs/>
        </w:rPr>
        <w:t>Study:</w:t>
      </w:r>
      <w:r w:rsidRPr="00FE4B1F">
        <w:t>After the pilot, the Trust needs to be very careful in assessing the effectiveness of the intervention by using a detailed clinical audit (Dimitropoulos et al., 2024). Success will be assessed based on specific Key Performance Indicators (KPIs). The audit will evaluate the Ulysses data to ensure that 100% of all LD/OPMH deaths in the pilot ward that were not expected activated executive alerts without any hindrances. Second, timeliness in investigations will be assessed to measure the efficiency of the centralised model and alleviate the long-standing difficulty with reporting, which has historically taken a maximum of 10 months to close, but with the imposition of the 45-day CCG closure target, it is required to be done much quicker. Family engagement compliance shall also be tracked with the goal of achieving a 100% attempted family engagement (Subramony et al., 2024), moving away from the previous 64% of families excluded.</w:t>
      </w:r>
    </w:p>
    <w:p w:rsidR="00FB2053" w:rsidRPr="00FE4B1F" w:rsidRDefault="00FB2053" w:rsidP="00FB2053">
      <w:r w:rsidRPr="00FE4B1F">
        <w:rPr>
          <w:b/>
          <w:bCs/>
        </w:rPr>
        <w:lastRenderedPageBreak/>
        <w:t>Act:</w:t>
      </w:r>
      <w:r w:rsidRPr="00FE4B1F">
        <w:t xml:space="preserve">The Trust will improve the protocols from the audit findings. The Trust executive board will make these processes mandatory policy if the pilot is successful in streamlining the processes in the reporting and improve the fidelity of the RCA (Harrison et al., 2025). This automated Ulysses flagging and the centralised Corporate Mortality Review Board will then be rolled out consistently and effectively for all the other remaining Trust divisions. </w:t>
      </w:r>
    </w:p>
    <w:p w:rsidR="00E904D0" w:rsidRPr="00FE4B1F" w:rsidRDefault="00E904D0" w:rsidP="00E904D0">
      <w:pPr>
        <w:pStyle w:val="Heading2"/>
      </w:pPr>
      <w:bookmarkStart w:id="10" w:name="_Toc235484993"/>
      <w:r w:rsidRPr="00FE4B1F">
        <w:t>2.5 Kotter’s 8-Step Change Model</w:t>
      </w:r>
      <w:bookmarkEnd w:id="10"/>
    </w:p>
    <w:p w:rsidR="00D52C07" w:rsidRPr="00FE4B1F" w:rsidRDefault="00D52C07" w:rsidP="00D52C07">
      <w:pPr>
        <w:jc w:val="center"/>
      </w:pPr>
      <w:r w:rsidRPr="00FE4B1F">
        <w:rPr>
          <w:noProof/>
          <w:lang w:val="en-US"/>
        </w:rPr>
        <w:drawing>
          <wp:inline distT="0" distB="0" distL="0" distR="0">
            <wp:extent cx="4403504" cy="4029308"/>
            <wp:effectExtent l="0" t="0" r="0" b="0"/>
            <wp:docPr id="1643973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26488" cy="4050339"/>
                    </a:xfrm>
                    <a:prstGeom prst="rect">
                      <a:avLst/>
                    </a:prstGeom>
                    <a:noFill/>
                    <a:ln>
                      <a:noFill/>
                    </a:ln>
                  </pic:spPr>
                </pic:pic>
              </a:graphicData>
            </a:graphic>
          </wp:inline>
        </w:drawing>
      </w:r>
    </w:p>
    <w:p w:rsidR="00D52C07" w:rsidRPr="00FE4B1F" w:rsidRDefault="00D52C07" w:rsidP="00D52C07">
      <w:pPr>
        <w:pStyle w:val="Caption"/>
        <w:jc w:val="center"/>
      </w:pPr>
      <w:r w:rsidRPr="00FE4B1F">
        <w:t xml:space="preserve">Figure </w:t>
      </w:r>
      <w:r w:rsidR="0077094D" w:rsidRPr="00FE4B1F">
        <w:fldChar w:fldCharType="begin"/>
      </w:r>
      <w:r w:rsidRPr="00FE4B1F">
        <w:instrText xml:space="preserve"> SEQ Figure \* ARABIC </w:instrText>
      </w:r>
      <w:r w:rsidR="0077094D" w:rsidRPr="00FE4B1F">
        <w:fldChar w:fldCharType="separate"/>
      </w:r>
      <w:r w:rsidRPr="00FE4B1F">
        <w:rPr>
          <w:noProof/>
        </w:rPr>
        <w:t>3</w:t>
      </w:r>
      <w:r w:rsidR="0077094D" w:rsidRPr="00FE4B1F">
        <w:rPr>
          <w:noProof/>
        </w:rPr>
        <w:fldChar w:fldCharType="end"/>
      </w:r>
      <w:r w:rsidRPr="00FE4B1F">
        <w:t>: Kotter’s Change Model</w:t>
      </w:r>
    </w:p>
    <w:p w:rsidR="00D52C07" w:rsidRPr="00FE4B1F" w:rsidRDefault="00D52C07" w:rsidP="00D52C07">
      <w:pPr>
        <w:jc w:val="center"/>
      </w:pPr>
      <w:r w:rsidRPr="00FE4B1F">
        <w:t>(Source: Sales Training International,2023)</w:t>
      </w:r>
    </w:p>
    <w:tbl>
      <w:tblPr>
        <w:tblStyle w:val="GridTableLight"/>
        <w:tblW w:w="0" w:type="auto"/>
        <w:tblLook w:val="04A0"/>
      </w:tblPr>
      <w:tblGrid>
        <w:gridCol w:w="2063"/>
        <w:gridCol w:w="7179"/>
      </w:tblGrid>
      <w:tr w:rsidR="00B7478D" w:rsidRPr="00FE4B1F" w:rsidTr="00B7478D">
        <w:tc>
          <w:tcPr>
            <w:tcW w:w="0" w:type="auto"/>
            <w:hideMark/>
          </w:tcPr>
          <w:p w:rsidR="00B7478D" w:rsidRPr="00FE4B1F" w:rsidRDefault="00B7478D" w:rsidP="00B7478D">
            <w:r w:rsidRPr="00FE4B1F">
              <w:rPr>
                <w:b/>
                <w:bCs/>
              </w:rPr>
              <w:t>Kotter’s 8 Steps</w:t>
            </w:r>
          </w:p>
        </w:tc>
        <w:tc>
          <w:tcPr>
            <w:tcW w:w="0" w:type="auto"/>
            <w:hideMark/>
          </w:tcPr>
          <w:p w:rsidR="00B7478D" w:rsidRPr="00FE4B1F" w:rsidRDefault="00B7478D" w:rsidP="00B7478D">
            <w:r w:rsidRPr="00FE4B1F">
              <w:rPr>
                <w:b/>
                <w:bCs/>
              </w:rPr>
              <w:t>Strategic Application to Southern Health Trust</w:t>
            </w:r>
          </w:p>
        </w:tc>
      </w:tr>
      <w:tr w:rsidR="00220543" w:rsidRPr="00FE4B1F" w:rsidTr="00B7478D">
        <w:tc>
          <w:tcPr>
            <w:tcW w:w="0" w:type="auto"/>
            <w:hideMark/>
          </w:tcPr>
          <w:p w:rsidR="00220543" w:rsidRPr="00FE4B1F" w:rsidRDefault="00220543" w:rsidP="00220543">
            <w:pPr>
              <w:jc w:val="left"/>
            </w:pPr>
            <w:r w:rsidRPr="00FE4B1F">
              <w:rPr>
                <w:b/>
                <w:bCs/>
              </w:rPr>
              <w:t>1. Create Urgency</w:t>
            </w:r>
          </w:p>
        </w:tc>
        <w:tc>
          <w:tcPr>
            <w:tcW w:w="0" w:type="auto"/>
            <w:hideMark/>
          </w:tcPr>
          <w:p w:rsidR="00220543" w:rsidRPr="00FE4B1F" w:rsidRDefault="00220543" w:rsidP="00220543">
            <w:r w:rsidRPr="00FE4B1F">
              <w:t xml:space="preserve">Executive leadership needs to shine a light on the serious problem of the un-investigated deaths and make it clear that it is a non-negotiable </w:t>
            </w:r>
            <w:r w:rsidRPr="00FE4B1F">
              <w:lastRenderedPageBreak/>
              <w:t>right of action.</w:t>
            </w:r>
          </w:p>
        </w:tc>
      </w:tr>
      <w:tr w:rsidR="00220543" w:rsidRPr="00FE4B1F" w:rsidTr="00B7478D">
        <w:tc>
          <w:tcPr>
            <w:tcW w:w="0" w:type="auto"/>
            <w:hideMark/>
          </w:tcPr>
          <w:p w:rsidR="00220543" w:rsidRPr="00FE4B1F" w:rsidRDefault="00220543" w:rsidP="00220543">
            <w:pPr>
              <w:jc w:val="left"/>
            </w:pPr>
            <w:r w:rsidRPr="00FE4B1F">
              <w:rPr>
                <w:b/>
                <w:bCs/>
              </w:rPr>
              <w:lastRenderedPageBreak/>
              <w:t>2. Build a Coalition</w:t>
            </w:r>
          </w:p>
        </w:tc>
        <w:tc>
          <w:tcPr>
            <w:tcW w:w="0" w:type="auto"/>
            <w:hideMark/>
          </w:tcPr>
          <w:p w:rsidR="00220543" w:rsidRPr="00FE4B1F" w:rsidRDefault="00220543" w:rsidP="00220543">
            <w:r w:rsidRPr="00FE4B1F">
              <w:t>Set up the new Corporate Mortality Review Board (CMRB) to provide leadership and support by those with expertise and influence.</w:t>
            </w:r>
          </w:p>
        </w:tc>
      </w:tr>
      <w:tr w:rsidR="00220543" w:rsidRPr="00FE4B1F" w:rsidTr="00B7478D">
        <w:tc>
          <w:tcPr>
            <w:tcW w:w="0" w:type="auto"/>
            <w:hideMark/>
          </w:tcPr>
          <w:p w:rsidR="00220543" w:rsidRPr="00FE4B1F" w:rsidRDefault="00220543" w:rsidP="00220543">
            <w:pPr>
              <w:jc w:val="left"/>
            </w:pPr>
            <w:r w:rsidRPr="00FE4B1F">
              <w:rPr>
                <w:b/>
                <w:bCs/>
              </w:rPr>
              <w:t>3. Form a Vision</w:t>
            </w:r>
          </w:p>
        </w:tc>
        <w:tc>
          <w:tcPr>
            <w:tcW w:w="0" w:type="auto"/>
            <w:hideMark/>
          </w:tcPr>
          <w:p w:rsidR="00220543" w:rsidRPr="00FE4B1F" w:rsidRDefault="00220543" w:rsidP="00220543">
            <w:r w:rsidRPr="00FE4B1F">
              <w:t>Form a clear vision and strategy with a sole goal of transparency and patient safety and learning from unexpected deaths.</w:t>
            </w:r>
          </w:p>
        </w:tc>
      </w:tr>
      <w:tr w:rsidR="00220543" w:rsidRPr="00FE4B1F" w:rsidTr="00B7478D">
        <w:tc>
          <w:tcPr>
            <w:tcW w:w="0" w:type="auto"/>
            <w:hideMark/>
          </w:tcPr>
          <w:p w:rsidR="00220543" w:rsidRPr="00FE4B1F" w:rsidRDefault="00220543" w:rsidP="00220543">
            <w:pPr>
              <w:jc w:val="left"/>
            </w:pPr>
            <w:r w:rsidRPr="00FE4B1F">
              <w:rPr>
                <w:b/>
                <w:bCs/>
              </w:rPr>
              <w:t>4. Communicate Vision</w:t>
            </w:r>
          </w:p>
        </w:tc>
        <w:tc>
          <w:tcPr>
            <w:tcW w:w="0" w:type="auto"/>
            <w:hideMark/>
          </w:tcPr>
          <w:p w:rsidR="00220543" w:rsidRPr="00FE4B1F" w:rsidRDefault="00220543" w:rsidP="00220543">
            <w:r w:rsidRPr="00FE4B1F">
              <w:t>Communicate the clear future vision on an ongoing basis throughout the organization and, ensure that all staff members are aware of the new direction.</w:t>
            </w:r>
          </w:p>
        </w:tc>
      </w:tr>
      <w:tr w:rsidR="00220543" w:rsidRPr="00FE4B1F" w:rsidTr="00B7478D">
        <w:tc>
          <w:tcPr>
            <w:tcW w:w="0" w:type="auto"/>
            <w:hideMark/>
          </w:tcPr>
          <w:p w:rsidR="00220543" w:rsidRPr="00FE4B1F" w:rsidRDefault="00220543" w:rsidP="00220543">
            <w:pPr>
              <w:jc w:val="left"/>
            </w:pPr>
            <w:r w:rsidRPr="00FE4B1F">
              <w:rPr>
                <w:b/>
                <w:bCs/>
              </w:rPr>
              <w:t>5. Empower Action</w:t>
            </w:r>
          </w:p>
        </w:tc>
        <w:tc>
          <w:tcPr>
            <w:tcW w:w="0" w:type="auto"/>
            <w:hideMark/>
          </w:tcPr>
          <w:p w:rsidR="00220543" w:rsidRPr="00FE4B1F" w:rsidRDefault="00220543" w:rsidP="00220543">
            <w:r w:rsidRPr="00FE4B1F">
              <w:t>Dismantle structural obstacles with specific Root Cause Analysis (RCA) training for local personnel, enabling them to conduct proper investigations.</w:t>
            </w:r>
          </w:p>
        </w:tc>
      </w:tr>
      <w:tr w:rsidR="00220543" w:rsidRPr="00FE4B1F" w:rsidTr="00B7478D">
        <w:tc>
          <w:tcPr>
            <w:tcW w:w="0" w:type="auto"/>
            <w:hideMark/>
          </w:tcPr>
          <w:p w:rsidR="00220543" w:rsidRPr="00FE4B1F" w:rsidRDefault="00220543" w:rsidP="00220543">
            <w:pPr>
              <w:jc w:val="left"/>
            </w:pPr>
            <w:r w:rsidRPr="00FE4B1F">
              <w:rPr>
                <w:b/>
                <w:bCs/>
              </w:rPr>
              <w:t>6. Short-Term Wins</w:t>
            </w:r>
          </w:p>
        </w:tc>
        <w:tc>
          <w:tcPr>
            <w:tcW w:w="0" w:type="auto"/>
            <w:hideMark/>
          </w:tcPr>
          <w:p w:rsidR="00220543" w:rsidRPr="00FE4B1F" w:rsidRDefault="00220543" w:rsidP="00220543">
            <w:r w:rsidRPr="00FE4B1F">
              <w:t>Achieve and celebrate measurable wins in initial ward pilot to create momentum and demonstrate viability of system.</w:t>
            </w:r>
          </w:p>
        </w:tc>
      </w:tr>
      <w:tr w:rsidR="00220543" w:rsidRPr="00FE4B1F" w:rsidTr="00B7478D">
        <w:tc>
          <w:tcPr>
            <w:tcW w:w="0" w:type="auto"/>
            <w:hideMark/>
          </w:tcPr>
          <w:p w:rsidR="00220543" w:rsidRPr="00FE4B1F" w:rsidRDefault="00220543" w:rsidP="00220543">
            <w:pPr>
              <w:jc w:val="left"/>
            </w:pPr>
            <w:r w:rsidRPr="00FE4B1F">
              <w:rPr>
                <w:b/>
                <w:bCs/>
              </w:rPr>
              <w:t>7. Consolidate Gains</w:t>
            </w:r>
          </w:p>
        </w:tc>
        <w:tc>
          <w:tcPr>
            <w:tcW w:w="0" w:type="auto"/>
            <w:hideMark/>
          </w:tcPr>
          <w:p w:rsidR="00220543" w:rsidRPr="00FE4B1F" w:rsidRDefault="00220543" w:rsidP="00220543">
            <w:r w:rsidRPr="00FE4B1F">
              <w:t>Apply this credibility, from the pilot, to roll out automated triage and detailed investigations in all the Trust departments.</w:t>
            </w:r>
          </w:p>
        </w:tc>
      </w:tr>
      <w:tr w:rsidR="00220543" w:rsidRPr="00FE4B1F" w:rsidTr="00B7478D">
        <w:tc>
          <w:tcPr>
            <w:tcW w:w="0" w:type="auto"/>
            <w:hideMark/>
          </w:tcPr>
          <w:p w:rsidR="00220543" w:rsidRPr="00FE4B1F" w:rsidRDefault="00220543" w:rsidP="00220543">
            <w:pPr>
              <w:jc w:val="left"/>
            </w:pPr>
            <w:r w:rsidRPr="00FE4B1F">
              <w:rPr>
                <w:b/>
                <w:bCs/>
              </w:rPr>
              <w:t>8. Anchor in Culture</w:t>
            </w:r>
          </w:p>
        </w:tc>
        <w:tc>
          <w:tcPr>
            <w:tcW w:w="0" w:type="auto"/>
            <w:hideMark/>
          </w:tcPr>
          <w:p w:rsidR="00220543" w:rsidRPr="00FE4B1F" w:rsidRDefault="00220543" w:rsidP="00220543">
            <w:r w:rsidRPr="00FE4B1F">
              <w:t>Integrate this proactive patient safety culture into the day to day business, and into mandated Trust policy to stop it sliding back.</w:t>
            </w:r>
          </w:p>
        </w:tc>
      </w:tr>
    </w:tbl>
    <w:p w:rsidR="000740BD" w:rsidRPr="00FE4B1F" w:rsidRDefault="00C723C7" w:rsidP="00266A85">
      <w:pPr>
        <w:pStyle w:val="Heading1"/>
      </w:pPr>
      <w:bookmarkStart w:id="11" w:name="_Toc235484994"/>
      <w:r w:rsidRPr="00FE4B1F">
        <w:t>3. Recommendations</w:t>
      </w:r>
      <w:bookmarkEnd w:id="11"/>
    </w:p>
    <w:p w:rsidR="00D36A28" w:rsidRPr="00FE4B1F" w:rsidRDefault="00C723C7" w:rsidP="00D36A28">
      <w:r w:rsidRPr="00FE4B1F">
        <w:t>Base</w:t>
      </w:r>
      <w:r w:rsidRPr="00FE4B1F">
        <w:t>d on the evidence presented in Section 2, the following solutions are recommended for the management of systemic governance failure, defensive culture and poor investigative fidelity in Southern Health NHS Foundation Trust:</w:t>
      </w:r>
    </w:p>
    <w:p w:rsidR="00D36A28" w:rsidRPr="00FE4B1F" w:rsidRDefault="00E904D0" w:rsidP="00E904D0">
      <w:pPr>
        <w:pStyle w:val="Heading2"/>
      </w:pPr>
      <w:bookmarkStart w:id="12" w:name="_Toc235484995"/>
      <w:r w:rsidRPr="00FE4B1F">
        <w:lastRenderedPageBreak/>
        <w:t>3.1 Centralise and Professionalize Mortality Investigations</w:t>
      </w:r>
      <w:bookmarkEnd w:id="12"/>
    </w:p>
    <w:p w:rsidR="00D36A28" w:rsidRPr="00FE4B1F" w:rsidRDefault="00C723C7" w:rsidP="00D36A28">
      <w:r w:rsidRPr="00FE4B1F">
        <w:t>The Trust will have to give up its very decentralised approach to dealing with over 110 untrained local investigators of serious incidents. Rather, an independent dedicated Corporate Mortality Review Board should be</w:t>
      </w:r>
      <w:r w:rsidRPr="00FE4B1F">
        <w:t xml:space="preserve"> appointed to the Trust. This board should be filled with individuals who have formal Human Factors training and expertise in advanced Root Cause Analysis (RCA)(Groot</w:t>
      </w:r>
      <w:r w:rsidR="004B6204" w:rsidRPr="00FE4B1F">
        <w:t xml:space="preserve"> et al.</w:t>
      </w:r>
      <w:r w:rsidRPr="00FE4B1F">
        <w:t>, 202</w:t>
      </w:r>
      <w:r w:rsidR="004B6204" w:rsidRPr="00FE4B1F">
        <w:t>5</w:t>
      </w:r>
      <w:r w:rsidRPr="00FE4B1F">
        <w:t>). A centralised investigation process creates objective quality reviews that</w:t>
      </w:r>
      <w:r w:rsidRPr="00FE4B1F">
        <w:t xml:space="preserve"> have fidelity, are standardised, and free from local area panel bias or defensive minimisation (Tsamasiotis et al., 2024).</w:t>
      </w:r>
    </w:p>
    <w:p w:rsidR="00D36A28" w:rsidRPr="00FE4B1F" w:rsidRDefault="00E904D0" w:rsidP="00E904D0">
      <w:pPr>
        <w:pStyle w:val="Heading2"/>
      </w:pPr>
      <w:bookmarkStart w:id="13" w:name="_Toc235484996"/>
      <w:r w:rsidRPr="00FE4B1F">
        <w:t>3.2 Implement a Mandatory Family Integration Framework</w:t>
      </w:r>
      <w:bookmarkEnd w:id="13"/>
    </w:p>
    <w:p w:rsidR="00D36A28" w:rsidRPr="00FE4B1F" w:rsidRDefault="00C723C7" w:rsidP="00D36A28">
      <w:r w:rsidRPr="00FE4B1F">
        <w:t>The Trust has a strict 'Duty of Candour' and Family Engagement Protocol to re</w:t>
      </w:r>
      <w:r w:rsidRPr="00FE4B1F">
        <w:t>ctify the unacceptable exclusion of families from 64% of investigations. The best practices in quality healthcare care require that bereaved families be seen not only as peripheral parties but, equally, as central partners in the investigations, with the p</w:t>
      </w:r>
      <w:r w:rsidRPr="00FE4B1F">
        <w:t>ossibility of a unique longitudinal picture of the patient's care pathway. Formal closure should be taken / planned if family is not contacted despite no exceptional documented reasons.</w:t>
      </w:r>
    </w:p>
    <w:p w:rsidR="00D36A28" w:rsidRPr="00FE4B1F" w:rsidRDefault="00E904D0" w:rsidP="00E904D0">
      <w:pPr>
        <w:pStyle w:val="Heading2"/>
      </w:pPr>
      <w:bookmarkStart w:id="14" w:name="_Toc235484997"/>
      <w:r w:rsidRPr="00FE4B1F">
        <w:t>3.3 Automate Incident Triage for Vulnerable Demographics</w:t>
      </w:r>
      <w:bookmarkEnd w:id="14"/>
    </w:p>
    <w:p w:rsidR="000740BD" w:rsidRPr="00FE4B1F" w:rsidRDefault="00C723C7" w:rsidP="00D36A28">
      <w:r w:rsidRPr="00FE4B1F">
        <w:t>This means th</w:t>
      </w:r>
      <w:r w:rsidRPr="00FE4B1F">
        <w:t>e need for a revamped Ulysses risk management system to stop middle managers' discretionary downgrade of incidents, under the Trust. The system should be updated to automatically alert to executive to any unexpected death of a Learning Disability (LD) pati</w:t>
      </w:r>
      <w:r w:rsidRPr="00FE4B1F">
        <w:t>ent or an Older People Mental Health (OPMH) patient, that can't be ignored (</w:t>
      </w:r>
      <w:r w:rsidR="00E304D8" w:rsidRPr="00FE4B1F">
        <w:t>Simms-Ellis</w:t>
      </w:r>
      <w:r w:rsidRPr="00FE4B1F">
        <w:t xml:space="preserve"> et al., 2025). Misinterpretation of the definition of a serious incident (SIRI) by local area panels is part of a process that involves a triage process waste and an av</w:t>
      </w:r>
      <w:r w:rsidRPr="00FE4B1F">
        <w:t>erage reporting journey period lasting 10 months (</w:t>
      </w:r>
      <w:r w:rsidR="00F676DA" w:rsidRPr="00FE4B1F">
        <w:t>El-Haddad et al.</w:t>
      </w:r>
      <w:r w:rsidRPr="00FE4B1F">
        <w:t>, 202</w:t>
      </w:r>
      <w:r w:rsidR="00F676DA" w:rsidRPr="00FE4B1F">
        <w:t>6</w:t>
      </w:r>
      <w:r w:rsidRPr="00FE4B1F">
        <w:t>) and yet being reported correctly and immediately, in the case of the Trust, in real-time.</w:t>
      </w:r>
    </w:p>
    <w:p w:rsidR="003F4CCD" w:rsidRPr="00FE4B1F" w:rsidRDefault="003F4CCD" w:rsidP="003F4CCD">
      <w:pPr>
        <w:pStyle w:val="Heading2"/>
      </w:pPr>
      <w:bookmarkStart w:id="15" w:name="_Toc235484998"/>
      <w:r w:rsidRPr="00FE4B1F">
        <w:lastRenderedPageBreak/>
        <w:t>3.4 Benchmark Table - Before vs After</w:t>
      </w:r>
      <w:bookmarkEnd w:id="15"/>
    </w:p>
    <w:tbl>
      <w:tblPr>
        <w:tblStyle w:val="GridTable4"/>
        <w:tblW w:w="0" w:type="auto"/>
        <w:tblLook w:val="04A0"/>
      </w:tblPr>
      <w:tblGrid>
        <w:gridCol w:w="1839"/>
        <w:gridCol w:w="3495"/>
        <w:gridCol w:w="3908"/>
      </w:tblGrid>
      <w:tr w:rsidR="003F4CCD" w:rsidRPr="00FE4B1F" w:rsidTr="003F4CCD">
        <w:trPr>
          <w:cnfStyle w:val="100000000000"/>
        </w:trPr>
        <w:tc>
          <w:tcPr>
            <w:cnfStyle w:val="001000000000"/>
            <w:tcW w:w="0" w:type="auto"/>
            <w:hideMark/>
          </w:tcPr>
          <w:p w:rsidR="003F4CCD" w:rsidRPr="00FE4B1F" w:rsidRDefault="003F4CCD" w:rsidP="003F4CCD">
            <w:pPr>
              <w:spacing w:line="276" w:lineRule="auto"/>
            </w:pPr>
            <w:r w:rsidRPr="00FE4B1F">
              <w:t>Performance Metric</w:t>
            </w:r>
          </w:p>
        </w:tc>
        <w:tc>
          <w:tcPr>
            <w:tcW w:w="0" w:type="auto"/>
            <w:hideMark/>
          </w:tcPr>
          <w:p w:rsidR="003F4CCD" w:rsidRPr="00FE4B1F" w:rsidRDefault="003F4CCD" w:rsidP="003F4CCD">
            <w:pPr>
              <w:spacing w:line="276" w:lineRule="auto"/>
              <w:cnfStyle w:val="100000000000"/>
            </w:pPr>
            <w:r w:rsidRPr="00FE4B1F">
              <w:t>Before Implementation (Current State)</w:t>
            </w:r>
          </w:p>
        </w:tc>
        <w:tc>
          <w:tcPr>
            <w:tcW w:w="0" w:type="auto"/>
            <w:hideMark/>
          </w:tcPr>
          <w:p w:rsidR="003F4CCD" w:rsidRPr="00FE4B1F" w:rsidRDefault="003F4CCD" w:rsidP="003F4CCD">
            <w:pPr>
              <w:spacing w:line="276" w:lineRule="auto"/>
              <w:cnfStyle w:val="100000000000"/>
            </w:pPr>
            <w:r w:rsidRPr="00FE4B1F">
              <w:t>After Implementation (Target Benchmark)</w:t>
            </w:r>
          </w:p>
        </w:tc>
      </w:tr>
      <w:tr w:rsidR="00EF79CC" w:rsidRPr="00FE4B1F" w:rsidTr="003F4CCD">
        <w:trPr>
          <w:cnfStyle w:val="000000100000"/>
        </w:trPr>
        <w:tc>
          <w:tcPr>
            <w:cnfStyle w:val="001000000000"/>
            <w:tcW w:w="0" w:type="auto"/>
            <w:hideMark/>
          </w:tcPr>
          <w:p w:rsidR="00EF79CC" w:rsidRPr="00FE4B1F" w:rsidRDefault="00EF79CC" w:rsidP="00EF79CC">
            <w:pPr>
              <w:spacing w:line="276" w:lineRule="auto"/>
            </w:pPr>
            <w:r w:rsidRPr="00FE4B1F">
              <w:t>Investigation Timeframe</w:t>
            </w:r>
          </w:p>
        </w:tc>
        <w:tc>
          <w:tcPr>
            <w:tcW w:w="0" w:type="auto"/>
            <w:hideMark/>
          </w:tcPr>
          <w:p w:rsidR="00EF79CC" w:rsidRPr="00FE4B1F" w:rsidRDefault="00EF79CC" w:rsidP="00EF79CC">
            <w:pPr>
              <w:spacing w:line="276" w:lineRule="auto"/>
              <w:cnfStyle w:val="000000100000"/>
            </w:pPr>
            <w:r w:rsidRPr="00FE4B1F">
              <w:t xml:space="preserve">10-month delay in closing CCG panels on average. </w:t>
            </w:r>
          </w:p>
        </w:tc>
        <w:tc>
          <w:tcPr>
            <w:tcW w:w="0" w:type="auto"/>
            <w:hideMark/>
          </w:tcPr>
          <w:p w:rsidR="00EF79CC" w:rsidRPr="00FE4B1F" w:rsidRDefault="00EF79CC" w:rsidP="00EF79CC">
            <w:pPr>
              <w:spacing w:line="276" w:lineRule="auto"/>
              <w:cnfStyle w:val="000000100000"/>
            </w:pPr>
            <w:r w:rsidRPr="00FE4B1F">
              <w:t xml:space="preserve">Implementing the 45-day investigation national obligation. </w:t>
            </w:r>
          </w:p>
        </w:tc>
      </w:tr>
      <w:tr w:rsidR="00EF79CC" w:rsidRPr="00FE4B1F" w:rsidTr="003F4CCD">
        <w:tc>
          <w:tcPr>
            <w:cnfStyle w:val="001000000000"/>
            <w:tcW w:w="0" w:type="auto"/>
            <w:hideMark/>
          </w:tcPr>
          <w:p w:rsidR="00EF79CC" w:rsidRPr="00FE4B1F" w:rsidRDefault="00EF79CC" w:rsidP="00EF79CC">
            <w:pPr>
              <w:spacing w:line="276" w:lineRule="auto"/>
            </w:pPr>
            <w:r w:rsidRPr="00FE4B1F">
              <w:t>Family Involvement</w:t>
            </w:r>
          </w:p>
        </w:tc>
        <w:tc>
          <w:tcPr>
            <w:tcW w:w="0" w:type="auto"/>
            <w:hideMark/>
          </w:tcPr>
          <w:p w:rsidR="00EF79CC" w:rsidRPr="00FE4B1F" w:rsidRDefault="00EF79CC" w:rsidP="00EF79CC">
            <w:pPr>
              <w:spacing w:line="276" w:lineRule="auto"/>
              <w:cnfStyle w:val="000000000000"/>
            </w:pPr>
            <w:r w:rsidRPr="00FE4B1F">
              <w:t xml:space="preserve">64% of investigations failed completely to involve the family of deceased patients. </w:t>
            </w:r>
          </w:p>
        </w:tc>
        <w:tc>
          <w:tcPr>
            <w:tcW w:w="0" w:type="auto"/>
            <w:hideMark/>
          </w:tcPr>
          <w:p w:rsidR="00EF79CC" w:rsidRPr="00FE4B1F" w:rsidRDefault="00EF79CC" w:rsidP="00EF79CC">
            <w:pPr>
              <w:spacing w:line="276" w:lineRule="auto"/>
              <w:cnfStyle w:val="000000000000"/>
            </w:pPr>
            <w:r w:rsidRPr="00FE4B1F">
              <w:t xml:space="preserve">100% tried to engage family using Mandatory Family Protocol. </w:t>
            </w:r>
          </w:p>
        </w:tc>
      </w:tr>
      <w:tr w:rsidR="00EF79CC" w:rsidRPr="00FE4B1F" w:rsidTr="003F4CCD">
        <w:trPr>
          <w:cnfStyle w:val="000000100000"/>
        </w:trPr>
        <w:tc>
          <w:tcPr>
            <w:cnfStyle w:val="001000000000"/>
            <w:tcW w:w="0" w:type="auto"/>
            <w:hideMark/>
          </w:tcPr>
          <w:p w:rsidR="00EF79CC" w:rsidRPr="00FE4B1F" w:rsidRDefault="00EF79CC" w:rsidP="00EF79CC">
            <w:pPr>
              <w:spacing w:line="276" w:lineRule="auto"/>
            </w:pPr>
            <w:r w:rsidRPr="00FE4B1F">
              <w:t>Vulnerable Death Triage</w:t>
            </w:r>
          </w:p>
        </w:tc>
        <w:tc>
          <w:tcPr>
            <w:tcW w:w="0" w:type="auto"/>
            <w:hideMark/>
          </w:tcPr>
          <w:p w:rsidR="00EF79CC" w:rsidRPr="00FE4B1F" w:rsidRDefault="00EF79CC" w:rsidP="00EF79CC">
            <w:pPr>
              <w:spacing w:line="276" w:lineRule="auto"/>
              <w:cnfStyle w:val="000000100000"/>
            </w:pPr>
            <w:r w:rsidRPr="00FE4B1F">
              <w:t xml:space="preserve">The percentage of unexpected deaths in LD progression to a formal SIRI was less than 1%. </w:t>
            </w:r>
          </w:p>
        </w:tc>
        <w:tc>
          <w:tcPr>
            <w:tcW w:w="0" w:type="auto"/>
            <w:hideMark/>
          </w:tcPr>
          <w:p w:rsidR="00EF79CC" w:rsidRPr="00FE4B1F" w:rsidRDefault="00EF79CC" w:rsidP="00EF79CC">
            <w:pPr>
              <w:spacing w:line="276" w:lineRule="auto"/>
              <w:cnfStyle w:val="000000100000"/>
            </w:pPr>
            <w:r w:rsidRPr="00FE4B1F">
              <w:t xml:space="preserve">For all unexpected deaths the LD/OPMH Executive Alerts were automatically triggered with a100% return rate. </w:t>
            </w:r>
          </w:p>
        </w:tc>
      </w:tr>
      <w:tr w:rsidR="00EF79CC" w:rsidRPr="00FE4B1F" w:rsidTr="003F4CCD">
        <w:tc>
          <w:tcPr>
            <w:cnfStyle w:val="001000000000"/>
            <w:tcW w:w="0" w:type="auto"/>
            <w:hideMark/>
          </w:tcPr>
          <w:p w:rsidR="00EF79CC" w:rsidRPr="00FE4B1F" w:rsidRDefault="00EF79CC" w:rsidP="00EF79CC">
            <w:pPr>
              <w:spacing w:line="276" w:lineRule="auto"/>
            </w:pPr>
            <w:r w:rsidRPr="00FE4B1F">
              <w:t>Investigation Quality</w:t>
            </w:r>
          </w:p>
        </w:tc>
        <w:tc>
          <w:tcPr>
            <w:tcW w:w="0" w:type="auto"/>
            <w:hideMark/>
          </w:tcPr>
          <w:p w:rsidR="00EF79CC" w:rsidRPr="00FE4B1F" w:rsidRDefault="00EF79CC" w:rsidP="00EF79CC">
            <w:pPr>
              <w:spacing w:line="276" w:lineRule="auto"/>
              <w:cnfStyle w:val="000000000000"/>
            </w:pPr>
            <w:r w:rsidRPr="00FE4B1F">
              <w:t xml:space="preserve">More than 110 diverse local, mostly untrained investigators was used. </w:t>
            </w:r>
          </w:p>
        </w:tc>
        <w:tc>
          <w:tcPr>
            <w:tcW w:w="0" w:type="auto"/>
            <w:hideMark/>
          </w:tcPr>
          <w:p w:rsidR="00EF79CC" w:rsidRPr="00FE4B1F" w:rsidRDefault="00EF79CC" w:rsidP="00EF79CC">
            <w:pPr>
              <w:spacing w:line="276" w:lineRule="auto"/>
              <w:cnfStyle w:val="000000000000"/>
            </w:pPr>
            <w:r w:rsidRPr="00FE4B1F">
              <w:t xml:space="preserve">1 Corporate Mortality Review Board with RCA training (Centralised) </w:t>
            </w:r>
          </w:p>
        </w:tc>
      </w:tr>
    </w:tbl>
    <w:p w:rsidR="000740BD" w:rsidRPr="00FE4B1F" w:rsidRDefault="00C723C7" w:rsidP="00C241E8">
      <w:pPr>
        <w:pStyle w:val="Heading1"/>
      </w:pPr>
      <w:bookmarkStart w:id="16" w:name="_Toc235484999"/>
      <w:r w:rsidRPr="00FE4B1F">
        <w:t>4. Conclusion</w:t>
      </w:r>
      <w:bookmarkEnd w:id="16"/>
    </w:p>
    <w:p w:rsidR="00AD5C46" w:rsidRPr="00FE4B1F" w:rsidRDefault="00C723C7" w:rsidP="00AD5C46">
      <w:r w:rsidRPr="00FE4B1F">
        <w:rPr>
          <w:b/>
          <w:bCs/>
        </w:rPr>
        <w:t>Summary of Findings</w:t>
      </w:r>
    </w:p>
    <w:p w:rsidR="00AD5C46" w:rsidRPr="00FE4B1F" w:rsidRDefault="00C723C7" w:rsidP="00AD5C46">
      <w:r w:rsidRPr="00FE4B1F">
        <w:t xml:space="preserve">The detailed review of Southern Health NHS Foundation Trust identified significant deficits in systems and processes of clinical governance and patient. </w:t>
      </w:r>
      <w:r w:rsidRPr="00FE4B1F">
        <w:t>The main reasons were identified using the 5 Whys and the Donabedian model and were rooted in a defensive culture, a process of local investigations with local staff and a critical lack of executive supervision in mortality data. This resulted in significa</w:t>
      </w:r>
      <w:r w:rsidRPr="00FE4B1F">
        <w:t>nt attrition in incident reporting, especially concerning patients with Learning Disability (LD) and patients with Older People Mental Health (OPMH), whose sudden death was often overlooked and not investigated.</w:t>
      </w:r>
    </w:p>
    <w:p w:rsidR="00AD5C46" w:rsidRPr="00FE4B1F" w:rsidRDefault="00C723C7" w:rsidP="00C241E8">
      <w:r w:rsidRPr="00FE4B1F">
        <w:rPr>
          <w:b/>
          <w:bCs/>
        </w:rPr>
        <w:t>Impact Statement</w:t>
      </w:r>
    </w:p>
    <w:p w:rsidR="00D74549" w:rsidRPr="00FE4B1F" w:rsidRDefault="00C723C7" w:rsidP="00C241E8">
      <w:r w:rsidRPr="00FE4B1F">
        <w:lastRenderedPageBreak/>
        <w:t>The governance barriers wil</w:t>
      </w:r>
      <w:r w:rsidRPr="00FE4B1F">
        <w:t>l be progressively eliminated through the proposed quality improvement strategies. An independent and centralised Corporate Mortality Review Board (CMRB</w:t>
      </w:r>
      <w:r w:rsidR="008310D8" w:rsidRPr="00FE4B1F">
        <w:t xml:space="preserve">) </w:t>
      </w:r>
      <w:r w:rsidRPr="00FE4B1F">
        <w:t>and the automated Ulysses triage system based on the Plan-Do-Study-Act (PDSA) cycle eliminates the dis</w:t>
      </w:r>
      <w:r w:rsidRPr="00FE4B1F">
        <w:t xml:space="preserve">cretionary </w:t>
      </w:r>
      <w:r w:rsidR="008310D8" w:rsidRPr="00FE4B1F">
        <w:t>downgrade and</w:t>
      </w:r>
      <w:r w:rsidRPr="00FE4B1F">
        <w:t xml:space="preserve"> provides instant executive visibility of vulnerable patient deaths. In addition, a compulsory Family Engagement Protocol helps to stand away from a dark history of incident opaque practices that alienated bereaved relatives by inte</w:t>
      </w:r>
      <w:r w:rsidRPr="00FE4B1F">
        <w:t>grating restorative and inclusive practices into the work of incident reviews. Ensuring the application of targeted, repeatable Root Cause Analysis in the daily operations of the Trust will help to move beyond an environment of "organised irresponsibility"</w:t>
      </w:r>
      <w:r w:rsidRPr="00FE4B1F">
        <w:t xml:space="preserve"> towards one that is truly transparent, psychologically safe and accountable.</w:t>
      </w:r>
    </w:p>
    <w:p w:rsidR="00D74549" w:rsidRPr="00FE4B1F" w:rsidRDefault="00C723C7">
      <w:pPr>
        <w:spacing w:line="259" w:lineRule="auto"/>
        <w:jc w:val="left"/>
      </w:pPr>
      <w:r w:rsidRPr="00FE4B1F">
        <w:br w:type="page"/>
      </w:r>
    </w:p>
    <w:p w:rsidR="0004104F" w:rsidRPr="00FE4B1F" w:rsidRDefault="00C723C7" w:rsidP="00D74549">
      <w:pPr>
        <w:pStyle w:val="Heading1"/>
      </w:pPr>
      <w:bookmarkStart w:id="17" w:name="_Toc235485000"/>
      <w:r w:rsidRPr="00FE4B1F">
        <w:lastRenderedPageBreak/>
        <w:t>Reference List</w:t>
      </w:r>
      <w:bookmarkEnd w:id="17"/>
    </w:p>
    <w:p w:rsidR="00951E6C" w:rsidRPr="00FE4B1F" w:rsidRDefault="00951E6C" w:rsidP="00E16AE4">
      <w:r w:rsidRPr="00FE4B1F">
        <w:t>Agius, S., Cassar, V., Bezzina, F., and Topham, L. (2025). Leveraging digital technologies to enhance patient safety. </w:t>
      </w:r>
      <w:r w:rsidRPr="00FE4B1F">
        <w:rPr>
          <w:i/>
          <w:iCs/>
        </w:rPr>
        <w:t>Health and Technology</w:t>
      </w:r>
      <w:r w:rsidRPr="00FE4B1F">
        <w:t>, </w:t>
      </w:r>
      <w:r w:rsidRPr="00FE4B1F">
        <w:rPr>
          <w:i/>
          <w:iCs/>
        </w:rPr>
        <w:t>15</w:t>
      </w:r>
      <w:r w:rsidRPr="00FE4B1F">
        <w:t xml:space="preserve">(6), 1053-1063. </w:t>
      </w:r>
      <w:hyperlink r:id="rId14" w:history="1">
        <w:r w:rsidRPr="00FE4B1F">
          <w:rPr>
            <w:rStyle w:val="Hyperlink"/>
          </w:rPr>
          <w:t>https://link.springer.com/content/pdf/10.1007/s12553-025-01001-6.pdf</w:t>
        </w:r>
      </w:hyperlink>
    </w:p>
    <w:p w:rsidR="00951E6C" w:rsidRPr="00FE4B1F" w:rsidRDefault="00951E6C" w:rsidP="00E16AE4">
      <w:r w:rsidRPr="00FE4B1F">
        <w:t>Almohaisen, N. A., Alsayari, N. M., Abid, M. H., Al Subhi, N. F., Al Masoudi, A., AlGhazali, O. S., and Woodman, A. (2023). Improving patient experience by implementing an organisational culture model. </w:t>
      </w:r>
      <w:r w:rsidRPr="00FE4B1F">
        <w:rPr>
          <w:i/>
          <w:iCs/>
        </w:rPr>
        <w:t>BMJ Open Quality</w:t>
      </w:r>
      <w:r w:rsidRPr="00FE4B1F">
        <w:t>, </w:t>
      </w:r>
      <w:r w:rsidRPr="00FE4B1F">
        <w:rPr>
          <w:i/>
          <w:iCs/>
        </w:rPr>
        <w:t>12</w:t>
      </w:r>
      <w:r w:rsidRPr="00FE4B1F">
        <w:t xml:space="preserve">(2). </w:t>
      </w:r>
      <w:hyperlink r:id="rId15" w:history="1">
        <w:r w:rsidRPr="00FE4B1F">
          <w:rPr>
            <w:rStyle w:val="Hyperlink"/>
          </w:rPr>
          <w:t>https://bmjopenquality.bmj.com/content/bmjqir/12/2/e002076.full.pdf?trk=public_post_comment-text</w:t>
        </w:r>
      </w:hyperlink>
    </w:p>
    <w:p w:rsidR="00951E6C" w:rsidRPr="00FE4B1F" w:rsidRDefault="00951E6C" w:rsidP="00D74549">
      <w:r w:rsidRPr="00FE4B1F">
        <w:t xml:space="preserve">Baker, D., Norris, D., Newman, L., and Cherneva, V. (2023). Organisational learning, or organised irresponsibility? Risk, opacity and lesson learning about mental health related deaths. </w:t>
      </w:r>
      <w:r w:rsidRPr="00FE4B1F">
        <w:rPr>
          <w:i/>
          <w:iCs/>
        </w:rPr>
        <w:t>Health, Risk &amp; Society</w:t>
      </w:r>
      <w:r w:rsidRPr="00FE4B1F">
        <w:t xml:space="preserve">, </w:t>
      </w:r>
      <w:r w:rsidRPr="00FE4B1F">
        <w:rPr>
          <w:i/>
          <w:iCs/>
        </w:rPr>
        <w:t>25</w:t>
      </w:r>
      <w:r w:rsidRPr="00FE4B1F">
        <w:t xml:space="preserve">, 268-284. </w:t>
      </w:r>
      <w:hyperlink r:id="rId16" w:history="1">
        <w:r w:rsidRPr="00FE4B1F">
          <w:rPr>
            <w:rStyle w:val="Hyperlink"/>
          </w:rPr>
          <w:t>https://www.tandfonline.com/doi/pdf/10.1080/13698575.2023.2201292</w:t>
        </w:r>
      </w:hyperlink>
    </w:p>
    <w:p w:rsidR="00951E6C" w:rsidRPr="00FE4B1F" w:rsidRDefault="00951E6C" w:rsidP="00D74549">
      <w:r w:rsidRPr="00FE4B1F">
        <w:t>Barrell, A. M., Johnson, L., Dehn Lunn, A., and Ford, J. A. (2024). Do primary care quality improvement frameworks consider equity?.</w:t>
      </w:r>
      <w:r w:rsidRPr="00FE4B1F">
        <w:rPr>
          <w:i/>
          <w:iCs/>
        </w:rPr>
        <w:t>BMJ Open Quality</w:t>
      </w:r>
      <w:r w:rsidRPr="00FE4B1F">
        <w:t xml:space="preserve">, </w:t>
      </w:r>
      <w:r w:rsidRPr="00FE4B1F">
        <w:rPr>
          <w:i/>
          <w:iCs/>
        </w:rPr>
        <w:t>13</w:t>
      </w:r>
      <w:r w:rsidRPr="00FE4B1F">
        <w:t xml:space="preserve">(3), e002839. </w:t>
      </w:r>
      <w:hyperlink r:id="rId17" w:history="1">
        <w:r w:rsidRPr="00FE4B1F">
          <w:rPr>
            <w:rStyle w:val="Hyperlink"/>
          </w:rPr>
          <w:t>https://bmjopenquality.bmj.com/content/bmjqir/13/3/e002839.full.pdf</w:t>
        </w:r>
      </w:hyperlink>
    </w:p>
    <w:p w:rsidR="00951E6C" w:rsidRPr="00FE4B1F" w:rsidRDefault="00951E6C" w:rsidP="00D74549">
      <w:r w:rsidRPr="00FE4B1F">
        <w:t xml:space="preserve">Brummell, Z., Braun, D., Hussein, Z., Moonesinghe, S. R., and Vindrola-Padros, C. (2023). National statutory reporting: not even ticking the boxes? The quality of ‘Learning from Deaths’ reporting in quality accounts within the NHS in England 2017–2020. </w:t>
      </w:r>
      <w:r w:rsidRPr="00FE4B1F">
        <w:rPr>
          <w:i/>
          <w:iCs/>
        </w:rPr>
        <w:t>BMJ Open Quality</w:t>
      </w:r>
      <w:r w:rsidRPr="00FE4B1F">
        <w:t xml:space="preserve">, </w:t>
      </w:r>
      <w:r w:rsidRPr="00FE4B1F">
        <w:rPr>
          <w:i/>
          <w:iCs/>
        </w:rPr>
        <w:t>12</w:t>
      </w:r>
      <w:r w:rsidRPr="00FE4B1F">
        <w:t xml:space="preserve">, e002092. </w:t>
      </w:r>
      <w:hyperlink r:id="rId18" w:history="1">
        <w:r w:rsidRPr="00FE4B1F">
          <w:rPr>
            <w:rStyle w:val="Hyperlink"/>
          </w:rPr>
          <w:t>https://bmjopenquality.bmj.com/content/bmjqir/12/1/e002092.full.pdf</w:t>
        </w:r>
      </w:hyperlink>
    </w:p>
    <w:p w:rsidR="00951E6C" w:rsidRPr="00FE4B1F" w:rsidRDefault="00951E6C" w:rsidP="00E16AE4">
      <w:r w:rsidRPr="00FE4B1F">
        <w:t>Dimitropoulos, G., Lindenbach, D., Potestio, M., Mogan, T., Richardson, A., Anderson, A., ... and Arnold, P. D. (2024). Using a rapid learning health system for stratified care in emerging adult mental health services: protocol for the implementation of patient-reported outcome measures. </w:t>
      </w:r>
      <w:r w:rsidRPr="00FE4B1F">
        <w:rPr>
          <w:i/>
          <w:iCs/>
        </w:rPr>
        <w:t>JMIR Research Protocols</w:t>
      </w:r>
      <w:r w:rsidRPr="00FE4B1F">
        <w:t>, </w:t>
      </w:r>
      <w:r w:rsidRPr="00FE4B1F">
        <w:rPr>
          <w:i/>
          <w:iCs/>
        </w:rPr>
        <w:t>13</w:t>
      </w:r>
      <w:r w:rsidRPr="00FE4B1F">
        <w:t xml:space="preserve">(1), e51667. </w:t>
      </w:r>
      <w:hyperlink r:id="rId19" w:history="1">
        <w:r w:rsidRPr="00FE4B1F">
          <w:rPr>
            <w:rStyle w:val="Hyperlink"/>
          </w:rPr>
          <w:t>https://www.researchprotocols.org/2024/1/e51667</w:t>
        </w:r>
      </w:hyperlink>
    </w:p>
    <w:p w:rsidR="00951E6C" w:rsidRPr="00FE4B1F" w:rsidRDefault="00951E6C" w:rsidP="00E16AE4">
      <w:r w:rsidRPr="00FE4B1F">
        <w:t xml:space="preserve">El-Haddad, G., Gardner, L., Kim, H., and Soares, H. P. (2026). Occurrence and Management of Acute, Subacute, and Delayed Toxicities in Patients with GEP-NETs </w:t>
      </w:r>
      <w:r w:rsidRPr="00FE4B1F">
        <w:lastRenderedPageBreak/>
        <w:t>Following Treatment with Radioligand Therapy. </w:t>
      </w:r>
      <w:r w:rsidRPr="00FE4B1F">
        <w:rPr>
          <w:i/>
          <w:iCs/>
        </w:rPr>
        <w:t>Cancers</w:t>
      </w:r>
      <w:r w:rsidRPr="00FE4B1F">
        <w:t>, </w:t>
      </w:r>
      <w:r w:rsidRPr="00FE4B1F">
        <w:rPr>
          <w:i/>
          <w:iCs/>
        </w:rPr>
        <w:t>18</w:t>
      </w:r>
      <w:r w:rsidRPr="00FE4B1F">
        <w:t xml:space="preserve">(5), 742. </w:t>
      </w:r>
      <w:hyperlink r:id="rId20" w:history="1">
        <w:r w:rsidRPr="00FE4B1F">
          <w:rPr>
            <w:rStyle w:val="Hyperlink"/>
          </w:rPr>
          <w:t>https://pmc.ncbi.nlm.nih.gov/articles/PMC12984351/</w:t>
        </w:r>
      </w:hyperlink>
    </w:p>
    <w:p w:rsidR="00951E6C" w:rsidRPr="00FE4B1F" w:rsidRDefault="00951E6C" w:rsidP="004F7EF0">
      <w:r w:rsidRPr="00FE4B1F">
        <w:t xml:space="preserve">Gromer, T. and Kopp, B. (2020) </w:t>
      </w:r>
      <w:r w:rsidRPr="00FE4B1F">
        <w:rPr>
          <w:i/>
          <w:iCs/>
        </w:rPr>
        <w:t>Figure 3.7: The PDSA cycle (Plan-Do-Study-Act) is a common quality improvement tool used in healthcare</w:t>
      </w:r>
      <w:r w:rsidRPr="00FE4B1F">
        <w:t xml:space="preserve">. Available at: </w:t>
      </w:r>
      <w:hyperlink r:id="rId21" w:tgtFrame="_blank" w:history="1">
        <w:r w:rsidRPr="00FE4B1F">
          <w:rPr>
            <w:rStyle w:val="Hyperlink"/>
          </w:rPr>
          <w:t>https://www.ncbi.nlm.nih.gov/books/NBK566217/figure/ch3.fig7/</w:t>
        </w:r>
      </w:hyperlink>
    </w:p>
    <w:p w:rsidR="00951E6C" w:rsidRPr="00FE4B1F" w:rsidRDefault="00951E6C" w:rsidP="00E16AE4">
      <w:r w:rsidRPr="00FE4B1F">
        <w:t>Groot, W., Meertens, C., and Winkelaar, T. (2025). An empirical model for root cause analysis in the audit profession. </w:t>
      </w:r>
      <w:r w:rsidRPr="00FE4B1F">
        <w:rPr>
          <w:i/>
          <w:iCs/>
        </w:rPr>
        <w:t>Maandbladvoor Accountancy enBedrijfseconomie</w:t>
      </w:r>
      <w:r w:rsidRPr="00FE4B1F">
        <w:t>, </w:t>
      </w:r>
      <w:r w:rsidRPr="00FE4B1F">
        <w:rPr>
          <w:i/>
          <w:iCs/>
        </w:rPr>
        <w:t>99</w:t>
      </w:r>
      <w:r w:rsidRPr="00FE4B1F">
        <w:t xml:space="preserve">(3), 155-161. </w:t>
      </w:r>
      <w:hyperlink r:id="rId22" w:history="1">
        <w:r w:rsidRPr="00FE4B1F">
          <w:rPr>
            <w:rStyle w:val="Hyperlink"/>
          </w:rPr>
          <w:t>https://mab-online.nl/article/148806/download/pdf/</w:t>
        </w:r>
      </w:hyperlink>
    </w:p>
    <w:p w:rsidR="00951E6C" w:rsidRPr="00FE4B1F" w:rsidRDefault="00951E6C" w:rsidP="00E16AE4">
      <w:r w:rsidRPr="00FE4B1F">
        <w:t xml:space="preserve">Harrison, H., Shah, B. K., Khan, F., Batley, C., Re, C., Rossi, S. H., ... and Stewart, G. D. (2025). A systematic review comparing surveillance recommendations for the detection of recurrence following surgery across 16 common cancer types. </w:t>
      </w:r>
      <w:hyperlink r:id="rId23" w:history="1">
        <w:r w:rsidRPr="00FE4B1F">
          <w:rPr>
            <w:rStyle w:val="Hyperlink"/>
          </w:rPr>
          <w:t>https://www.repository.cam.ac.uk/bitstreams/b50aa839-98c1-4df9-a072-a37b6374f374/download</w:t>
        </w:r>
      </w:hyperlink>
    </w:p>
    <w:p w:rsidR="00951E6C" w:rsidRPr="00FE4B1F" w:rsidRDefault="00951E6C" w:rsidP="00D74549">
      <w:r w:rsidRPr="00FE4B1F">
        <w:t xml:space="preserve">Hibbert, P. D., Stewart, S., Wiles, L. K., Braithwaite, J., Runciman, W. B., and Thomas, M. J. W. (2023). Improving patient safety governance and systems through learning from successes and failures: qualitative surveys and interviews with international experts. </w:t>
      </w:r>
      <w:r w:rsidRPr="00FE4B1F">
        <w:rPr>
          <w:i/>
          <w:iCs/>
        </w:rPr>
        <w:t>International Journal for Quality in Health Care</w:t>
      </w:r>
      <w:r w:rsidRPr="00FE4B1F">
        <w:t xml:space="preserve">, </w:t>
      </w:r>
      <w:r w:rsidRPr="00FE4B1F">
        <w:rPr>
          <w:i/>
          <w:iCs/>
        </w:rPr>
        <w:t>35</w:t>
      </w:r>
      <w:r w:rsidRPr="00FE4B1F">
        <w:t xml:space="preserve">, 0-0. </w:t>
      </w:r>
      <w:hyperlink r:id="rId24" w:history="1">
        <w:r w:rsidRPr="00FE4B1F">
          <w:rPr>
            <w:rStyle w:val="Hyperlink"/>
          </w:rPr>
          <w:t>https://pmc.ncbi.nlm.nih.gov/articles/PMC10656601/pdf/mzad088.pdf</w:t>
        </w:r>
      </w:hyperlink>
    </w:p>
    <w:p w:rsidR="00951E6C" w:rsidRPr="00FE4B1F" w:rsidRDefault="00951E6C" w:rsidP="00E16AE4">
      <w:r w:rsidRPr="00FE4B1F">
        <w:t xml:space="preserve">Khan, M. (2025). Relationship between Transformational Leadership and Employees' Psychological Safety. </w:t>
      </w:r>
      <w:hyperlink r:id="rId25" w:history="1">
        <w:r w:rsidRPr="00FE4B1F">
          <w:rPr>
            <w:rStyle w:val="Hyperlink"/>
          </w:rPr>
          <w:t>https://ir.iba.edu.pk/cgi/viewcontent.cgi?article=1362&amp;context=sslace</w:t>
        </w:r>
      </w:hyperlink>
    </w:p>
    <w:p w:rsidR="00951E6C" w:rsidRPr="00FE4B1F" w:rsidRDefault="00951E6C" w:rsidP="00E16AE4">
      <w:r w:rsidRPr="00FE4B1F">
        <w:t>Kislov, R., Harvey, G. and Jones, L., (2021). Boundary organising in healthcare: theoretical perspectives, empirical insights and future prospects. </w:t>
      </w:r>
      <w:r w:rsidRPr="00FE4B1F">
        <w:rPr>
          <w:i/>
          <w:iCs/>
        </w:rPr>
        <w:t>Journal of Health Organization and Management</w:t>
      </w:r>
      <w:r w:rsidRPr="00FE4B1F">
        <w:t>, </w:t>
      </w:r>
      <w:r w:rsidRPr="00FE4B1F">
        <w:rPr>
          <w:i/>
          <w:iCs/>
        </w:rPr>
        <w:t>35</w:t>
      </w:r>
      <w:r w:rsidRPr="00FE4B1F">
        <w:t xml:space="preserve">(2), pp.133-140. </w:t>
      </w:r>
      <w:hyperlink r:id="rId26" w:history="1">
        <w:r w:rsidRPr="00FE4B1F">
          <w:rPr>
            <w:rStyle w:val="Hyperlink"/>
          </w:rPr>
          <w:t>https://research.bangor.ac.uk/files/38400257/OBHC_Editorial_final_submitted.pdf</w:t>
        </w:r>
      </w:hyperlink>
    </w:p>
    <w:p w:rsidR="00951E6C" w:rsidRPr="00FE4B1F" w:rsidRDefault="00951E6C" w:rsidP="00E16AE4">
      <w:r w:rsidRPr="00FE4B1F">
        <w:t>Kynoch, K., Liu, X., Tan, J. Y. B., Teus, J. K., and Ramis, M. A. (2026). Contemporary clinical incident analysis methods used within acute care settings: a scoping review. </w:t>
      </w:r>
      <w:r w:rsidRPr="00FE4B1F">
        <w:rPr>
          <w:i/>
          <w:iCs/>
        </w:rPr>
        <w:t>JBI Evidence Synthesis</w:t>
      </w:r>
      <w:r w:rsidRPr="00FE4B1F">
        <w:t>, </w:t>
      </w:r>
      <w:r w:rsidRPr="00FE4B1F">
        <w:rPr>
          <w:i/>
          <w:iCs/>
        </w:rPr>
        <w:t>24</w:t>
      </w:r>
      <w:r w:rsidRPr="00FE4B1F">
        <w:t xml:space="preserve">(5), 926-971. </w:t>
      </w:r>
      <w:hyperlink r:id="rId27" w:history="1">
        <w:r w:rsidRPr="00FE4B1F">
          <w:rPr>
            <w:rStyle w:val="Hyperlink"/>
          </w:rPr>
          <w:t>https://eprints.qut.edu.au/264188/</w:t>
        </w:r>
      </w:hyperlink>
    </w:p>
    <w:p w:rsidR="00951E6C" w:rsidRPr="00FE4B1F" w:rsidRDefault="00951E6C" w:rsidP="00D74549">
      <w:r w:rsidRPr="00FE4B1F">
        <w:lastRenderedPageBreak/>
        <w:t xml:space="preserve">Lalani, M., Morgan, S., Basu, A., and Hogan, H. (2022). Understanding the factors influencing implementation of a new national patient safety policy in England: Lessons from ‘learning from deaths’. </w:t>
      </w:r>
      <w:r w:rsidRPr="00FE4B1F">
        <w:rPr>
          <w:i/>
          <w:iCs/>
        </w:rPr>
        <w:t>Journal of Health Services Research &amp; Policy</w:t>
      </w:r>
      <w:r w:rsidRPr="00FE4B1F">
        <w:t xml:space="preserve">, </w:t>
      </w:r>
      <w:r w:rsidRPr="00FE4B1F">
        <w:rPr>
          <w:i/>
          <w:iCs/>
        </w:rPr>
        <w:t>28</w:t>
      </w:r>
      <w:r w:rsidRPr="00FE4B1F">
        <w:t xml:space="preserve">, 50-57. </w:t>
      </w:r>
      <w:hyperlink r:id="rId28" w:history="1">
        <w:r w:rsidRPr="00FE4B1F">
          <w:rPr>
            <w:rStyle w:val="Hyperlink"/>
          </w:rPr>
          <w:t>https://journals.sagepub.com/doi/pdf/10.1177/13558196221096921</w:t>
        </w:r>
      </w:hyperlink>
    </w:p>
    <w:p w:rsidR="00951E6C" w:rsidRPr="00FE4B1F" w:rsidRDefault="00951E6C" w:rsidP="00E16AE4">
      <w:r w:rsidRPr="00FE4B1F">
        <w:t>Machen, S. (2023). Thematic reviews of patient safety incidents as a tool for systems thinking: a quality improvement report. </w:t>
      </w:r>
      <w:r w:rsidRPr="00FE4B1F">
        <w:rPr>
          <w:i/>
          <w:iCs/>
        </w:rPr>
        <w:t>BMJ Open Quality</w:t>
      </w:r>
      <w:r w:rsidRPr="00FE4B1F">
        <w:t>, </w:t>
      </w:r>
      <w:r w:rsidRPr="00FE4B1F">
        <w:rPr>
          <w:i/>
          <w:iCs/>
        </w:rPr>
        <w:t>12</w:t>
      </w:r>
      <w:r w:rsidRPr="00FE4B1F">
        <w:t xml:space="preserve">(2). </w:t>
      </w:r>
      <w:hyperlink r:id="rId29" w:history="1">
        <w:r w:rsidRPr="00FE4B1F">
          <w:rPr>
            <w:rStyle w:val="Hyperlink"/>
          </w:rPr>
          <w:t>https://bmjopenquality.bmj.com/content/bmjqir/12/2/e002020.full.pdf</w:t>
        </w:r>
      </w:hyperlink>
    </w:p>
    <w:p w:rsidR="00951E6C" w:rsidRPr="00FE4B1F" w:rsidRDefault="00951E6C" w:rsidP="00E16AE4">
      <w:r w:rsidRPr="00FE4B1F">
        <w:t>Maercker, A., Cloitre, M., Bachem, R., Schlumpf, Y. R., Khoury, B., Hitchcock, C., and Bohus, M. (2022). Complex post-traumatic stress disorder. </w:t>
      </w:r>
      <w:r w:rsidRPr="00FE4B1F">
        <w:rPr>
          <w:i/>
          <w:iCs/>
        </w:rPr>
        <w:t>The lancet</w:t>
      </w:r>
      <w:r w:rsidRPr="00FE4B1F">
        <w:t>, </w:t>
      </w:r>
      <w:r w:rsidRPr="00FE4B1F">
        <w:rPr>
          <w:i/>
          <w:iCs/>
        </w:rPr>
        <w:t>400</w:t>
      </w:r>
      <w:r w:rsidRPr="00FE4B1F">
        <w:t xml:space="preserve">(10345), 60-72. </w:t>
      </w:r>
      <w:hyperlink r:id="rId30" w:history="1">
        <w:r w:rsidRPr="00FE4B1F">
          <w:rPr>
            <w:rStyle w:val="Hyperlink"/>
          </w:rPr>
          <w:t>https://scholarworks.aub.edu.lb/bitstreams/d7d16966-125d-46d7-954c-fe97d620f517/download</w:t>
        </w:r>
      </w:hyperlink>
    </w:p>
    <w:p w:rsidR="00951E6C" w:rsidRPr="00FE4B1F" w:rsidRDefault="00951E6C" w:rsidP="00E16AE4">
      <w:r w:rsidRPr="00FE4B1F">
        <w:t>Manandi, D., Tu, Q., Hafiz, N., Raeside, R., Redfern, J., and Hyun, K. (2023). The evaluation of the Plan–Do–Study–Act cycles for a healthcare quality improvement intervention in primary care. </w:t>
      </w:r>
      <w:r w:rsidRPr="00FE4B1F">
        <w:rPr>
          <w:i/>
          <w:iCs/>
        </w:rPr>
        <w:t>Australian journal of primary health</w:t>
      </w:r>
      <w:r w:rsidRPr="00FE4B1F">
        <w:t>, </w:t>
      </w:r>
      <w:r w:rsidRPr="00FE4B1F">
        <w:rPr>
          <w:i/>
          <w:iCs/>
        </w:rPr>
        <w:t>30</w:t>
      </w:r>
      <w:r w:rsidRPr="00FE4B1F">
        <w:t xml:space="preserve">(1), PY23123. </w:t>
      </w:r>
      <w:hyperlink r:id="rId31" w:history="1">
        <w:r w:rsidRPr="00FE4B1F">
          <w:rPr>
            <w:rStyle w:val="Hyperlink"/>
          </w:rPr>
          <w:t>https://connectsci.au/py/article-pdf/doi/10.1071/PY23123/586598/py23123.pdf</w:t>
        </w:r>
      </w:hyperlink>
    </w:p>
    <w:p w:rsidR="00951E6C" w:rsidRPr="00FE4B1F" w:rsidRDefault="00951E6C" w:rsidP="00E16AE4">
      <w:r w:rsidRPr="00FE4B1F">
        <w:t>Melino, K. (2025). </w:t>
      </w:r>
      <w:r w:rsidRPr="00FE4B1F">
        <w:rPr>
          <w:i/>
          <w:iCs/>
        </w:rPr>
        <w:t>An Institutional Ethnography of Community Mental Health Care for Patients Facing Structural Barriers</w:t>
      </w:r>
      <w:r w:rsidRPr="00FE4B1F">
        <w:t xml:space="preserve"> (Doctoral dissertation, University of Alberta). </w:t>
      </w:r>
      <w:hyperlink r:id="rId32" w:history="1">
        <w:r w:rsidRPr="00FE4B1F">
          <w:rPr>
            <w:rStyle w:val="Hyperlink"/>
          </w:rPr>
          <w:t>https://ualberta.scholaris.ca/server/api/core/bitstreams/52ace0ce-4d6f-4600-907d-50fa58c43e86/content</w:t>
        </w:r>
      </w:hyperlink>
    </w:p>
    <w:p w:rsidR="00951E6C" w:rsidRPr="00FE4B1F" w:rsidRDefault="00951E6C" w:rsidP="00D74549">
      <w:r w:rsidRPr="00FE4B1F">
        <w:t>O’Dea, A., Sharafkhani, M., Codd, M., Browne, M., O’Connor, P., and Ward, M. E. (2025). Principles for the conduct of human factors/ergonomics in healthcare: a scoping study of the published evidence. </w:t>
      </w:r>
      <w:r w:rsidRPr="00FE4B1F">
        <w:rPr>
          <w:i/>
          <w:iCs/>
        </w:rPr>
        <w:t>BMJ Open Quality</w:t>
      </w:r>
      <w:r w:rsidRPr="00FE4B1F">
        <w:t>, </w:t>
      </w:r>
      <w:r w:rsidRPr="00FE4B1F">
        <w:rPr>
          <w:i/>
          <w:iCs/>
        </w:rPr>
        <w:t>14</w:t>
      </w:r>
      <w:r w:rsidRPr="00FE4B1F">
        <w:t xml:space="preserve">(2). </w:t>
      </w:r>
      <w:hyperlink r:id="rId33" w:history="1">
        <w:r w:rsidRPr="00FE4B1F">
          <w:rPr>
            <w:rStyle w:val="Hyperlink"/>
          </w:rPr>
          <w:t>https://bmjopenquality.bmj.com/content/bmjqir/14/2/e003222.full.pdf</w:t>
        </w:r>
      </w:hyperlink>
    </w:p>
    <w:p w:rsidR="00951E6C" w:rsidRPr="00FE4B1F" w:rsidRDefault="00951E6C" w:rsidP="004F7EF0">
      <w:r w:rsidRPr="00FE4B1F">
        <w:t xml:space="preserve">Ogilvie, F. (2017) </w:t>
      </w:r>
      <w:r w:rsidRPr="00FE4B1F">
        <w:rPr>
          <w:i/>
          <w:iCs/>
        </w:rPr>
        <w:t>Principles underlying the development of clinical guidelines, clinical effectiveness and quality standards, and their application in health and social care</w:t>
      </w:r>
      <w:r w:rsidRPr="00FE4B1F">
        <w:t xml:space="preserve">. Health Knowledge. Available at: </w:t>
      </w:r>
      <w:hyperlink r:id="rId34" w:tgtFrame="_blank" w:history="1">
        <w:r w:rsidRPr="00FE4B1F">
          <w:rPr>
            <w:rStyle w:val="Hyperlink"/>
          </w:rPr>
          <w:t>https://www.healthknowledge.org.uk/content/principles-underlying-development-clinical-guidelines-clinical-effectiveness-and-quality</w:t>
        </w:r>
      </w:hyperlink>
    </w:p>
    <w:p w:rsidR="00951E6C" w:rsidRPr="00FE4B1F" w:rsidRDefault="00951E6C" w:rsidP="00E16AE4">
      <w:r w:rsidRPr="00FE4B1F">
        <w:lastRenderedPageBreak/>
        <w:t>Pinheiro, R. and Pulkkinen, K., (2023). Collaborating for competition?: Unpacking ambiguities and paradoxes across the academic profession. </w:t>
      </w:r>
      <w:r w:rsidRPr="00FE4B1F">
        <w:rPr>
          <w:i/>
          <w:iCs/>
        </w:rPr>
        <w:t>Scandinavian Journal of Public Administration</w:t>
      </w:r>
      <w:r w:rsidRPr="00FE4B1F">
        <w:t>, </w:t>
      </w:r>
      <w:r w:rsidRPr="00FE4B1F">
        <w:rPr>
          <w:i/>
          <w:iCs/>
        </w:rPr>
        <w:t>27</w:t>
      </w:r>
      <w:r w:rsidRPr="00FE4B1F">
        <w:t>(1), pp.53-73.</w:t>
      </w:r>
      <w:hyperlink r:id="rId35" w:history="1">
        <w:r w:rsidRPr="00FE4B1F">
          <w:rPr>
            <w:rStyle w:val="Hyperlink"/>
          </w:rPr>
          <w:t>https://publicera.kb.se/sjpa/article/download/11206/10741</w:t>
        </w:r>
      </w:hyperlink>
    </w:p>
    <w:p w:rsidR="00951E6C" w:rsidRPr="00FE4B1F" w:rsidRDefault="00951E6C" w:rsidP="00E16AE4">
      <w:r w:rsidRPr="00FE4B1F">
        <w:t>Ramsey, L., McHugh, S., Simms-Ellis, R., Perfetto, K., and O’Hara, J. K. (2022). Patient and family involvement in serious incident investigations from the perspectives of key stakeholders: a review of the qualitative evidence. </w:t>
      </w:r>
      <w:r w:rsidRPr="00FE4B1F">
        <w:rPr>
          <w:i/>
          <w:iCs/>
        </w:rPr>
        <w:t>Journal of patient safety</w:t>
      </w:r>
      <w:r w:rsidRPr="00FE4B1F">
        <w:t>, </w:t>
      </w:r>
      <w:r w:rsidRPr="00FE4B1F">
        <w:rPr>
          <w:i/>
          <w:iCs/>
        </w:rPr>
        <w:t>18</w:t>
      </w:r>
      <w:r w:rsidRPr="00FE4B1F">
        <w:t xml:space="preserve">(8), e1203-e1210. </w:t>
      </w:r>
      <w:hyperlink r:id="rId36" w:history="1">
        <w:r w:rsidRPr="00FE4B1F">
          <w:rPr>
            <w:rStyle w:val="Hyperlink"/>
          </w:rPr>
          <w:t>https://journals.lww.com/journalpatientsafety/_layouts/15/oaks.journals/downloadpdf.aspx?an=01209203-202212000-00019</w:t>
        </w:r>
      </w:hyperlink>
    </w:p>
    <w:p w:rsidR="00951E6C" w:rsidRPr="00FE4B1F" w:rsidRDefault="00951E6C" w:rsidP="00D74549">
      <w:r w:rsidRPr="00FE4B1F">
        <w:t>Simms-Ellis, R., Harrison, R., Sattar, R., Sweeting, E., Hartley, H., Morys-Edge, M., and Lawton, R. (2025). Avoiding ‘second victims’ in healthcare: what support do staff want for coping with patient safety incidents, what do they get and is it effective? A systematic review. </w:t>
      </w:r>
      <w:r w:rsidRPr="00FE4B1F">
        <w:rPr>
          <w:i/>
          <w:iCs/>
        </w:rPr>
        <w:t>BMJ open</w:t>
      </w:r>
      <w:r w:rsidRPr="00FE4B1F">
        <w:t>, </w:t>
      </w:r>
      <w:r w:rsidRPr="00FE4B1F">
        <w:rPr>
          <w:i/>
          <w:iCs/>
        </w:rPr>
        <w:t>15</w:t>
      </w:r>
      <w:r w:rsidRPr="00FE4B1F">
        <w:t xml:space="preserve">(2), e087512. Available at: </w:t>
      </w:r>
      <w:hyperlink r:id="rId37" w:tgtFrame="_blank" w:history="1">
        <w:r w:rsidRPr="00FE4B1F">
          <w:rPr>
            <w:rStyle w:val="Hyperlink"/>
          </w:rPr>
          <w:t>https://journals.lww.com/journalpatientsafety/fulltext/2025/08000/how_were_patient_safety_incidents_responded_to,.11.aspx</w:t>
        </w:r>
      </w:hyperlink>
    </w:p>
    <w:p w:rsidR="00951E6C" w:rsidRPr="00FE4B1F" w:rsidRDefault="00951E6C" w:rsidP="00E16AE4">
      <w:r w:rsidRPr="00FE4B1F">
        <w:t>Smith, B. M., Bhowmik, P. K., Yoshiura, R. K., Whiting, E. T., Anderson, M. W., Sgambati, M. R., and Cafferty, K. G. (2025). Accelerating Nuclear-Integrated Data Center Pursuits in the USA: SWOT Analysis, Power-Thermal Management Strategies and Demonstration Plan. </w:t>
      </w:r>
      <w:r w:rsidRPr="00FE4B1F">
        <w:rPr>
          <w:i/>
          <w:iCs/>
        </w:rPr>
        <w:t>Nuclear Engineering and Design</w:t>
      </w:r>
      <w:r w:rsidRPr="00FE4B1F">
        <w:t>, </w:t>
      </w:r>
      <w:r w:rsidRPr="00FE4B1F">
        <w:rPr>
          <w:i/>
          <w:iCs/>
        </w:rPr>
        <w:t>446</w:t>
      </w:r>
      <w:r w:rsidRPr="00FE4B1F">
        <w:t xml:space="preserve">(INL/JOU-25-83648). </w:t>
      </w:r>
      <w:hyperlink r:id="rId38" w:history="1">
        <w:r w:rsidRPr="00FE4B1F">
          <w:rPr>
            <w:rStyle w:val="Hyperlink"/>
          </w:rPr>
          <w:t>https://www.osti.gov/pages/servlets/purl/3013183</w:t>
        </w:r>
      </w:hyperlink>
    </w:p>
    <w:p w:rsidR="00951E6C" w:rsidRPr="00FE4B1F" w:rsidRDefault="00951E6C" w:rsidP="00E16AE4">
      <w:r w:rsidRPr="00FE4B1F">
        <w:t>Subramony, M., Vogus, T. J., Chadwick, C., Gowen III, C., and McFadden, K. L. (2024). Workload, nurse turnover, and patient mortality: Test of a hospital-level moderated mediation model. </w:t>
      </w:r>
      <w:r w:rsidRPr="00FE4B1F">
        <w:rPr>
          <w:i/>
          <w:iCs/>
        </w:rPr>
        <w:t>Health care management review</w:t>
      </w:r>
      <w:r w:rsidRPr="00FE4B1F">
        <w:t>, </w:t>
      </w:r>
      <w:r w:rsidRPr="00FE4B1F">
        <w:rPr>
          <w:i/>
          <w:iCs/>
        </w:rPr>
        <w:t>49</w:t>
      </w:r>
      <w:r w:rsidRPr="00FE4B1F">
        <w:t xml:space="preserve">(1), 23-34. </w:t>
      </w:r>
      <w:hyperlink r:id="rId39" w:history="1">
        <w:r w:rsidRPr="00FE4B1F">
          <w:rPr>
            <w:rStyle w:val="Hyperlink"/>
          </w:rPr>
          <w:t>https://www.researchgate.net/profile/Mahesh-Subramony/publication/376029641_Workload_nurse_turnover_and_patient_mortality_Test_of_a_hospital-level_moderated_mediation_model/links/65675806ce88b870311f7ff9/Workload-nurse-turnover-and-patient-mortality-Test-of-a-hospital-level-moderated-mediation-model.pdf</w:t>
        </w:r>
      </w:hyperlink>
    </w:p>
    <w:p w:rsidR="00951E6C" w:rsidRPr="00FE4B1F" w:rsidRDefault="00951E6C" w:rsidP="00D74549">
      <w:r w:rsidRPr="00FE4B1F">
        <w:lastRenderedPageBreak/>
        <w:t xml:space="preserve">Thomas, B., et al. (2025) 'Overcoming resistance to change in healthcare governance and risk management', </w:t>
      </w:r>
      <w:r w:rsidRPr="00FE4B1F">
        <w:rPr>
          <w:i/>
          <w:iCs/>
        </w:rPr>
        <w:t>Health Policy</w:t>
      </w:r>
      <w:r w:rsidRPr="00FE4B1F">
        <w:t xml:space="preserve">, 129(1), pp. 88-97. Available at: </w:t>
      </w:r>
      <w:hyperlink r:id="rId40" w:tgtFrame="_blank" w:history="1">
        <w:r w:rsidRPr="00FE4B1F">
          <w:rPr>
            <w:rStyle w:val="Hyperlink"/>
          </w:rPr>
          <w:t>https://www.sciencedirect.com/science/article/pii/S016885102500010X</w:t>
        </w:r>
      </w:hyperlink>
    </w:p>
    <w:p w:rsidR="00951E6C" w:rsidRPr="00FE4B1F" w:rsidRDefault="00951E6C" w:rsidP="00D74549">
      <w:r w:rsidRPr="00FE4B1F">
        <w:t>Tsamasiotis, C., Fiard, G., Bouzat, P., François, P., Fond, G., Boyer, L., and Boussat, B. (2024). From Reporting to Improving: How Root Cause Analysis in Teams Shape Patient Safety Culture. </w:t>
      </w:r>
      <w:r w:rsidRPr="00FE4B1F">
        <w:rPr>
          <w:i/>
          <w:iCs/>
        </w:rPr>
        <w:t>Risk Management and Healthcare Policy</w:t>
      </w:r>
      <w:r w:rsidRPr="00FE4B1F">
        <w:t xml:space="preserve">, 1847-1858. Available at: </w:t>
      </w:r>
      <w:hyperlink r:id="rId41" w:history="1">
        <w:r w:rsidRPr="00FE4B1F">
          <w:rPr>
            <w:rStyle w:val="Hyperlink"/>
          </w:rPr>
          <w:t>https://www.tandfonline.com/doi/pdf/10.2147/RMHP.S466852%4010.1080/tfocoll.2024.0.issue-Advancing_Patient</w:t>
        </w:r>
      </w:hyperlink>
    </w:p>
    <w:p w:rsidR="00951E6C" w:rsidRPr="00FE4B1F" w:rsidRDefault="00951E6C" w:rsidP="00D74549">
      <w:r w:rsidRPr="00FE4B1F">
        <w:t>Tyler, N., Hodkinson, A., Planner, C., Angelakis, I., Keyworth, C., Hall, A., ... and Panagioti, M. (2023). Transitional care interventions from hospital to community to reduce health care use and improve patient outcomes: a systematic review and network meta-analysis. </w:t>
      </w:r>
      <w:r w:rsidRPr="00FE4B1F">
        <w:rPr>
          <w:i/>
          <w:iCs/>
        </w:rPr>
        <w:t>JAMA network open</w:t>
      </w:r>
      <w:r w:rsidRPr="00FE4B1F">
        <w:t>, </w:t>
      </w:r>
      <w:r w:rsidRPr="00FE4B1F">
        <w:rPr>
          <w:i/>
          <w:iCs/>
        </w:rPr>
        <w:t>6</w:t>
      </w:r>
      <w:r w:rsidRPr="00FE4B1F">
        <w:t xml:space="preserve">(11), e2344825. Available at: </w:t>
      </w:r>
      <w:hyperlink r:id="rId42" w:history="1">
        <w:r w:rsidRPr="00FE4B1F">
          <w:rPr>
            <w:rStyle w:val="Hyperlink"/>
          </w:rPr>
          <w:t>https://jamanetwork.com/journals/jamanetworkopen/articlepdf/2812390/tyler_2023_oi_231308_1700251898.18185.pdf</w:t>
        </w:r>
      </w:hyperlink>
    </w:p>
    <w:p w:rsidR="00951E6C" w:rsidRDefault="00951E6C" w:rsidP="00D74549">
      <w:r w:rsidRPr="00FE4B1F">
        <w:t xml:space="preserve">Wiegmann, D. A., Wood, L. J., Cohen, T. N., and Shappell, S. A. (2022). Understanding the “Swiss Cheese Model” and its application to patient safety. </w:t>
      </w:r>
      <w:r w:rsidRPr="00FE4B1F">
        <w:rPr>
          <w:i/>
          <w:iCs/>
        </w:rPr>
        <w:t>Journal of Patient Safety</w:t>
      </w:r>
      <w:r w:rsidRPr="00FE4B1F">
        <w:t xml:space="preserve">, </w:t>
      </w:r>
      <w:r w:rsidRPr="00FE4B1F">
        <w:rPr>
          <w:i/>
          <w:iCs/>
        </w:rPr>
        <w:t>18</w:t>
      </w:r>
      <w:r w:rsidRPr="00FE4B1F">
        <w:t xml:space="preserve">(2), 119-123. </w:t>
      </w:r>
      <w:hyperlink r:id="rId43" w:history="1">
        <w:r w:rsidRPr="00FE4B1F">
          <w:rPr>
            <w:rStyle w:val="Hyperlink"/>
          </w:rPr>
          <w:t>https://pmc.ncbi.nlm.nih.gov/articles/PMC8514562/pdf/nihms-1651282.pdf</w:t>
        </w:r>
      </w:hyperlink>
    </w:p>
    <w:sectPr w:rsidR="00951E6C" w:rsidSect="00777D01">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3C7" w:rsidRDefault="00C723C7">
      <w:pPr>
        <w:spacing w:before="0" w:after="0" w:line="240" w:lineRule="auto"/>
      </w:pPr>
      <w:r>
        <w:separator/>
      </w:r>
    </w:p>
  </w:endnote>
  <w:endnote w:type="continuationSeparator" w:id="1">
    <w:p w:rsidR="00C723C7" w:rsidRDefault="00C723C7">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3577475"/>
      <w:docPartObj>
        <w:docPartGallery w:val="Page Numbers (Bottom of Page)"/>
        <w:docPartUnique/>
      </w:docPartObj>
    </w:sdtPr>
    <w:sdtEndPr>
      <w:rPr>
        <w:noProof/>
        <w:sz w:val="20"/>
        <w:szCs w:val="18"/>
      </w:rPr>
    </w:sdtEndPr>
    <w:sdtContent>
      <w:p w:rsidR="00D74549" w:rsidRPr="00D74549" w:rsidRDefault="0077094D">
        <w:pPr>
          <w:pStyle w:val="Footer"/>
          <w:jc w:val="right"/>
          <w:rPr>
            <w:sz w:val="20"/>
            <w:szCs w:val="18"/>
          </w:rPr>
        </w:pPr>
        <w:r w:rsidRPr="00D74549">
          <w:rPr>
            <w:sz w:val="20"/>
            <w:szCs w:val="18"/>
          </w:rPr>
          <w:fldChar w:fldCharType="begin"/>
        </w:r>
        <w:r w:rsidR="00C723C7" w:rsidRPr="00D74549">
          <w:rPr>
            <w:sz w:val="20"/>
            <w:szCs w:val="18"/>
          </w:rPr>
          <w:instrText xml:space="preserve"> PAGE   \* MERGEFORMAT </w:instrText>
        </w:r>
        <w:r w:rsidRPr="00D74549">
          <w:rPr>
            <w:sz w:val="20"/>
            <w:szCs w:val="18"/>
          </w:rPr>
          <w:fldChar w:fldCharType="separate"/>
        </w:r>
        <w:r w:rsidR="00FE4B1F">
          <w:rPr>
            <w:noProof/>
            <w:sz w:val="20"/>
            <w:szCs w:val="18"/>
          </w:rPr>
          <w:t>2</w:t>
        </w:r>
        <w:r w:rsidRPr="00D74549">
          <w:rPr>
            <w:noProof/>
            <w:sz w:val="20"/>
            <w:szCs w:val="18"/>
          </w:rPr>
          <w:fldChar w:fldCharType="end"/>
        </w:r>
      </w:p>
    </w:sdtContent>
  </w:sdt>
  <w:p w:rsidR="00D74549" w:rsidRDefault="00D745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3C7" w:rsidRDefault="00C723C7">
      <w:pPr>
        <w:spacing w:before="0" w:after="0" w:line="240" w:lineRule="auto"/>
      </w:pPr>
      <w:r>
        <w:separator/>
      </w:r>
    </w:p>
  </w:footnote>
  <w:footnote w:type="continuationSeparator" w:id="1">
    <w:p w:rsidR="00C723C7" w:rsidRDefault="00C723C7">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2ABF"/>
    <w:multiLevelType w:val="multilevel"/>
    <w:tmpl w:val="3310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AB5E23"/>
    <w:multiLevelType w:val="hybridMultilevel"/>
    <w:tmpl w:val="C408DEBC"/>
    <w:lvl w:ilvl="0" w:tplc="3E5809F8">
      <w:start w:val="1"/>
      <w:numFmt w:val="bullet"/>
      <w:lvlText w:val=""/>
      <w:lvlJc w:val="left"/>
      <w:pPr>
        <w:ind w:left="720" w:hanging="360"/>
      </w:pPr>
      <w:rPr>
        <w:rFonts w:ascii="Symbol" w:hAnsi="Symbol" w:hint="default"/>
      </w:rPr>
    </w:lvl>
    <w:lvl w:ilvl="1" w:tplc="C68A1D50" w:tentative="1">
      <w:start w:val="1"/>
      <w:numFmt w:val="bullet"/>
      <w:lvlText w:val="o"/>
      <w:lvlJc w:val="left"/>
      <w:pPr>
        <w:ind w:left="1440" w:hanging="360"/>
      </w:pPr>
      <w:rPr>
        <w:rFonts w:ascii="Courier New" w:hAnsi="Courier New" w:cs="Courier New" w:hint="default"/>
      </w:rPr>
    </w:lvl>
    <w:lvl w:ilvl="2" w:tplc="E2962562" w:tentative="1">
      <w:start w:val="1"/>
      <w:numFmt w:val="bullet"/>
      <w:lvlText w:val=""/>
      <w:lvlJc w:val="left"/>
      <w:pPr>
        <w:ind w:left="2160" w:hanging="360"/>
      </w:pPr>
      <w:rPr>
        <w:rFonts w:ascii="Wingdings" w:hAnsi="Wingdings" w:hint="default"/>
      </w:rPr>
    </w:lvl>
    <w:lvl w:ilvl="3" w:tplc="A374233E" w:tentative="1">
      <w:start w:val="1"/>
      <w:numFmt w:val="bullet"/>
      <w:lvlText w:val=""/>
      <w:lvlJc w:val="left"/>
      <w:pPr>
        <w:ind w:left="2880" w:hanging="360"/>
      </w:pPr>
      <w:rPr>
        <w:rFonts w:ascii="Symbol" w:hAnsi="Symbol" w:hint="default"/>
      </w:rPr>
    </w:lvl>
    <w:lvl w:ilvl="4" w:tplc="87CE6F24" w:tentative="1">
      <w:start w:val="1"/>
      <w:numFmt w:val="bullet"/>
      <w:lvlText w:val="o"/>
      <w:lvlJc w:val="left"/>
      <w:pPr>
        <w:ind w:left="3600" w:hanging="360"/>
      </w:pPr>
      <w:rPr>
        <w:rFonts w:ascii="Courier New" w:hAnsi="Courier New" w:cs="Courier New" w:hint="default"/>
      </w:rPr>
    </w:lvl>
    <w:lvl w:ilvl="5" w:tplc="499065C8" w:tentative="1">
      <w:start w:val="1"/>
      <w:numFmt w:val="bullet"/>
      <w:lvlText w:val=""/>
      <w:lvlJc w:val="left"/>
      <w:pPr>
        <w:ind w:left="4320" w:hanging="360"/>
      </w:pPr>
      <w:rPr>
        <w:rFonts w:ascii="Wingdings" w:hAnsi="Wingdings" w:hint="default"/>
      </w:rPr>
    </w:lvl>
    <w:lvl w:ilvl="6" w:tplc="3766B30E" w:tentative="1">
      <w:start w:val="1"/>
      <w:numFmt w:val="bullet"/>
      <w:lvlText w:val=""/>
      <w:lvlJc w:val="left"/>
      <w:pPr>
        <w:ind w:left="5040" w:hanging="360"/>
      </w:pPr>
      <w:rPr>
        <w:rFonts w:ascii="Symbol" w:hAnsi="Symbol" w:hint="default"/>
      </w:rPr>
    </w:lvl>
    <w:lvl w:ilvl="7" w:tplc="98BA9F88" w:tentative="1">
      <w:start w:val="1"/>
      <w:numFmt w:val="bullet"/>
      <w:lvlText w:val="o"/>
      <w:lvlJc w:val="left"/>
      <w:pPr>
        <w:ind w:left="5760" w:hanging="360"/>
      </w:pPr>
      <w:rPr>
        <w:rFonts w:ascii="Courier New" w:hAnsi="Courier New" w:cs="Courier New" w:hint="default"/>
      </w:rPr>
    </w:lvl>
    <w:lvl w:ilvl="8" w:tplc="A4DC155C" w:tentative="1">
      <w:start w:val="1"/>
      <w:numFmt w:val="bullet"/>
      <w:lvlText w:val=""/>
      <w:lvlJc w:val="left"/>
      <w:pPr>
        <w:ind w:left="6480" w:hanging="360"/>
      </w:pPr>
      <w:rPr>
        <w:rFonts w:ascii="Wingdings" w:hAnsi="Wingdings" w:hint="default"/>
      </w:rPr>
    </w:lvl>
  </w:abstractNum>
  <w:abstractNum w:abstractNumId="2">
    <w:nsid w:val="37A8779C"/>
    <w:multiLevelType w:val="multilevel"/>
    <w:tmpl w:val="CE88F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9110A4"/>
    <w:multiLevelType w:val="multilevel"/>
    <w:tmpl w:val="1AFA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DA2985"/>
    <w:multiLevelType w:val="multilevel"/>
    <w:tmpl w:val="08DA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265AAD"/>
    <w:multiLevelType w:val="multilevel"/>
    <w:tmpl w:val="ACDC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DB52F6"/>
    <w:multiLevelType w:val="multilevel"/>
    <w:tmpl w:val="D2440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4"/>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97764C"/>
    <w:rsid w:val="0004104F"/>
    <w:rsid w:val="00042658"/>
    <w:rsid w:val="00055A1D"/>
    <w:rsid w:val="000740BD"/>
    <w:rsid w:val="000A5D1E"/>
    <w:rsid w:val="000B1CD5"/>
    <w:rsid w:val="000C2974"/>
    <w:rsid w:val="000E672C"/>
    <w:rsid w:val="000F09B3"/>
    <w:rsid w:val="001619B9"/>
    <w:rsid w:val="001633FC"/>
    <w:rsid w:val="001A42C7"/>
    <w:rsid w:val="001C0DE7"/>
    <w:rsid w:val="001C5FF5"/>
    <w:rsid w:val="00220543"/>
    <w:rsid w:val="00226124"/>
    <w:rsid w:val="00232317"/>
    <w:rsid w:val="00242FAD"/>
    <w:rsid w:val="0025165B"/>
    <w:rsid w:val="00266A85"/>
    <w:rsid w:val="002757A2"/>
    <w:rsid w:val="00276A12"/>
    <w:rsid w:val="002A49E1"/>
    <w:rsid w:val="002A75C3"/>
    <w:rsid w:val="002B5758"/>
    <w:rsid w:val="002D70E4"/>
    <w:rsid w:val="002E6506"/>
    <w:rsid w:val="002F53C4"/>
    <w:rsid w:val="00304598"/>
    <w:rsid w:val="003165A6"/>
    <w:rsid w:val="003303A0"/>
    <w:rsid w:val="003460CA"/>
    <w:rsid w:val="003503D0"/>
    <w:rsid w:val="0038153A"/>
    <w:rsid w:val="00395142"/>
    <w:rsid w:val="003B3305"/>
    <w:rsid w:val="003B4614"/>
    <w:rsid w:val="003C2A28"/>
    <w:rsid w:val="003F4CCD"/>
    <w:rsid w:val="004065BE"/>
    <w:rsid w:val="004416AD"/>
    <w:rsid w:val="00443A91"/>
    <w:rsid w:val="00447252"/>
    <w:rsid w:val="00453B3D"/>
    <w:rsid w:val="00494787"/>
    <w:rsid w:val="004B6204"/>
    <w:rsid w:val="004B74D9"/>
    <w:rsid w:val="004E0539"/>
    <w:rsid w:val="004E67AE"/>
    <w:rsid w:val="004F7EF0"/>
    <w:rsid w:val="00503BAC"/>
    <w:rsid w:val="00520C08"/>
    <w:rsid w:val="00527B38"/>
    <w:rsid w:val="00532D7A"/>
    <w:rsid w:val="00533EDC"/>
    <w:rsid w:val="00534904"/>
    <w:rsid w:val="005414A1"/>
    <w:rsid w:val="00574E89"/>
    <w:rsid w:val="005A4EBE"/>
    <w:rsid w:val="005A72FC"/>
    <w:rsid w:val="005B4544"/>
    <w:rsid w:val="005E5636"/>
    <w:rsid w:val="005E6005"/>
    <w:rsid w:val="005F4049"/>
    <w:rsid w:val="005F6EE2"/>
    <w:rsid w:val="00607530"/>
    <w:rsid w:val="00664530"/>
    <w:rsid w:val="006A575E"/>
    <w:rsid w:val="006A7F70"/>
    <w:rsid w:val="006C36AD"/>
    <w:rsid w:val="006D0F95"/>
    <w:rsid w:val="006E36AC"/>
    <w:rsid w:val="00760F4E"/>
    <w:rsid w:val="0077094D"/>
    <w:rsid w:val="00777D01"/>
    <w:rsid w:val="007A2C00"/>
    <w:rsid w:val="007C6E33"/>
    <w:rsid w:val="007D11FC"/>
    <w:rsid w:val="007F5E7C"/>
    <w:rsid w:val="00800CC8"/>
    <w:rsid w:val="0082009F"/>
    <w:rsid w:val="00827568"/>
    <w:rsid w:val="008310D8"/>
    <w:rsid w:val="00831DF9"/>
    <w:rsid w:val="00842F4F"/>
    <w:rsid w:val="0085439E"/>
    <w:rsid w:val="00856A7B"/>
    <w:rsid w:val="008635A1"/>
    <w:rsid w:val="0088418F"/>
    <w:rsid w:val="00887C68"/>
    <w:rsid w:val="00892056"/>
    <w:rsid w:val="008B74FF"/>
    <w:rsid w:val="008E7A8C"/>
    <w:rsid w:val="00912E85"/>
    <w:rsid w:val="00933D01"/>
    <w:rsid w:val="0094318D"/>
    <w:rsid w:val="0094753F"/>
    <w:rsid w:val="009475E1"/>
    <w:rsid w:val="009505D6"/>
    <w:rsid w:val="009517C8"/>
    <w:rsid w:val="00951E6C"/>
    <w:rsid w:val="009766FF"/>
    <w:rsid w:val="0097764C"/>
    <w:rsid w:val="00977B0F"/>
    <w:rsid w:val="00995BFD"/>
    <w:rsid w:val="009C39BD"/>
    <w:rsid w:val="009D06DB"/>
    <w:rsid w:val="009D08C2"/>
    <w:rsid w:val="009D59F2"/>
    <w:rsid w:val="009F2A9B"/>
    <w:rsid w:val="00A21F48"/>
    <w:rsid w:val="00A30EC7"/>
    <w:rsid w:val="00A37BC9"/>
    <w:rsid w:val="00A71A56"/>
    <w:rsid w:val="00A746C3"/>
    <w:rsid w:val="00A8103C"/>
    <w:rsid w:val="00AA30DC"/>
    <w:rsid w:val="00AB36F5"/>
    <w:rsid w:val="00AB54AE"/>
    <w:rsid w:val="00AD41D7"/>
    <w:rsid w:val="00AD5C46"/>
    <w:rsid w:val="00B05B8D"/>
    <w:rsid w:val="00B30159"/>
    <w:rsid w:val="00B7478D"/>
    <w:rsid w:val="00B86AA7"/>
    <w:rsid w:val="00B93D49"/>
    <w:rsid w:val="00BA318D"/>
    <w:rsid w:val="00BD5958"/>
    <w:rsid w:val="00C03374"/>
    <w:rsid w:val="00C201A8"/>
    <w:rsid w:val="00C241E8"/>
    <w:rsid w:val="00C36661"/>
    <w:rsid w:val="00C5035E"/>
    <w:rsid w:val="00C67CBF"/>
    <w:rsid w:val="00C723C7"/>
    <w:rsid w:val="00C975BD"/>
    <w:rsid w:val="00CA49B5"/>
    <w:rsid w:val="00CC1846"/>
    <w:rsid w:val="00CE0B2E"/>
    <w:rsid w:val="00CE0E94"/>
    <w:rsid w:val="00D36A28"/>
    <w:rsid w:val="00D52C07"/>
    <w:rsid w:val="00D53828"/>
    <w:rsid w:val="00D74549"/>
    <w:rsid w:val="00DA002A"/>
    <w:rsid w:val="00DB774D"/>
    <w:rsid w:val="00DE03CA"/>
    <w:rsid w:val="00E15FEF"/>
    <w:rsid w:val="00E16AE4"/>
    <w:rsid w:val="00E25EE5"/>
    <w:rsid w:val="00E304D8"/>
    <w:rsid w:val="00E52898"/>
    <w:rsid w:val="00E84985"/>
    <w:rsid w:val="00E904D0"/>
    <w:rsid w:val="00E907D6"/>
    <w:rsid w:val="00EA65C1"/>
    <w:rsid w:val="00EB2B7F"/>
    <w:rsid w:val="00ED3924"/>
    <w:rsid w:val="00ED3A21"/>
    <w:rsid w:val="00ED6331"/>
    <w:rsid w:val="00EF79CC"/>
    <w:rsid w:val="00F0683D"/>
    <w:rsid w:val="00F44942"/>
    <w:rsid w:val="00F61881"/>
    <w:rsid w:val="00F62499"/>
    <w:rsid w:val="00F676DA"/>
    <w:rsid w:val="00F87E29"/>
    <w:rsid w:val="00F902DB"/>
    <w:rsid w:val="00F92A95"/>
    <w:rsid w:val="00FB2053"/>
    <w:rsid w:val="00FB7068"/>
    <w:rsid w:val="00FC239D"/>
    <w:rsid w:val="00FC7305"/>
    <w:rsid w:val="00FD0FEE"/>
    <w:rsid w:val="00FE4B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latentStyles>
  <w:style w:type="paragraph" w:default="1" w:styleId="Normal">
    <w:name w:val="Normal"/>
    <w:qFormat/>
    <w:rsid w:val="00777D01"/>
    <w:pPr>
      <w:spacing w:before="240" w:after="240" w:line="360" w:lineRule="auto"/>
      <w:jc w:val="both"/>
    </w:pPr>
    <w:rPr>
      <w:rFonts w:ascii="Arial" w:hAnsi="Arial"/>
      <w:sz w:val="24"/>
    </w:rPr>
  </w:style>
  <w:style w:type="paragraph" w:styleId="Heading1">
    <w:name w:val="heading 1"/>
    <w:basedOn w:val="Normal"/>
    <w:next w:val="Normal"/>
    <w:link w:val="Heading1Char"/>
    <w:uiPriority w:val="9"/>
    <w:qFormat/>
    <w:rsid w:val="00777D01"/>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777D01"/>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777D01"/>
    <w:pPr>
      <w:keepNext/>
      <w:keepLines/>
      <w:outlineLvl w:val="2"/>
    </w:pPr>
    <w:rPr>
      <w:rFonts w:eastAsiaTheme="majorEastAsia" w:cstheme="majorBidi"/>
      <w:b/>
      <w:i/>
      <w:sz w:val="26"/>
      <w:szCs w:val="28"/>
    </w:rPr>
  </w:style>
  <w:style w:type="paragraph" w:styleId="Heading4">
    <w:name w:val="heading 4"/>
    <w:basedOn w:val="Normal"/>
    <w:next w:val="Normal"/>
    <w:link w:val="Heading4Char"/>
    <w:uiPriority w:val="9"/>
    <w:semiHidden/>
    <w:unhideWhenUsed/>
    <w:qFormat/>
    <w:rsid w:val="00777D01"/>
    <w:pPr>
      <w:keepNext/>
      <w:keepLines/>
      <w:outlineLvl w:val="3"/>
    </w:pPr>
    <w:rPr>
      <w:rFonts w:eastAsiaTheme="majorEastAsia" w:cstheme="majorBidi"/>
      <w:b/>
      <w:i/>
      <w:iCs/>
      <w:color w:val="000000" w:themeColor="text1"/>
    </w:rPr>
  </w:style>
  <w:style w:type="paragraph" w:styleId="Heading5">
    <w:name w:val="heading 5"/>
    <w:basedOn w:val="Normal"/>
    <w:next w:val="Normal"/>
    <w:link w:val="Heading5Char"/>
    <w:uiPriority w:val="9"/>
    <w:semiHidden/>
    <w:unhideWhenUsed/>
    <w:qFormat/>
    <w:rsid w:val="0097764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776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776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776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776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D01"/>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777D01"/>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777D01"/>
    <w:rPr>
      <w:rFonts w:ascii="Arial" w:eastAsiaTheme="majorEastAsia" w:hAnsi="Arial" w:cstheme="majorBidi"/>
      <w:b/>
      <w:i/>
      <w:sz w:val="26"/>
      <w:szCs w:val="28"/>
    </w:rPr>
  </w:style>
  <w:style w:type="character" w:customStyle="1" w:styleId="Heading4Char">
    <w:name w:val="Heading 4 Char"/>
    <w:basedOn w:val="DefaultParagraphFont"/>
    <w:link w:val="Heading4"/>
    <w:uiPriority w:val="9"/>
    <w:semiHidden/>
    <w:rsid w:val="00777D01"/>
    <w:rPr>
      <w:rFonts w:ascii="Arial" w:eastAsiaTheme="majorEastAsia" w:hAnsi="Arial" w:cstheme="majorBidi"/>
      <w:b/>
      <w:i/>
      <w:iCs/>
      <w:color w:val="000000" w:themeColor="text1"/>
      <w:sz w:val="24"/>
    </w:rPr>
  </w:style>
  <w:style w:type="character" w:customStyle="1" w:styleId="Heading5Char">
    <w:name w:val="Heading 5 Char"/>
    <w:basedOn w:val="DefaultParagraphFont"/>
    <w:link w:val="Heading5"/>
    <w:uiPriority w:val="9"/>
    <w:semiHidden/>
    <w:rsid w:val="0097764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7764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7764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7764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7764C"/>
    <w:rPr>
      <w:rFonts w:eastAsiaTheme="majorEastAsia" w:cstheme="majorBidi"/>
      <w:color w:val="272727" w:themeColor="text1" w:themeTint="D8"/>
      <w:sz w:val="24"/>
    </w:rPr>
  </w:style>
  <w:style w:type="paragraph" w:styleId="Title">
    <w:name w:val="Title"/>
    <w:basedOn w:val="Normal"/>
    <w:next w:val="Normal"/>
    <w:link w:val="TitleChar"/>
    <w:uiPriority w:val="10"/>
    <w:rsid w:val="00977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6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64C"/>
    <w:pPr>
      <w:spacing w:before="160"/>
      <w:jc w:val="center"/>
    </w:pPr>
    <w:rPr>
      <w:i/>
      <w:iCs/>
      <w:color w:val="404040" w:themeColor="text1" w:themeTint="BF"/>
    </w:rPr>
  </w:style>
  <w:style w:type="character" w:customStyle="1" w:styleId="QuoteChar">
    <w:name w:val="Quote Char"/>
    <w:basedOn w:val="DefaultParagraphFont"/>
    <w:link w:val="Quote"/>
    <w:uiPriority w:val="29"/>
    <w:rsid w:val="0097764C"/>
    <w:rPr>
      <w:rFonts w:ascii="Times New Roman" w:hAnsi="Times New Roman"/>
      <w:i/>
      <w:iCs/>
      <w:color w:val="404040" w:themeColor="text1" w:themeTint="BF"/>
      <w:sz w:val="24"/>
    </w:rPr>
  </w:style>
  <w:style w:type="paragraph" w:styleId="ListParagraph">
    <w:name w:val="List Paragraph"/>
    <w:basedOn w:val="Normal"/>
    <w:uiPriority w:val="34"/>
    <w:rsid w:val="0097764C"/>
    <w:pPr>
      <w:ind w:left="720"/>
      <w:contextualSpacing/>
    </w:pPr>
  </w:style>
  <w:style w:type="character" w:styleId="IntenseEmphasis">
    <w:name w:val="Intense Emphasis"/>
    <w:basedOn w:val="DefaultParagraphFont"/>
    <w:uiPriority w:val="21"/>
    <w:qFormat/>
    <w:rsid w:val="0097764C"/>
    <w:rPr>
      <w:i/>
      <w:iCs/>
      <w:color w:val="2F5496" w:themeColor="accent1" w:themeShade="BF"/>
    </w:rPr>
  </w:style>
  <w:style w:type="paragraph" w:styleId="IntenseQuote">
    <w:name w:val="Intense Quote"/>
    <w:basedOn w:val="Normal"/>
    <w:next w:val="Normal"/>
    <w:link w:val="IntenseQuoteChar"/>
    <w:uiPriority w:val="30"/>
    <w:qFormat/>
    <w:rsid w:val="009776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764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7764C"/>
    <w:rPr>
      <w:b/>
      <w:bCs/>
      <w:smallCaps/>
      <w:color w:val="2F5496" w:themeColor="accent1" w:themeShade="BF"/>
      <w:spacing w:val="5"/>
    </w:rPr>
  </w:style>
  <w:style w:type="character" w:styleId="Hyperlink">
    <w:name w:val="Hyperlink"/>
    <w:basedOn w:val="DefaultParagraphFont"/>
    <w:uiPriority w:val="99"/>
    <w:unhideWhenUsed/>
    <w:rsid w:val="003460CA"/>
    <w:rPr>
      <w:color w:val="0563C1" w:themeColor="hyperlink"/>
      <w:u w:val="single"/>
    </w:rPr>
  </w:style>
  <w:style w:type="character" w:customStyle="1" w:styleId="UnresolvedMention">
    <w:name w:val="Unresolved Mention"/>
    <w:basedOn w:val="DefaultParagraphFont"/>
    <w:uiPriority w:val="99"/>
    <w:semiHidden/>
    <w:unhideWhenUsed/>
    <w:rsid w:val="003460CA"/>
    <w:rPr>
      <w:color w:val="605E5C"/>
      <w:shd w:val="clear" w:color="auto" w:fill="E1DFDD"/>
    </w:rPr>
  </w:style>
  <w:style w:type="table" w:customStyle="1" w:styleId="PlainTable1">
    <w:name w:val="Plain Table 1"/>
    <w:basedOn w:val="TableNormal"/>
    <w:uiPriority w:val="41"/>
    <w:rsid w:val="00E5289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rsid w:val="00A21F48"/>
    <w:pPr>
      <w:spacing w:after="200" w:line="240" w:lineRule="auto"/>
    </w:pPr>
    <w:rPr>
      <w:i/>
      <w:iCs/>
      <w:color w:val="44546A" w:themeColor="text2"/>
      <w:sz w:val="18"/>
      <w:szCs w:val="18"/>
    </w:rPr>
  </w:style>
  <w:style w:type="table" w:styleId="TableGrid">
    <w:name w:val="Table Grid"/>
    <w:basedOn w:val="TableNormal"/>
    <w:uiPriority w:val="39"/>
    <w:rsid w:val="00842F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4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549"/>
    <w:rPr>
      <w:rFonts w:ascii="Arial" w:hAnsi="Arial"/>
      <w:sz w:val="24"/>
    </w:rPr>
  </w:style>
  <w:style w:type="paragraph" w:styleId="Footer">
    <w:name w:val="footer"/>
    <w:basedOn w:val="Normal"/>
    <w:link w:val="FooterChar"/>
    <w:uiPriority w:val="99"/>
    <w:unhideWhenUsed/>
    <w:rsid w:val="00D74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549"/>
    <w:rPr>
      <w:rFonts w:ascii="Arial" w:hAnsi="Arial"/>
      <w:sz w:val="24"/>
    </w:rPr>
  </w:style>
  <w:style w:type="paragraph" w:styleId="TOCHeading">
    <w:name w:val="TOC Heading"/>
    <w:basedOn w:val="Heading1"/>
    <w:next w:val="Normal"/>
    <w:uiPriority w:val="39"/>
    <w:unhideWhenUsed/>
    <w:rsid w:val="008B74FF"/>
    <w:pPr>
      <w:spacing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D52C07"/>
    <w:pPr>
      <w:tabs>
        <w:tab w:val="right" w:leader="dot" w:pos="9016"/>
      </w:tabs>
      <w:spacing w:after="100"/>
    </w:pPr>
    <w:rPr>
      <w:b/>
      <w:bCs/>
      <w:noProof/>
    </w:rPr>
  </w:style>
  <w:style w:type="paragraph" w:styleId="TOC2">
    <w:name w:val="toc 2"/>
    <w:basedOn w:val="Normal"/>
    <w:next w:val="Normal"/>
    <w:autoRedefine/>
    <w:uiPriority w:val="39"/>
    <w:unhideWhenUsed/>
    <w:rsid w:val="00777D01"/>
    <w:pPr>
      <w:tabs>
        <w:tab w:val="right" w:leader="dot" w:pos="9016"/>
      </w:tabs>
      <w:spacing w:after="100"/>
      <w:ind w:left="240"/>
    </w:pPr>
  </w:style>
  <w:style w:type="paragraph" w:styleId="NoSpacing">
    <w:name w:val="No Spacing"/>
    <w:uiPriority w:val="1"/>
    <w:qFormat/>
    <w:rsid w:val="00777D01"/>
    <w:pPr>
      <w:spacing w:before="240" w:after="240" w:line="360" w:lineRule="auto"/>
      <w:jc w:val="both"/>
    </w:pPr>
    <w:rPr>
      <w:rFonts w:ascii="Arial" w:hAnsi="Arial"/>
      <w:sz w:val="24"/>
    </w:rPr>
  </w:style>
  <w:style w:type="character" w:styleId="FollowedHyperlink">
    <w:name w:val="FollowedHyperlink"/>
    <w:basedOn w:val="DefaultParagraphFont"/>
    <w:uiPriority w:val="99"/>
    <w:semiHidden/>
    <w:unhideWhenUsed/>
    <w:rsid w:val="002D70E4"/>
    <w:rPr>
      <w:color w:val="954F72" w:themeColor="followedHyperlink"/>
      <w:u w:val="single"/>
    </w:rPr>
  </w:style>
  <w:style w:type="table" w:customStyle="1" w:styleId="GridTableLight">
    <w:name w:val="Grid Table Light"/>
    <w:basedOn w:val="TableNormal"/>
    <w:uiPriority w:val="40"/>
    <w:rsid w:val="003F4CC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4">
    <w:name w:val="Grid Table 4"/>
    <w:basedOn w:val="TableNormal"/>
    <w:uiPriority w:val="49"/>
    <w:rsid w:val="003F4CC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1C5FF5"/>
    <w:rPr>
      <w:sz w:val="16"/>
      <w:szCs w:val="16"/>
    </w:rPr>
  </w:style>
  <w:style w:type="paragraph" w:styleId="CommentText">
    <w:name w:val="annotation text"/>
    <w:basedOn w:val="Normal"/>
    <w:link w:val="CommentTextChar"/>
    <w:uiPriority w:val="99"/>
    <w:unhideWhenUsed/>
    <w:rsid w:val="001C5FF5"/>
    <w:pPr>
      <w:spacing w:line="240" w:lineRule="auto"/>
    </w:pPr>
    <w:rPr>
      <w:sz w:val="20"/>
      <w:szCs w:val="20"/>
    </w:rPr>
  </w:style>
  <w:style w:type="character" w:customStyle="1" w:styleId="CommentTextChar">
    <w:name w:val="Comment Text Char"/>
    <w:basedOn w:val="DefaultParagraphFont"/>
    <w:link w:val="CommentText"/>
    <w:uiPriority w:val="99"/>
    <w:rsid w:val="001C5FF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C5FF5"/>
    <w:rPr>
      <w:b/>
      <w:bCs/>
    </w:rPr>
  </w:style>
  <w:style w:type="character" w:customStyle="1" w:styleId="CommentSubjectChar">
    <w:name w:val="Comment Subject Char"/>
    <w:basedOn w:val="CommentTextChar"/>
    <w:link w:val="CommentSubject"/>
    <w:uiPriority w:val="99"/>
    <w:semiHidden/>
    <w:rsid w:val="001C5FF5"/>
    <w:rPr>
      <w:rFonts w:ascii="Arial" w:hAnsi="Arial"/>
      <w:b/>
      <w:bCs/>
      <w:sz w:val="20"/>
      <w:szCs w:val="20"/>
    </w:rPr>
  </w:style>
  <w:style w:type="paragraph" w:styleId="BalloonText">
    <w:name w:val="Balloon Text"/>
    <w:basedOn w:val="Normal"/>
    <w:link w:val="BalloonTextChar"/>
    <w:uiPriority w:val="99"/>
    <w:semiHidden/>
    <w:unhideWhenUsed/>
    <w:rsid w:val="00520C0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C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533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bmjopenquality.bmj.com/content/bmjqir/12/1/e002092.full.pdf" TargetMode="External"/><Relationship Id="rId26" Type="http://schemas.openxmlformats.org/officeDocument/2006/relationships/hyperlink" Target="https://research.bangor.ac.uk/files/38400257/OBHC_Editorial_final_submitted.pdf" TargetMode="External"/><Relationship Id="rId39" Type="http://schemas.openxmlformats.org/officeDocument/2006/relationships/hyperlink" Target="https://www.researchgate.net/profile/Mahesh-Subramony/publication/376029641_Workload_nurse_turnover_and_patient_mortality_Test_of_a_hospital-level_moderated_mediation_model/links/65675806ce88b870311f7ff9/Workload-nurse-turnover-and-patient-mortality-Test-of-a-hospital-level-moderated-mediation-model.pdf" TargetMode="External"/><Relationship Id="rId3" Type="http://schemas.openxmlformats.org/officeDocument/2006/relationships/styles" Target="styles.xml"/><Relationship Id="rId21" Type="http://schemas.openxmlformats.org/officeDocument/2006/relationships/hyperlink" Target="https://www.ncbi.nlm.nih.gov/books/NBK566217/figure/ch3.fig7/" TargetMode="External"/><Relationship Id="rId34" Type="http://schemas.openxmlformats.org/officeDocument/2006/relationships/hyperlink" Target="https://www.healthknowledge.org.uk/content/principles-underlying-development-clinical-guidelines-clinical-effectiveness-and-quality" TargetMode="External"/><Relationship Id="rId42" Type="http://schemas.openxmlformats.org/officeDocument/2006/relationships/hyperlink" Target="https://jamanetwork.com/journals/jamanetworkopen/articlepdf/2812390/tyler_2023_oi_231308_1700251898.18185.pdf"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bmjopenquality.bmj.com/content/bmjqir/13/3/e002839.full.pdf" TargetMode="External"/><Relationship Id="rId25" Type="http://schemas.openxmlformats.org/officeDocument/2006/relationships/hyperlink" Target="https://ir.iba.edu.pk/cgi/viewcontent.cgi?article=1362&amp;context=sslace" TargetMode="External"/><Relationship Id="rId33" Type="http://schemas.openxmlformats.org/officeDocument/2006/relationships/hyperlink" Target="https://bmjopenquality.bmj.com/content/bmjqir/14/2/e003222.full.pdf" TargetMode="External"/><Relationship Id="rId38" Type="http://schemas.openxmlformats.org/officeDocument/2006/relationships/hyperlink" Target="https://www.osti.gov/pages/servlets/purl/3013183"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andfonline.com/doi/pdf/10.1080/13698575.2023.2201292" TargetMode="External"/><Relationship Id="rId20" Type="http://schemas.openxmlformats.org/officeDocument/2006/relationships/hyperlink" Target="https://pmc.ncbi.nlm.nih.gov/articles/PMC12984351/" TargetMode="External"/><Relationship Id="rId29" Type="http://schemas.openxmlformats.org/officeDocument/2006/relationships/hyperlink" Target="https://bmjopenquality.bmj.com/content/bmjqir/12/2/e002020.full.pdf" TargetMode="External"/><Relationship Id="rId41" Type="http://schemas.openxmlformats.org/officeDocument/2006/relationships/hyperlink" Target="https://www.tandfonline.com/doi/pdf/10.2147/RMHP.S466852%4010.1080/tfocoll.2024.0.issue-Advancing_Pati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pmc.ncbi.nlm.nih.gov/articles/PMC10656601/pdf/mzad088.pdf" TargetMode="External"/><Relationship Id="rId32" Type="http://schemas.openxmlformats.org/officeDocument/2006/relationships/hyperlink" Target="https://ualberta.scholaris.ca/server/api/core/bitstreams/52ace0ce-4d6f-4600-907d-50fa58c43e86/content" TargetMode="External"/><Relationship Id="rId37" Type="http://schemas.openxmlformats.org/officeDocument/2006/relationships/hyperlink" Target="https://journals.lww.com/journalpatientsafety/fulltext/2025/08000/how_were_patient_safety_incidents_responded_to,.11.aspx" TargetMode="External"/><Relationship Id="rId40" Type="http://schemas.openxmlformats.org/officeDocument/2006/relationships/hyperlink" Target="https://www.google.com/search?q=https://www.sciencedirect.com/science/article/pii/S016885102500010X&amp;authuser=1"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mjopenquality.bmj.com/content/bmjqir/12/2/e002076.full.pdf?trk=public_post_comment-text" TargetMode="External"/><Relationship Id="rId23" Type="http://schemas.openxmlformats.org/officeDocument/2006/relationships/hyperlink" Target="https://www.repository.cam.ac.uk/bitstreams/b50aa839-98c1-4df9-a072-a37b6374f374/download" TargetMode="External"/><Relationship Id="rId28" Type="http://schemas.openxmlformats.org/officeDocument/2006/relationships/hyperlink" Target="https://journals.sagepub.com/doi/pdf/10.1177/13558196221096921" TargetMode="External"/><Relationship Id="rId36" Type="http://schemas.openxmlformats.org/officeDocument/2006/relationships/hyperlink" Target="https://journals.lww.com/journalpatientsafety/_layouts/15/oaks.journals/downloadpdf.aspx?an=01209203-202212000-00019" TargetMode="External"/><Relationship Id="rId10" Type="http://schemas.openxmlformats.org/officeDocument/2006/relationships/image" Target="media/image2.png"/><Relationship Id="rId19" Type="http://schemas.openxmlformats.org/officeDocument/2006/relationships/hyperlink" Target="https://www.researchprotocols.org/2024/1/e51667" TargetMode="External"/><Relationship Id="rId31" Type="http://schemas.openxmlformats.org/officeDocument/2006/relationships/hyperlink" Target="https://connectsci.au/py/article-pdf/doi/10.1071/PY23123/586598/py23123.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guardian.com/society/2015/dec/09/southern-health-nhs-trust-failed-investigate-patient-deaths-inquiry" TargetMode="External"/><Relationship Id="rId14" Type="http://schemas.openxmlformats.org/officeDocument/2006/relationships/hyperlink" Target="https://link.springer.com/content/pdf/10.1007/s12553-025-01001-6.pdf" TargetMode="External"/><Relationship Id="rId22" Type="http://schemas.openxmlformats.org/officeDocument/2006/relationships/hyperlink" Target="https://mab-online.nl/article/148806/download/pdf/" TargetMode="External"/><Relationship Id="rId27" Type="http://schemas.openxmlformats.org/officeDocument/2006/relationships/hyperlink" Target="https://eprints.qut.edu.au/264188/" TargetMode="External"/><Relationship Id="rId30" Type="http://schemas.openxmlformats.org/officeDocument/2006/relationships/hyperlink" Target="https://scholarworks.aub.edu.lb/bitstreams/d7d16966-125d-46d7-954c-fe97d620f517/download" TargetMode="External"/><Relationship Id="rId35" Type="http://schemas.openxmlformats.org/officeDocument/2006/relationships/hyperlink" Target="https://publicera.kb.se/sjpa/article/download/11206/10741" TargetMode="External"/><Relationship Id="rId43" Type="http://schemas.openxmlformats.org/officeDocument/2006/relationships/hyperlink" Target="https://pmc.ncbi.nlm.nih.gov/articles/PMC8514562/pdf/nihms-165128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0DD123-3DA4-4B1E-9F64-29B3799B6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21</Pages>
  <Words>5515</Words>
  <Characters>31440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dc:creator>
  <cp:lastModifiedBy>ASUS</cp:lastModifiedBy>
  <cp:revision>42</cp:revision>
  <dcterms:created xsi:type="dcterms:W3CDTF">2026-07-16T10:21:00Z</dcterms:created>
  <dcterms:modified xsi:type="dcterms:W3CDTF">2026-07-29T11:38:00Z</dcterms:modified>
</cp:coreProperties>
</file>