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73385" w14:textId="1AEE08B3" w:rsidR="00C555E6" w:rsidRDefault="00C555E6"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This essay will</w:t>
      </w:r>
      <w:r w:rsidR="000A6460">
        <w:rPr>
          <w:rStyle w:val="normaltextrun"/>
          <w:rFonts w:ascii="Calibri" w:hAnsi="Calibri" w:cs="Calibri"/>
          <w:color w:val="000000"/>
        </w:rPr>
        <w:t xml:space="preserve"> present an overview on wh</w:t>
      </w:r>
      <w:r w:rsidR="005F1C13">
        <w:rPr>
          <w:rStyle w:val="normaltextrun"/>
          <w:rFonts w:ascii="Calibri" w:hAnsi="Calibri" w:cs="Calibri"/>
          <w:color w:val="000000"/>
        </w:rPr>
        <w:t xml:space="preserve">at </w:t>
      </w:r>
      <w:r w:rsidR="000A6460">
        <w:rPr>
          <w:rStyle w:val="normaltextrun"/>
          <w:rFonts w:ascii="Calibri" w:hAnsi="Calibri" w:cs="Calibri"/>
          <w:color w:val="000000"/>
        </w:rPr>
        <w:t>the Mental Capacity Act</w:t>
      </w:r>
      <w:r w:rsidR="005F1C13">
        <w:rPr>
          <w:rStyle w:val="normaltextrun"/>
          <w:rFonts w:ascii="Calibri" w:hAnsi="Calibri" w:cs="Calibri"/>
          <w:color w:val="000000"/>
        </w:rPr>
        <w:t xml:space="preserve"> is</w:t>
      </w:r>
      <w:r w:rsidR="000A6460">
        <w:rPr>
          <w:rStyle w:val="normaltextrun"/>
          <w:rFonts w:ascii="Calibri" w:hAnsi="Calibri" w:cs="Calibri"/>
          <w:color w:val="000000"/>
        </w:rPr>
        <w:t xml:space="preserve"> and explain some very interesting facts</w:t>
      </w:r>
      <w:r w:rsidR="005F1C13">
        <w:rPr>
          <w:rStyle w:val="normaltextrun"/>
          <w:rFonts w:ascii="Calibri" w:hAnsi="Calibri" w:cs="Calibri"/>
          <w:color w:val="000000"/>
        </w:rPr>
        <w:t xml:space="preserve"> about it.</w:t>
      </w:r>
      <w:r w:rsidR="000A6460">
        <w:rPr>
          <w:rStyle w:val="normaltextrun"/>
          <w:rFonts w:ascii="Calibri" w:hAnsi="Calibri" w:cs="Calibri"/>
          <w:color w:val="000000"/>
        </w:rPr>
        <w:t xml:space="preserve"> </w:t>
      </w:r>
      <w:r w:rsidR="005F1C13">
        <w:rPr>
          <w:rStyle w:val="normaltextrun"/>
          <w:rFonts w:ascii="Calibri" w:hAnsi="Calibri" w:cs="Calibri"/>
          <w:color w:val="000000"/>
        </w:rPr>
        <w:t>I</w:t>
      </w:r>
      <w:r w:rsidR="000A6460">
        <w:rPr>
          <w:rStyle w:val="normaltextrun"/>
          <w:rFonts w:ascii="Calibri" w:hAnsi="Calibri" w:cs="Calibri"/>
          <w:color w:val="000000"/>
        </w:rPr>
        <w:t>t will explain who the act applies to</w:t>
      </w:r>
      <w:r w:rsidR="005F1C13">
        <w:rPr>
          <w:rStyle w:val="normaltextrun"/>
          <w:rFonts w:ascii="Calibri" w:hAnsi="Calibri" w:cs="Calibri"/>
          <w:color w:val="000000"/>
        </w:rPr>
        <w:t>,</w:t>
      </w:r>
      <w:r w:rsidR="000A6460">
        <w:rPr>
          <w:rStyle w:val="normaltextrun"/>
          <w:rFonts w:ascii="Calibri" w:hAnsi="Calibri" w:cs="Calibri"/>
          <w:color w:val="000000"/>
        </w:rPr>
        <w:t xml:space="preserve"> and why</w:t>
      </w:r>
      <w:r w:rsidR="005F1C13">
        <w:rPr>
          <w:rStyle w:val="normaltextrun"/>
          <w:rFonts w:ascii="Calibri" w:hAnsi="Calibri" w:cs="Calibri"/>
          <w:color w:val="000000"/>
        </w:rPr>
        <w:t xml:space="preserve"> they would be put under it</w:t>
      </w:r>
      <w:r w:rsidR="000A6460">
        <w:rPr>
          <w:rStyle w:val="normaltextrun"/>
          <w:rFonts w:ascii="Calibri" w:hAnsi="Calibri" w:cs="Calibri"/>
          <w:color w:val="000000"/>
        </w:rPr>
        <w:t xml:space="preserve">. </w:t>
      </w:r>
      <w:r w:rsidR="002732FA">
        <w:rPr>
          <w:rStyle w:val="normaltextrun"/>
          <w:rFonts w:ascii="Calibri" w:hAnsi="Calibri" w:cs="Calibri"/>
          <w:color w:val="000000"/>
        </w:rPr>
        <w:t>Continuing this discussion there will be an explanation for</w:t>
      </w:r>
      <w:r w:rsidR="000A6460">
        <w:rPr>
          <w:rStyle w:val="normaltextrun"/>
          <w:rFonts w:ascii="Calibri" w:hAnsi="Calibri" w:cs="Calibri"/>
          <w:color w:val="000000"/>
        </w:rPr>
        <w:t xml:space="preserve"> </w:t>
      </w:r>
      <w:r w:rsidR="005F1C13">
        <w:rPr>
          <w:rStyle w:val="normaltextrun"/>
          <w:rFonts w:ascii="Calibri" w:hAnsi="Calibri" w:cs="Calibri"/>
          <w:color w:val="000000"/>
        </w:rPr>
        <w:t>t</w:t>
      </w:r>
      <w:r w:rsidR="000A6460">
        <w:rPr>
          <w:rStyle w:val="normaltextrun"/>
          <w:rFonts w:ascii="Calibri" w:hAnsi="Calibri" w:cs="Calibri"/>
          <w:color w:val="000000"/>
        </w:rPr>
        <w:t>he presumption of capacity</w:t>
      </w:r>
      <w:r w:rsidR="00B03D2D">
        <w:rPr>
          <w:rStyle w:val="normaltextrun"/>
          <w:rFonts w:ascii="Calibri" w:hAnsi="Calibri" w:cs="Calibri"/>
          <w:color w:val="000000"/>
        </w:rPr>
        <w:t xml:space="preserve"> and the individuals being supported to make their own decisions</w:t>
      </w:r>
      <w:r w:rsidR="005F1C13">
        <w:rPr>
          <w:rStyle w:val="normaltextrun"/>
          <w:rFonts w:ascii="Calibri" w:hAnsi="Calibri" w:cs="Calibri"/>
          <w:color w:val="000000"/>
        </w:rPr>
        <w:t>, wise or unwise</w:t>
      </w:r>
      <w:r w:rsidR="00CD5483">
        <w:rPr>
          <w:rStyle w:val="normaltextrun"/>
          <w:rFonts w:ascii="Calibri" w:hAnsi="Calibri" w:cs="Calibri"/>
          <w:color w:val="000000"/>
        </w:rPr>
        <w:t>. This essay will also give an understanding on how the Mental Capacity Act is broken down in to different sections and explain the different criteria. An example of</w:t>
      </w:r>
      <w:r w:rsidR="003E6733">
        <w:rPr>
          <w:rStyle w:val="normaltextrun"/>
          <w:rFonts w:ascii="Calibri" w:hAnsi="Calibri" w:cs="Calibri"/>
          <w:color w:val="000000"/>
        </w:rPr>
        <w:t xml:space="preserve"> a case study</w:t>
      </w:r>
      <w:r w:rsidR="00CD5483">
        <w:rPr>
          <w:rStyle w:val="normaltextrun"/>
          <w:rFonts w:ascii="Calibri" w:hAnsi="Calibri" w:cs="Calibri"/>
          <w:color w:val="000000"/>
        </w:rPr>
        <w:t xml:space="preserve"> has been included</w:t>
      </w:r>
      <w:r w:rsidR="003E6733">
        <w:rPr>
          <w:rStyle w:val="normaltextrun"/>
          <w:rFonts w:ascii="Calibri" w:hAnsi="Calibri" w:cs="Calibri"/>
          <w:color w:val="000000"/>
        </w:rPr>
        <w:t xml:space="preserve"> followed by the procedure of a Mental Health Tribunal</w:t>
      </w:r>
      <w:r w:rsidR="000923CD">
        <w:rPr>
          <w:rStyle w:val="normaltextrun"/>
          <w:rFonts w:ascii="Calibri" w:hAnsi="Calibri" w:cs="Calibri"/>
          <w:color w:val="000000"/>
        </w:rPr>
        <w:t>,</w:t>
      </w:r>
      <w:r w:rsidR="003E6733">
        <w:rPr>
          <w:rStyle w:val="normaltextrun"/>
          <w:rFonts w:ascii="Calibri" w:hAnsi="Calibri" w:cs="Calibri"/>
          <w:color w:val="000000"/>
        </w:rPr>
        <w:t xml:space="preserve"> Community Treatment Order</w:t>
      </w:r>
      <w:r w:rsidR="000923CD">
        <w:rPr>
          <w:rStyle w:val="normaltextrun"/>
          <w:rFonts w:ascii="Calibri" w:hAnsi="Calibri" w:cs="Calibri"/>
          <w:color w:val="000000"/>
        </w:rPr>
        <w:t xml:space="preserve"> and deprivation of liberty.</w:t>
      </w:r>
    </w:p>
    <w:p w14:paraId="6BA7158E" w14:textId="77777777" w:rsidR="000923CD" w:rsidRDefault="000923CD"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41DA0A21" w14:textId="4AFD1F50" w:rsidR="009959EF" w:rsidRDefault="00BF1A9B" w:rsidP="00414BC5">
      <w:pPr>
        <w:pStyle w:val="paragraph"/>
        <w:spacing w:before="0" w:beforeAutospacing="0" w:after="0" w:afterAutospacing="0" w:line="360" w:lineRule="auto"/>
        <w:textAlignment w:val="baseline"/>
        <w:rPr>
          <w:rStyle w:val="normaltextrun"/>
          <w:rFonts w:ascii="Calibri" w:hAnsi="Calibri" w:cs="Calibri"/>
          <w:color w:val="000000"/>
        </w:rPr>
      </w:pPr>
      <w:r w:rsidRPr="00414BC5">
        <w:rPr>
          <w:rStyle w:val="normaltextrun"/>
          <w:rFonts w:ascii="Calibri" w:hAnsi="Calibri" w:cs="Calibri"/>
          <w:color w:val="000000"/>
        </w:rPr>
        <w:t xml:space="preserve">To empower persons in England and Wales who lack the ability to make their own decisions </w:t>
      </w:r>
    </w:p>
    <w:p w14:paraId="16C68644" w14:textId="13ADA9C3" w:rsidR="00B176DC" w:rsidRDefault="00BF1A9B" w:rsidP="00414BC5">
      <w:pPr>
        <w:pStyle w:val="paragraph"/>
        <w:spacing w:before="0" w:beforeAutospacing="0" w:after="0" w:afterAutospacing="0" w:line="360" w:lineRule="auto"/>
        <w:textAlignment w:val="baseline"/>
        <w:rPr>
          <w:rStyle w:val="normaltextrun"/>
          <w:rFonts w:ascii="Calibri" w:hAnsi="Calibri" w:cs="Calibri"/>
          <w:color w:val="000000"/>
        </w:rPr>
      </w:pPr>
      <w:r w:rsidRPr="00414BC5">
        <w:rPr>
          <w:rStyle w:val="normaltextrun"/>
          <w:rFonts w:ascii="Calibri" w:hAnsi="Calibri" w:cs="Calibri"/>
          <w:color w:val="000000"/>
        </w:rPr>
        <w:t xml:space="preserve">about their care and treatments, The Mental Capacity act 2005 (MCA) was designed and amended to The Mental Health Act 1983 (MHA). </w:t>
      </w:r>
      <w:r w:rsidR="0001305E">
        <w:rPr>
          <w:rStyle w:val="normaltextrun"/>
          <w:rFonts w:ascii="Calibri" w:hAnsi="Calibri" w:cs="Calibri"/>
          <w:color w:val="000000"/>
        </w:rPr>
        <w:t xml:space="preserve"> According to the National Health Service (2019) t</w:t>
      </w:r>
      <w:r w:rsidRPr="00414BC5">
        <w:rPr>
          <w:rStyle w:val="normaltextrun"/>
          <w:rFonts w:ascii="Calibri" w:hAnsi="Calibri" w:cs="Calibri"/>
          <w:color w:val="000000"/>
        </w:rPr>
        <w:t>his act applies to a person who is 16 and over with conditions such as dementia, sever learning disabilities, a brain injury, a mental health condition, a stroke or persons who are unconscious caused by an anaesthetic or a sudden accident. All professionals in the National Health Service (NHS) and anyone in social care such as, social workers, occupational therapists, health care assistance and support staff have a duty to ensure they are correctly trained in its implementation.</w:t>
      </w:r>
      <w:r w:rsidR="0001305E">
        <w:rPr>
          <w:rStyle w:val="eop"/>
          <w:rFonts w:ascii="Calibri" w:hAnsi="Calibri" w:cs="Calibri"/>
          <w:color w:val="000000"/>
        </w:rPr>
        <w:t xml:space="preserve"> A person must be assumed to have capacity unless it is </w:t>
      </w:r>
      <w:r w:rsidR="007B0730">
        <w:rPr>
          <w:rStyle w:val="eop"/>
          <w:rFonts w:ascii="Calibri" w:hAnsi="Calibri" w:cs="Calibri"/>
          <w:color w:val="000000"/>
        </w:rPr>
        <w:t>e</w:t>
      </w:r>
      <w:r w:rsidR="0001305E">
        <w:rPr>
          <w:rStyle w:val="eop"/>
          <w:rFonts w:ascii="Calibri" w:hAnsi="Calibri" w:cs="Calibri"/>
          <w:color w:val="000000"/>
        </w:rPr>
        <w:t xml:space="preserve">stablished that he or she lacks capacity, therefore they should not be </w:t>
      </w:r>
      <w:r w:rsidR="007B0730">
        <w:rPr>
          <w:rStyle w:val="eop"/>
          <w:rFonts w:ascii="Calibri" w:hAnsi="Calibri" w:cs="Calibri"/>
          <w:color w:val="000000"/>
        </w:rPr>
        <w:t>treated</w:t>
      </w:r>
      <w:r w:rsidR="0001305E">
        <w:rPr>
          <w:rStyle w:val="eop"/>
          <w:rFonts w:ascii="Calibri" w:hAnsi="Calibri" w:cs="Calibri"/>
          <w:color w:val="000000"/>
        </w:rPr>
        <w:t xml:space="preserve"> as unable to </w:t>
      </w:r>
      <w:r w:rsidR="007B0730">
        <w:rPr>
          <w:rStyle w:val="eop"/>
          <w:rFonts w:ascii="Calibri" w:hAnsi="Calibri" w:cs="Calibri"/>
          <w:color w:val="000000"/>
        </w:rPr>
        <w:t>decide</w:t>
      </w:r>
      <w:r w:rsidR="0001305E">
        <w:rPr>
          <w:rStyle w:val="eop"/>
          <w:rFonts w:ascii="Calibri" w:hAnsi="Calibri" w:cs="Calibri"/>
          <w:color w:val="000000"/>
        </w:rPr>
        <w:t xml:space="preserve"> merely because </w:t>
      </w:r>
      <w:r w:rsidR="007B0730">
        <w:rPr>
          <w:rStyle w:val="eop"/>
          <w:rFonts w:ascii="Calibri" w:hAnsi="Calibri" w:cs="Calibri"/>
          <w:color w:val="000000"/>
        </w:rPr>
        <w:t>they make an unwise decision.</w:t>
      </w:r>
      <w:r w:rsidR="00B03D2D">
        <w:rPr>
          <w:rStyle w:val="eop"/>
          <w:rFonts w:ascii="Calibri" w:hAnsi="Calibri" w:cs="Calibri"/>
          <w:color w:val="000000"/>
        </w:rPr>
        <w:t xml:space="preserve"> A person must be given all practicable help before anyone treats them as not being able to make their own decisions. A person should be supported and encouraged to make their own decisions in life, but if capacity is </w:t>
      </w:r>
      <w:r w:rsidR="005F1C13">
        <w:rPr>
          <w:rStyle w:val="eop"/>
          <w:rFonts w:ascii="Calibri" w:hAnsi="Calibri" w:cs="Calibri"/>
          <w:color w:val="000000"/>
        </w:rPr>
        <w:t>implemented</w:t>
      </w:r>
      <w:r w:rsidR="00B03D2D">
        <w:rPr>
          <w:rStyle w:val="eop"/>
          <w:rFonts w:ascii="Calibri" w:hAnsi="Calibri" w:cs="Calibri"/>
          <w:color w:val="000000"/>
        </w:rPr>
        <w:t>, then it is important that they are still involved in their care</w:t>
      </w:r>
      <w:r w:rsidR="005F1C13">
        <w:rPr>
          <w:rStyle w:val="eop"/>
          <w:rFonts w:ascii="Calibri" w:hAnsi="Calibri" w:cs="Calibri"/>
          <w:color w:val="000000"/>
        </w:rPr>
        <w:t xml:space="preserve"> or</w:t>
      </w:r>
      <w:r w:rsidR="00B03D2D">
        <w:rPr>
          <w:rStyle w:val="eop"/>
          <w:rFonts w:ascii="Calibri" w:hAnsi="Calibri" w:cs="Calibri"/>
          <w:color w:val="000000"/>
        </w:rPr>
        <w:t xml:space="preserve"> treatment.</w:t>
      </w:r>
      <w:r w:rsidR="007B0730">
        <w:rPr>
          <w:rStyle w:val="eop"/>
          <w:rFonts w:ascii="Calibri" w:hAnsi="Calibri" w:cs="Calibri"/>
          <w:color w:val="000000"/>
        </w:rPr>
        <w:t xml:space="preserve"> An act done, or a decision made, under this act for o</w:t>
      </w:r>
      <w:r w:rsidR="004378C6">
        <w:rPr>
          <w:rStyle w:val="eop"/>
          <w:rFonts w:ascii="Calibri" w:hAnsi="Calibri" w:cs="Calibri"/>
          <w:color w:val="000000"/>
        </w:rPr>
        <w:t xml:space="preserve">r on behalf of someone who lacks capacity must be </w:t>
      </w:r>
      <w:r w:rsidR="00206CF1">
        <w:rPr>
          <w:rStyle w:val="eop"/>
          <w:rFonts w:ascii="Calibri" w:hAnsi="Calibri" w:cs="Calibri"/>
          <w:color w:val="000000"/>
        </w:rPr>
        <w:t>done or</w:t>
      </w:r>
      <w:r w:rsidR="004378C6">
        <w:rPr>
          <w:rStyle w:val="eop"/>
          <w:rFonts w:ascii="Calibri" w:hAnsi="Calibri" w:cs="Calibri"/>
          <w:color w:val="000000"/>
        </w:rPr>
        <w:t xml:space="preserve"> made in their best interest.</w:t>
      </w:r>
      <w:r w:rsidR="00087455">
        <w:rPr>
          <w:rStyle w:val="eop"/>
          <w:rFonts w:ascii="Calibri" w:hAnsi="Calibri" w:cs="Calibri"/>
          <w:color w:val="000000"/>
        </w:rPr>
        <w:t xml:space="preserve"> </w:t>
      </w:r>
      <w:r w:rsidR="004378C6">
        <w:rPr>
          <w:rStyle w:val="eop"/>
          <w:rFonts w:ascii="Calibri" w:hAnsi="Calibri" w:cs="Calibri"/>
          <w:color w:val="000000"/>
        </w:rPr>
        <w:t xml:space="preserve"> </w:t>
      </w:r>
      <w:r w:rsidRPr="00414BC5">
        <w:rPr>
          <w:rStyle w:val="normaltextrun"/>
          <w:rFonts w:ascii="Calibri" w:hAnsi="Calibri" w:cs="Calibri"/>
          <w:color w:val="000000"/>
        </w:rPr>
        <w:t xml:space="preserve">The MHA is divided into sections hence the name ‘sectioning'. Normally, by a loved one, </w:t>
      </w:r>
      <w:r w:rsidR="00004178" w:rsidRPr="00414BC5">
        <w:rPr>
          <w:rStyle w:val="normaltextrun"/>
          <w:rFonts w:ascii="Calibri" w:hAnsi="Calibri" w:cs="Calibri"/>
          <w:color w:val="000000"/>
        </w:rPr>
        <w:t xml:space="preserve">a </w:t>
      </w:r>
      <w:r w:rsidR="00004178">
        <w:rPr>
          <w:rStyle w:val="normaltextrun"/>
          <w:rFonts w:ascii="Calibri" w:hAnsi="Calibri" w:cs="Calibri"/>
          <w:color w:val="000000"/>
        </w:rPr>
        <w:t>concerned</w:t>
      </w:r>
      <w:r w:rsidRPr="00414BC5">
        <w:rPr>
          <w:rStyle w:val="normaltextrun"/>
          <w:rFonts w:ascii="Calibri" w:hAnsi="Calibri" w:cs="Calibri"/>
          <w:color w:val="000000"/>
        </w:rPr>
        <w:t xml:space="preserve"> doctor or even sometimes by the police</w:t>
      </w:r>
      <w:r w:rsidR="00DC48F4">
        <w:rPr>
          <w:rStyle w:val="normaltextrun"/>
          <w:rFonts w:ascii="Calibri" w:hAnsi="Calibri" w:cs="Calibri"/>
          <w:color w:val="000000"/>
        </w:rPr>
        <w:t>,</w:t>
      </w:r>
      <w:r w:rsidRPr="00414BC5">
        <w:rPr>
          <w:rStyle w:val="normaltextrun"/>
          <w:rFonts w:ascii="Calibri" w:hAnsi="Calibri" w:cs="Calibri"/>
          <w:color w:val="000000"/>
        </w:rPr>
        <w:t xml:space="preserve"> a patient would be brought in to be put through section </w:t>
      </w:r>
      <w:r w:rsidR="00C22AD9">
        <w:rPr>
          <w:rStyle w:val="normaltextrun"/>
          <w:rFonts w:ascii="Calibri" w:hAnsi="Calibri" w:cs="Calibri"/>
          <w:color w:val="000000"/>
        </w:rPr>
        <w:t>Two</w:t>
      </w:r>
      <w:r w:rsidRPr="00414BC5">
        <w:rPr>
          <w:rStyle w:val="normaltextrun"/>
          <w:rFonts w:ascii="Calibri" w:hAnsi="Calibri" w:cs="Calibri"/>
          <w:color w:val="000000"/>
        </w:rPr>
        <w:t xml:space="preserve"> which is to admit someone for an assessment. Two doctors, one of which must be a section </w:t>
      </w:r>
      <w:r w:rsidR="006576EC">
        <w:rPr>
          <w:rStyle w:val="normaltextrun"/>
          <w:rFonts w:ascii="Calibri" w:hAnsi="Calibri" w:cs="Calibri"/>
          <w:color w:val="000000"/>
        </w:rPr>
        <w:t>twelve</w:t>
      </w:r>
      <w:r w:rsidRPr="00414BC5">
        <w:rPr>
          <w:rStyle w:val="normaltextrun"/>
          <w:rFonts w:ascii="Calibri" w:hAnsi="Calibri" w:cs="Calibri"/>
          <w:color w:val="000000"/>
        </w:rPr>
        <w:t xml:space="preserve"> approved doctor, must agree on whether the person should be detained in hospital for treatment. An approved mental health professional or the patients next of kin then have the right to apply to hospital managers for the patients to be admitted. Under section </w:t>
      </w:r>
      <w:r w:rsidR="006576EC">
        <w:rPr>
          <w:rStyle w:val="normaltextrun"/>
          <w:rFonts w:ascii="Calibri" w:hAnsi="Calibri" w:cs="Calibri"/>
          <w:color w:val="000000"/>
        </w:rPr>
        <w:t>two</w:t>
      </w:r>
      <w:r w:rsidRPr="00414BC5">
        <w:rPr>
          <w:rStyle w:val="normaltextrun"/>
          <w:rFonts w:ascii="Calibri" w:hAnsi="Calibri" w:cs="Calibri"/>
          <w:color w:val="000000"/>
        </w:rPr>
        <w:t xml:space="preserve"> a patient can only be kept in hospital up to twenty-eight</w:t>
      </w:r>
      <w:r w:rsidR="00C22AD9">
        <w:rPr>
          <w:rStyle w:val="normaltextrun"/>
          <w:rFonts w:ascii="Calibri" w:hAnsi="Calibri" w:cs="Calibri"/>
          <w:color w:val="000000"/>
        </w:rPr>
        <w:t xml:space="preserve"> days,</w:t>
      </w:r>
      <w:r w:rsidRPr="00414BC5">
        <w:rPr>
          <w:rStyle w:val="normaltextrun"/>
          <w:rFonts w:ascii="Calibri" w:hAnsi="Calibri" w:cs="Calibri"/>
          <w:color w:val="000000"/>
        </w:rPr>
        <w:t xml:space="preserve"> </w:t>
      </w:r>
      <w:r w:rsidR="00C22AD9">
        <w:rPr>
          <w:rStyle w:val="normaltextrun"/>
          <w:rFonts w:ascii="Calibri" w:hAnsi="Calibri" w:cs="Calibri"/>
          <w:color w:val="000000"/>
        </w:rPr>
        <w:t xml:space="preserve">so that a doctor can decide on </w:t>
      </w:r>
      <w:r w:rsidR="00C22AD9">
        <w:rPr>
          <w:rStyle w:val="normaltextrun"/>
          <w:rFonts w:ascii="Calibri" w:hAnsi="Calibri" w:cs="Calibri"/>
          <w:color w:val="000000"/>
        </w:rPr>
        <w:lastRenderedPageBreak/>
        <w:t>what mental disorder a person has and what treatment may be best for them. Section two</w:t>
      </w:r>
      <w:r w:rsidR="006576EC">
        <w:rPr>
          <w:rStyle w:val="normaltextrun"/>
          <w:rFonts w:ascii="Calibri" w:hAnsi="Calibri" w:cs="Calibri"/>
          <w:color w:val="000000"/>
        </w:rPr>
        <w:t xml:space="preserve"> cannot be extended </w:t>
      </w:r>
      <w:r w:rsidRPr="00414BC5">
        <w:rPr>
          <w:rStyle w:val="normaltextrun"/>
          <w:rFonts w:ascii="Calibri" w:hAnsi="Calibri" w:cs="Calibri"/>
          <w:color w:val="000000"/>
        </w:rPr>
        <w:t xml:space="preserve">therefore if a mental health professional feels that the patient should stay longer, they should then put the patient under a section </w:t>
      </w:r>
      <w:r w:rsidR="006576EC">
        <w:rPr>
          <w:rStyle w:val="normaltextrun"/>
          <w:rFonts w:ascii="Calibri" w:hAnsi="Calibri" w:cs="Calibri"/>
          <w:color w:val="000000"/>
        </w:rPr>
        <w:t>three</w:t>
      </w:r>
      <w:r w:rsidRPr="00414BC5">
        <w:rPr>
          <w:rStyle w:val="normaltextrun"/>
          <w:rFonts w:ascii="Calibri" w:hAnsi="Calibri" w:cs="Calibri"/>
          <w:color w:val="000000"/>
        </w:rPr>
        <w:t xml:space="preserve">. Section </w:t>
      </w:r>
      <w:r w:rsidR="006576EC">
        <w:rPr>
          <w:rStyle w:val="normaltextrun"/>
          <w:rFonts w:ascii="Calibri" w:hAnsi="Calibri" w:cs="Calibri"/>
          <w:color w:val="000000"/>
        </w:rPr>
        <w:t>three</w:t>
      </w:r>
      <w:r w:rsidRPr="00414BC5">
        <w:rPr>
          <w:rStyle w:val="normaltextrun"/>
          <w:rFonts w:ascii="Calibri" w:hAnsi="Calibri" w:cs="Calibri"/>
          <w:color w:val="000000"/>
        </w:rPr>
        <w:t xml:space="preserve"> covers the treatment and allows patients to be admitted for up to six months</w:t>
      </w:r>
      <w:r w:rsidR="002B5B46">
        <w:rPr>
          <w:rStyle w:val="normaltextrun"/>
          <w:rFonts w:ascii="Calibri" w:hAnsi="Calibri" w:cs="Calibri"/>
          <w:color w:val="000000"/>
        </w:rPr>
        <w:t>.</w:t>
      </w:r>
      <w:r w:rsidR="006576EC">
        <w:rPr>
          <w:rStyle w:val="normaltextrun"/>
          <w:rFonts w:ascii="Calibri" w:hAnsi="Calibri" w:cs="Calibri"/>
          <w:color w:val="000000"/>
        </w:rPr>
        <w:t xml:space="preserve"> </w:t>
      </w:r>
      <w:r w:rsidR="002B5B46">
        <w:rPr>
          <w:rStyle w:val="normaltextrun"/>
          <w:rFonts w:ascii="Calibri" w:hAnsi="Calibri" w:cs="Calibri"/>
          <w:color w:val="000000"/>
        </w:rPr>
        <w:t>U</w:t>
      </w:r>
      <w:r w:rsidR="006576EC">
        <w:rPr>
          <w:rStyle w:val="normaltextrun"/>
          <w:rFonts w:ascii="Calibri" w:hAnsi="Calibri" w:cs="Calibri"/>
          <w:color w:val="000000"/>
        </w:rPr>
        <w:t>nlike section two</w:t>
      </w:r>
      <w:r w:rsidR="002B5B46">
        <w:rPr>
          <w:rStyle w:val="normaltextrun"/>
          <w:rFonts w:ascii="Calibri" w:hAnsi="Calibri" w:cs="Calibri"/>
          <w:color w:val="000000"/>
        </w:rPr>
        <w:t>,</w:t>
      </w:r>
      <w:r w:rsidR="006576EC">
        <w:rPr>
          <w:rStyle w:val="normaltextrun"/>
          <w:rFonts w:ascii="Calibri" w:hAnsi="Calibri" w:cs="Calibri"/>
          <w:color w:val="000000"/>
        </w:rPr>
        <w:t xml:space="preserve"> this section can be extended</w:t>
      </w:r>
      <w:r w:rsidR="002B5B46">
        <w:rPr>
          <w:rStyle w:val="normaltextrun"/>
          <w:rFonts w:ascii="Calibri" w:hAnsi="Calibri" w:cs="Calibri"/>
          <w:color w:val="000000"/>
        </w:rPr>
        <w:t xml:space="preserve"> for a further six </w:t>
      </w:r>
      <w:r w:rsidRPr="00414BC5">
        <w:rPr>
          <w:rStyle w:val="normaltextrun"/>
          <w:rFonts w:ascii="Calibri" w:hAnsi="Calibri" w:cs="Calibri"/>
          <w:color w:val="000000"/>
        </w:rPr>
        <w:t>months and then yearly if needed</w:t>
      </w:r>
      <w:r w:rsidR="002B5B46">
        <w:rPr>
          <w:rStyle w:val="normaltextrun"/>
          <w:rFonts w:ascii="Calibri" w:hAnsi="Calibri" w:cs="Calibri"/>
          <w:color w:val="000000"/>
        </w:rPr>
        <w:t>. If the persons responsible clinician decides to renew the section, then they mus</w:t>
      </w:r>
      <w:r w:rsidR="00672D1E">
        <w:rPr>
          <w:rStyle w:val="normaltextrun"/>
          <w:rFonts w:ascii="Calibri" w:hAnsi="Calibri" w:cs="Calibri"/>
          <w:color w:val="000000"/>
        </w:rPr>
        <w:t>t assess them</w:t>
      </w:r>
      <w:r w:rsidR="002B5B46">
        <w:rPr>
          <w:rStyle w:val="normaltextrun"/>
          <w:rFonts w:ascii="Calibri" w:hAnsi="Calibri" w:cs="Calibri"/>
          <w:color w:val="000000"/>
        </w:rPr>
        <w:t xml:space="preserve"> </w:t>
      </w:r>
      <w:r w:rsidR="000D72B3">
        <w:rPr>
          <w:rStyle w:val="normaltextrun"/>
          <w:rFonts w:ascii="Calibri" w:hAnsi="Calibri" w:cs="Calibri"/>
          <w:color w:val="000000"/>
        </w:rPr>
        <w:t>with</w:t>
      </w:r>
      <w:r w:rsidR="002B5B46">
        <w:rPr>
          <w:rStyle w:val="normaltextrun"/>
          <w:rFonts w:ascii="Calibri" w:hAnsi="Calibri" w:cs="Calibri"/>
          <w:color w:val="000000"/>
        </w:rPr>
        <w:t>in the two months before</w:t>
      </w:r>
      <w:r w:rsidR="00672D1E">
        <w:rPr>
          <w:rStyle w:val="normaltextrun"/>
          <w:rFonts w:ascii="Calibri" w:hAnsi="Calibri" w:cs="Calibri"/>
          <w:color w:val="000000"/>
        </w:rPr>
        <w:t xml:space="preserve"> the sections ends</w:t>
      </w:r>
      <w:r w:rsidR="00110BCF">
        <w:rPr>
          <w:rStyle w:val="normaltextrun"/>
          <w:rFonts w:ascii="Calibri" w:hAnsi="Calibri" w:cs="Calibri"/>
          <w:color w:val="000000"/>
        </w:rPr>
        <w:t xml:space="preserve"> (Illness, 2019).</w:t>
      </w:r>
    </w:p>
    <w:p w14:paraId="08566553" w14:textId="77777777" w:rsidR="000D72B3" w:rsidRDefault="000D72B3"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4878EF06" w14:textId="61E7E1F5" w:rsidR="00B176DC" w:rsidRDefault="00B176DC"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b/>
          <w:color w:val="000000"/>
          <w:u w:val="single"/>
        </w:rPr>
        <w:t>Case study 1.1</w:t>
      </w:r>
      <w:r>
        <w:rPr>
          <w:rStyle w:val="normaltextrun"/>
          <w:rFonts w:ascii="Calibri" w:hAnsi="Calibri" w:cs="Calibri"/>
          <w:color w:val="000000"/>
        </w:rPr>
        <w:t xml:space="preserve"> </w:t>
      </w:r>
    </w:p>
    <w:p w14:paraId="04FE80A3" w14:textId="6CFA4DDB" w:rsidR="00664A0A" w:rsidRDefault="00B176DC"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A client with a diagnosis of </w:t>
      </w:r>
      <w:proofErr w:type="spellStart"/>
      <w:r>
        <w:rPr>
          <w:rStyle w:val="normaltextrun"/>
          <w:rFonts w:ascii="Calibri" w:hAnsi="Calibri" w:cs="Calibri"/>
          <w:color w:val="000000"/>
        </w:rPr>
        <w:t>schizo</w:t>
      </w:r>
      <w:proofErr w:type="spellEnd"/>
      <w:r>
        <w:rPr>
          <w:rStyle w:val="normaltextrun"/>
          <w:rFonts w:ascii="Calibri" w:hAnsi="Calibri" w:cs="Calibri"/>
          <w:color w:val="000000"/>
        </w:rPr>
        <w:t>-affective disorder was detained</w:t>
      </w:r>
      <w:r w:rsidR="00D36029">
        <w:rPr>
          <w:rStyle w:val="normaltextrun"/>
          <w:rFonts w:ascii="Calibri" w:hAnsi="Calibri" w:cs="Calibri"/>
          <w:color w:val="000000"/>
        </w:rPr>
        <w:t xml:space="preserve"> in a psychiatric hospital on an acute admissions ward</w:t>
      </w:r>
      <w:r>
        <w:rPr>
          <w:rStyle w:val="normaltextrun"/>
          <w:rFonts w:ascii="Calibri" w:hAnsi="Calibri" w:cs="Calibri"/>
          <w:color w:val="000000"/>
        </w:rPr>
        <w:t xml:space="preserve"> under section two of the Mental health </w:t>
      </w:r>
      <w:r w:rsidR="00D36029">
        <w:rPr>
          <w:rStyle w:val="normaltextrun"/>
          <w:rFonts w:ascii="Calibri" w:hAnsi="Calibri" w:cs="Calibri"/>
          <w:color w:val="000000"/>
        </w:rPr>
        <w:t>Ac</w:t>
      </w:r>
      <w:r w:rsidR="00831819">
        <w:rPr>
          <w:rStyle w:val="normaltextrun"/>
          <w:rFonts w:ascii="Calibri" w:hAnsi="Calibri" w:cs="Calibri"/>
          <w:color w:val="000000"/>
        </w:rPr>
        <w:t xml:space="preserve">t. The client had stopped taking their medication whilst in the community, leaving them feeling unwell and depressed. The client had a history of making serious suicide attempts, as a result of this they </w:t>
      </w:r>
      <w:r w:rsidR="006F01E3">
        <w:rPr>
          <w:rStyle w:val="normaltextrun"/>
          <w:rFonts w:ascii="Calibri" w:hAnsi="Calibri" w:cs="Calibri"/>
          <w:color w:val="000000"/>
        </w:rPr>
        <w:t>were</w:t>
      </w:r>
      <w:r w:rsidR="00831819">
        <w:rPr>
          <w:rStyle w:val="normaltextrun"/>
          <w:rFonts w:ascii="Calibri" w:hAnsi="Calibri" w:cs="Calibri"/>
          <w:color w:val="000000"/>
        </w:rPr>
        <w:t xml:space="preserve"> readmitted for the second time that year. </w:t>
      </w:r>
      <w:r w:rsidR="00D36029">
        <w:rPr>
          <w:rStyle w:val="normaltextrun"/>
          <w:rFonts w:ascii="Calibri" w:hAnsi="Calibri" w:cs="Calibri"/>
          <w:color w:val="000000"/>
        </w:rPr>
        <w:t>The client was prescribed medication and Cognitive Behavioural Therapy (CBT)</w:t>
      </w:r>
      <w:r w:rsidR="00831819">
        <w:rPr>
          <w:rStyle w:val="normaltextrun"/>
          <w:rFonts w:ascii="Calibri" w:hAnsi="Calibri" w:cs="Calibri"/>
          <w:color w:val="000000"/>
        </w:rPr>
        <w:t xml:space="preserve">. </w:t>
      </w:r>
      <w:r w:rsidR="006F01E3">
        <w:rPr>
          <w:rStyle w:val="normaltextrun"/>
          <w:rFonts w:ascii="Calibri" w:hAnsi="Calibri" w:cs="Calibri"/>
          <w:color w:val="000000"/>
        </w:rPr>
        <w:t>After spending twelve days in hospital the client was discharged by the Mental Health Tribunal. As a result of the client feeling well enough on the day and showing no signs of relapse, therefore the tribunal agreed for the client to be discharged</w:t>
      </w:r>
      <w:r w:rsidR="00664A0A">
        <w:rPr>
          <w:rStyle w:val="normaltextrun"/>
          <w:rFonts w:ascii="Calibri" w:hAnsi="Calibri" w:cs="Calibri"/>
          <w:color w:val="000000"/>
        </w:rPr>
        <w:t xml:space="preserve"> (Godwin, 2019).</w:t>
      </w:r>
    </w:p>
    <w:p w14:paraId="5989B9E7" w14:textId="77777777" w:rsidR="000D72B3" w:rsidRDefault="000D72B3"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6DF5E7D8" w14:textId="77777777" w:rsidR="000D72B3" w:rsidRDefault="00664A0A"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Legal representatives, nearest relatives or the pat</w:t>
      </w:r>
      <w:r w:rsidR="00F0524B">
        <w:rPr>
          <w:rStyle w:val="normaltextrun"/>
          <w:rFonts w:ascii="Calibri" w:hAnsi="Calibri" w:cs="Calibri"/>
          <w:color w:val="000000"/>
        </w:rPr>
        <w:t>ients themselves has the rights to apply for a Mental Health Tribunal if they are detained in a psychiatric hospital and want to be discharged, or even to change their Community Treatment Order (CTO)</w:t>
      </w:r>
      <w:r w:rsidR="0012637A">
        <w:rPr>
          <w:rStyle w:val="normaltextrun"/>
          <w:rFonts w:ascii="Calibri" w:hAnsi="Calibri" w:cs="Calibri"/>
          <w:color w:val="000000"/>
        </w:rPr>
        <w:t xml:space="preserve">. The legislation </w:t>
      </w:r>
      <w:r w:rsidR="00FB7F20">
        <w:rPr>
          <w:rStyle w:val="normaltextrun"/>
          <w:rFonts w:ascii="Calibri" w:hAnsi="Calibri" w:cs="Calibri"/>
          <w:color w:val="000000"/>
        </w:rPr>
        <w:t xml:space="preserve">says, that </w:t>
      </w:r>
      <w:r w:rsidR="0012637A">
        <w:rPr>
          <w:rStyle w:val="normaltextrun"/>
          <w:rFonts w:ascii="Calibri" w:hAnsi="Calibri" w:cs="Calibri"/>
          <w:color w:val="000000"/>
        </w:rPr>
        <w:t>when applying for the Mental Health Tribunal under section two, an application must be made within fourteen days</w:t>
      </w:r>
      <w:r w:rsidR="000D72B3">
        <w:rPr>
          <w:rStyle w:val="normaltextrun"/>
          <w:rFonts w:ascii="Calibri" w:hAnsi="Calibri" w:cs="Calibri"/>
          <w:color w:val="000000"/>
        </w:rPr>
        <w:t>,</w:t>
      </w:r>
      <w:r w:rsidR="0012637A">
        <w:rPr>
          <w:rStyle w:val="normaltextrun"/>
          <w:rFonts w:ascii="Calibri" w:hAnsi="Calibri" w:cs="Calibri"/>
          <w:color w:val="000000"/>
        </w:rPr>
        <w:t xml:space="preserve"> or six months under</w:t>
      </w:r>
      <w:r w:rsidR="00FB7F20">
        <w:rPr>
          <w:rStyle w:val="normaltextrun"/>
          <w:rFonts w:ascii="Calibri" w:hAnsi="Calibri" w:cs="Calibri"/>
          <w:color w:val="000000"/>
        </w:rPr>
        <w:t xml:space="preserve"> section three. Applications to be discharged cannot be made after the deadlines, </w:t>
      </w:r>
      <w:r w:rsidR="00FA131A">
        <w:rPr>
          <w:rStyle w:val="normaltextrun"/>
          <w:rFonts w:ascii="Calibri" w:hAnsi="Calibri" w:cs="Calibri"/>
          <w:color w:val="000000"/>
        </w:rPr>
        <w:t xml:space="preserve">but after a certain </w:t>
      </w:r>
      <w:r w:rsidR="00D839F0">
        <w:rPr>
          <w:rStyle w:val="normaltextrun"/>
          <w:rFonts w:ascii="Calibri" w:hAnsi="Calibri" w:cs="Calibri"/>
          <w:color w:val="000000"/>
        </w:rPr>
        <w:t>period</w:t>
      </w:r>
      <w:r w:rsidR="00FA131A">
        <w:rPr>
          <w:rStyle w:val="normaltextrun"/>
          <w:rFonts w:ascii="Calibri" w:hAnsi="Calibri" w:cs="Calibri"/>
          <w:color w:val="000000"/>
        </w:rPr>
        <w:t xml:space="preserve"> the tribunal may renew their case. The Mental Health Tribunal is </w:t>
      </w:r>
      <w:r w:rsidR="00D839F0">
        <w:rPr>
          <w:rStyle w:val="normaltextrun"/>
          <w:rFonts w:ascii="Calibri" w:hAnsi="Calibri" w:cs="Calibri"/>
          <w:color w:val="000000"/>
        </w:rPr>
        <w:t>usually held in private at the hospital the patient was admitted too, and attended by three tribunal members, a judge, tribunal doctor and mental health expert. The hospital doctor, nurse and social worker would also attend the tribunal to give evidence. The patient has the rights</w:t>
      </w:r>
      <w:r w:rsidR="00BD6376">
        <w:rPr>
          <w:rStyle w:val="normaltextrun"/>
          <w:rFonts w:ascii="Calibri" w:hAnsi="Calibri" w:cs="Calibri"/>
          <w:color w:val="000000"/>
        </w:rPr>
        <w:t xml:space="preserve"> to decide whether they would like to attend the hearing</w:t>
      </w:r>
      <w:r w:rsidR="00D839F0">
        <w:rPr>
          <w:rStyle w:val="normaltextrun"/>
          <w:rFonts w:ascii="Calibri" w:hAnsi="Calibri" w:cs="Calibri"/>
          <w:color w:val="000000"/>
        </w:rPr>
        <w:t xml:space="preserve"> to bring along a legal representative and </w:t>
      </w:r>
      <w:r w:rsidR="00BD6376">
        <w:rPr>
          <w:rStyle w:val="normaltextrun"/>
          <w:rFonts w:ascii="Calibri" w:hAnsi="Calibri" w:cs="Calibri"/>
          <w:color w:val="000000"/>
        </w:rPr>
        <w:t>a relative to the hearing if they do attend.</w:t>
      </w:r>
      <w:r w:rsidR="00D839F0">
        <w:rPr>
          <w:rStyle w:val="normaltextrun"/>
          <w:rFonts w:ascii="Calibri" w:hAnsi="Calibri" w:cs="Calibri"/>
          <w:color w:val="000000"/>
        </w:rPr>
        <w:t xml:space="preserve"> </w:t>
      </w:r>
      <w:r w:rsidR="00BD6376">
        <w:rPr>
          <w:rStyle w:val="normaltextrun"/>
          <w:rFonts w:ascii="Calibri" w:hAnsi="Calibri" w:cs="Calibri"/>
          <w:color w:val="000000"/>
        </w:rPr>
        <w:t xml:space="preserve"> A decision to be discharged will be made the same day at the end of the </w:t>
      </w:r>
      <w:r w:rsidR="00BD6376">
        <w:rPr>
          <w:rStyle w:val="normaltextrun"/>
          <w:rFonts w:ascii="Calibri" w:hAnsi="Calibri" w:cs="Calibri"/>
          <w:color w:val="000000"/>
        </w:rPr>
        <w:lastRenderedPageBreak/>
        <w:t>tribunal and patients have the right to appeal within twenty-eights days if not satisfied with the outcome (Gov.uk, 2019</w:t>
      </w:r>
      <w:r w:rsidR="00206CF1">
        <w:rPr>
          <w:rStyle w:val="normaltextrun"/>
          <w:rFonts w:ascii="Calibri" w:hAnsi="Calibri" w:cs="Calibri"/>
          <w:color w:val="000000"/>
        </w:rPr>
        <w:t>).</w:t>
      </w:r>
    </w:p>
    <w:p w14:paraId="7756ADA6" w14:textId="16F91264" w:rsidR="00BF1A9B" w:rsidRDefault="001C19B1"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t xml:space="preserve">Patients may be discharged under a community treatment </w:t>
      </w:r>
      <w:proofErr w:type="gramStart"/>
      <w:r>
        <w:rPr>
          <w:rStyle w:val="normaltextrun"/>
          <w:rFonts w:ascii="Calibri" w:hAnsi="Calibri" w:cs="Calibri"/>
          <w:color w:val="000000"/>
        </w:rPr>
        <w:t>order</w:t>
      </w:r>
      <w:r w:rsidR="000D72B3">
        <w:rPr>
          <w:rStyle w:val="normaltextrun"/>
          <w:rFonts w:ascii="Calibri" w:hAnsi="Calibri" w:cs="Calibri"/>
          <w:color w:val="000000"/>
        </w:rPr>
        <w:t>(</w:t>
      </w:r>
      <w:proofErr w:type="gramEnd"/>
      <w:r w:rsidR="000D72B3">
        <w:rPr>
          <w:rStyle w:val="normaltextrun"/>
          <w:rFonts w:ascii="Calibri" w:hAnsi="Calibri" w:cs="Calibri"/>
          <w:color w:val="000000"/>
        </w:rPr>
        <w:t>CTO)</w:t>
      </w:r>
      <w:r w:rsidR="00110BCF">
        <w:rPr>
          <w:rStyle w:val="normaltextrun"/>
          <w:rFonts w:ascii="Calibri" w:hAnsi="Calibri" w:cs="Calibri"/>
          <w:color w:val="000000"/>
        </w:rPr>
        <w:t xml:space="preserve"> if suitable.</w:t>
      </w:r>
      <w:r w:rsidR="00BF1A9B" w:rsidRPr="00414BC5">
        <w:rPr>
          <w:rStyle w:val="eop"/>
          <w:rFonts w:ascii="Calibri" w:hAnsi="Calibri" w:cs="Calibri"/>
          <w:color w:val="000000"/>
        </w:rPr>
        <w:t> </w:t>
      </w:r>
      <w:r w:rsidR="00BF1A9B" w:rsidRPr="00414BC5">
        <w:rPr>
          <w:rStyle w:val="normaltextrun"/>
          <w:rFonts w:ascii="Calibri" w:hAnsi="Calibri" w:cs="Calibri"/>
          <w:color w:val="000000"/>
        </w:rPr>
        <w:t xml:space="preserve">A CTO is </w:t>
      </w:r>
      <w:r w:rsidR="00CF45D9">
        <w:rPr>
          <w:rStyle w:val="normaltextrun"/>
          <w:rFonts w:ascii="Calibri" w:hAnsi="Calibri" w:cs="Calibri"/>
          <w:color w:val="000000"/>
        </w:rPr>
        <w:t xml:space="preserve">a legal order that is granted by the mental health review tribunal or by a Magistrate, </w:t>
      </w:r>
      <w:r w:rsidR="00BF1A9B" w:rsidRPr="00414BC5">
        <w:rPr>
          <w:rStyle w:val="normaltextrun"/>
          <w:rFonts w:ascii="Calibri" w:hAnsi="Calibri" w:cs="Calibri"/>
          <w:color w:val="000000"/>
        </w:rPr>
        <w:t>where a patient is discharged from hospital and allowed home under certain conditions. These may include staying at a specific address, attending treatment at specific times or taking prescribed</w:t>
      </w:r>
      <w:r w:rsidR="00110BCF">
        <w:rPr>
          <w:rStyle w:val="normaltextrun"/>
          <w:rFonts w:ascii="Calibri" w:hAnsi="Calibri" w:cs="Calibri"/>
          <w:color w:val="000000"/>
        </w:rPr>
        <w:t xml:space="preserve"> </w:t>
      </w:r>
      <w:r w:rsidR="00BF1A9B" w:rsidRPr="00414BC5">
        <w:rPr>
          <w:rStyle w:val="normaltextrun"/>
          <w:rFonts w:ascii="Calibri" w:hAnsi="Calibri" w:cs="Calibri"/>
          <w:color w:val="000000"/>
        </w:rPr>
        <w:t>medication. If these conditions are not met the patient may be recalled back into hospital for an initial</w:t>
      </w:r>
      <w:r w:rsidR="00110BCF">
        <w:rPr>
          <w:rStyle w:val="normaltextrun"/>
          <w:rFonts w:ascii="Calibri" w:hAnsi="Calibri" w:cs="Calibri"/>
          <w:color w:val="000000"/>
        </w:rPr>
        <w:t xml:space="preserve"> seventy-two </w:t>
      </w:r>
      <w:r w:rsidR="00BF1A9B" w:rsidRPr="00414BC5">
        <w:rPr>
          <w:rStyle w:val="normaltextrun"/>
          <w:rFonts w:ascii="Calibri" w:hAnsi="Calibri" w:cs="Calibri"/>
          <w:color w:val="000000"/>
        </w:rPr>
        <w:t xml:space="preserve">hours and then put through an assessment to be placed back on the original section. The CTO was introduced in 2007 as amendments to the MHA but took effect in 2008. The purpose of the amendments was to allow suitable patients to be treated safely in the community providing a way to </w:t>
      </w:r>
      <w:r w:rsidR="00F76A30" w:rsidRPr="00414BC5">
        <w:rPr>
          <w:rStyle w:val="normaltextrun"/>
          <w:rFonts w:ascii="Calibri" w:hAnsi="Calibri" w:cs="Calibri"/>
          <w:color w:val="000000"/>
        </w:rPr>
        <w:t>Prevent</w:t>
      </w:r>
      <w:r w:rsidR="00BF1A9B" w:rsidRPr="00414BC5">
        <w:rPr>
          <w:rStyle w:val="normaltextrun"/>
          <w:rFonts w:ascii="Calibri" w:hAnsi="Calibri" w:cs="Calibri"/>
          <w:color w:val="000000"/>
        </w:rPr>
        <w:t xml:space="preserve"> relapse and maintain a stable mental health, whilst being as least restrictive as possible</w:t>
      </w:r>
      <w:r w:rsidR="000E5304">
        <w:rPr>
          <w:rStyle w:val="normaltextrun"/>
          <w:rFonts w:ascii="Calibri" w:hAnsi="Calibri" w:cs="Calibri"/>
          <w:color w:val="000000"/>
        </w:rPr>
        <w:t xml:space="preserve"> (Mind, 2013)</w:t>
      </w:r>
      <w:r w:rsidR="00FB465B" w:rsidRPr="00414BC5">
        <w:rPr>
          <w:rStyle w:val="normaltextrun"/>
          <w:rFonts w:ascii="Calibri" w:hAnsi="Calibri" w:cs="Calibri"/>
          <w:color w:val="000000"/>
        </w:rPr>
        <w:t>.</w:t>
      </w:r>
      <w:r w:rsidR="00FB465B">
        <w:rPr>
          <w:rStyle w:val="normaltextrun"/>
          <w:rFonts w:ascii="Calibri" w:hAnsi="Calibri" w:cs="Calibri"/>
          <w:color w:val="000000"/>
        </w:rPr>
        <w:t xml:space="preserve"> </w:t>
      </w:r>
      <w:r w:rsidR="001B6FF7">
        <w:rPr>
          <w:rStyle w:val="normaltextrun"/>
          <w:rFonts w:ascii="Calibri" w:hAnsi="Calibri" w:cs="Calibri"/>
          <w:color w:val="000000"/>
        </w:rPr>
        <w:t>Most people will be able to get the care they need in the community, but f</w:t>
      </w:r>
      <w:r w:rsidR="00FB465B">
        <w:rPr>
          <w:rStyle w:val="normaltextrun"/>
          <w:rFonts w:ascii="Calibri" w:hAnsi="Calibri" w:cs="Calibri"/>
          <w:color w:val="000000"/>
        </w:rPr>
        <w:t>or those who do not wish to comply with the CTO, guardianship could provide a more effective means of imposing a condition of residence</w:t>
      </w:r>
      <w:r w:rsidR="001B6FF7">
        <w:rPr>
          <w:rStyle w:val="normaltextrun"/>
          <w:rFonts w:ascii="Calibri" w:hAnsi="Calibri" w:cs="Calibri"/>
          <w:color w:val="000000"/>
        </w:rPr>
        <w:t xml:space="preserve">. </w:t>
      </w:r>
      <w:r w:rsidR="001704B2">
        <w:rPr>
          <w:rStyle w:val="normaltextrun"/>
          <w:rFonts w:ascii="Calibri" w:hAnsi="Calibri" w:cs="Calibri"/>
          <w:color w:val="000000"/>
        </w:rPr>
        <w:t>Guardianship can be someone from the local authority, such as a social worker or even a friend or family member. The guardian will hold</w:t>
      </w:r>
      <w:r w:rsidR="000D72B3">
        <w:rPr>
          <w:rStyle w:val="normaltextrun"/>
          <w:rFonts w:ascii="Calibri" w:hAnsi="Calibri" w:cs="Calibri"/>
          <w:color w:val="000000"/>
        </w:rPr>
        <w:t xml:space="preserve"> </w:t>
      </w:r>
      <w:r w:rsidR="001704B2">
        <w:rPr>
          <w:rStyle w:val="normaltextrun"/>
          <w:rFonts w:ascii="Calibri" w:hAnsi="Calibri" w:cs="Calibri"/>
          <w:color w:val="000000"/>
        </w:rPr>
        <w:t xml:space="preserve">three legal powers such </w:t>
      </w:r>
      <w:r w:rsidR="00A7791A">
        <w:rPr>
          <w:rStyle w:val="normaltextrun"/>
          <w:rFonts w:ascii="Calibri" w:hAnsi="Calibri" w:cs="Calibri"/>
          <w:color w:val="000000"/>
        </w:rPr>
        <w:t>as, decisions</w:t>
      </w:r>
      <w:r w:rsidR="001704B2">
        <w:rPr>
          <w:rStyle w:val="normaltextrun"/>
          <w:rFonts w:ascii="Calibri" w:hAnsi="Calibri" w:cs="Calibri"/>
          <w:color w:val="000000"/>
        </w:rPr>
        <w:t xml:space="preserve"> on where the person will live, arrangements to any appointments and to make sure a mental health professional or any other professional is able to visit the</w:t>
      </w:r>
      <w:r w:rsidR="00F91FAC">
        <w:rPr>
          <w:rStyle w:val="normaltextrun"/>
          <w:rFonts w:ascii="Calibri" w:hAnsi="Calibri" w:cs="Calibri"/>
          <w:color w:val="000000"/>
        </w:rPr>
        <w:t xml:space="preserve"> home.</w:t>
      </w:r>
      <w:r w:rsidR="00A7791A">
        <w:rPr>
          <w:rStyle w:val="normaltextrun"/>
          <w:rFonts w:ascii="Calibri" w:hAnsi="Calibri" w:cs="Calibri"/>
          <w:color w:val="000000"/>
        </w:rPr>
        <w:t xml:space="preserve"> According to Brown (2009</w:t>
      </w:r>
      <w:r w:rsidR="00AC5490">
        <w:rPr>
          <w:rStyle w:val="normaltextrun"/>
          <w:rFonts w:ascii="Calibri" w:hAnsi="Calibri" w:cs="Calibri"/>
          <w:color w:val="000000"/>
        </w:rPr>
        <w:t>) the</w:t>
      </w:r>
      <w:r w:rsidR="00A7791A">
        <w:rPr>
          <w:rStyle w:val="normaltextrun"/>
          <w:rFonts w:ascii="Calibri" w:hAnsi="Calibri" w:cs="Calibri"/>
          <w:color w:val="000000"/>
        </w:rPr>
        <w:t xml:space="preserve"> MCA dose not state that guardianship </w:t>
      </w:r>
      <w:r w:rsidR="00AC5490">
        <w:rPr>
          <w:rStyle w:val="normaltextrun"/>
          <w:rFonts w:ascii="Calibri" w:hAnsi="Calibri" w:cs="Calibri"/>
          <w:color w:val="000000"/>
        </w:rPr>
        <w:t xml:space="preserve">is not </w:t>
      </w:r>
      <w:r w:rsidR="00A7791A">
        <w:rPr>
          <w:rStyle w:val="normaltextrun"/>
          <w:rFonts w:ascii="Calibri" w:hAnsi="Calibri" w:cs="Calibri"/>
          <w:color w:val="000000"/>
        </w:rPr>
        <w:t xml:space="preserve">deprivation of a </w:t>
      </w:r>
      <w:r w:rsidR="00AC5490">
        <w:rPr>
          <w:rStyle w:val="normaltextrun"/>
          <w:rFonts w:ascii="Calibri" w:hAnsi="Calibri" w:cs="Calibri"/>
          <w:color w:val="000000"/>
        </w:rPr>
        <w:t>person’s</w:t>
      </w:r>
      <w:r w:rsidR="00A7791A">
        <w:rPr>
          <w:rStyle w:val="normaltextrun"/>
          <w:rFonts w:ascii="Calibri" w:hAnsi="Calibri" w:cs="Calibri"/>
          <w:color w:val="000000"/>
        </w:rPr>
        <w:t xml:space="preserve"> liberty,</w:t>
      </w:r>
      <w:r w:rsidR="00AC5490">
        <w:rPr>
          <w:rStyle w:val="normaltextrun"/>
          <w:rFonts w:ascii="Calibri" w:hAnsi="Calibri" w:cs="Calibri"/>
          <w:color w:val="000000"/>
        </w:rPr>
        <w:t xml:space="preserve"> and that guardianship has its limitations.</w:t>
      </w:r>
    </w:p>
    <w:p w14:paraId="7AB6A892" w14:textId="2F438527" w:rsidR="00AB3E31" w:rsidRDefault="00BF1A9B" w:rsidP="00414BC5">
      <w:pPr>
        <w:pStyle w:val="paragraph"/>
        <w:spacing w:before="0" w:beforeAutospacing="0" w:after="0" w:afterAutospacing="0" w:line="360" w:lineRule="auto"/>
        <w:textAlignment w:val="baseline"/>
        <w:rPr>
          <w:rStyle w:val="normaltextrun"/>
          <w:rFonts w:ascii="Calibri" w:hAnsi="Calibri" w:cs="Calibri"/>
          <w:color w:val="000000"/>
        </w:rPr>
      </w:pPr>
      <w:r w:rsidRPr="00414BC5">
        <w:rPr>
          <w:rStyle w:val="normaltextrun"/>
          <w:rFonts w:ascii="Calibri" w:hAnsi="Calibri" w:cs="Calibri"/>
          <w:color w:val="000000"/>
        </w:rPr>
        <w:t>Deprivation of Liberty Safeguards (</w:t>
      </w:r>
      <w:proofErr w:type="spellStart"/>
      <w:r w:rsidRPr="00414BC5">
        <w:rPr>
          <w:rStyle w:val="spellingerror"/>
          <w:rFonts w:ascii="Calibri" w:hAnsi="Calibri" w:cs="Calibri"/>
          <w:color w:val="000000"/>
        </w:rPr>
        <w:t>DoLS</w:t>
      </w:r>
      <w:proofErr w:type="spellEnd"/>
      <w:r w:rsidRPr="00414BC5">
        <w:rPr>
          <w:rStyle w:val="normaltextrun"/>
          <w:rFonts w:ascii="Calibri" w:hAnsi="Calibri" w:cs="Calibri"/>
          <w:color w:val="000000"/>
        </w:rPr>
        <w:t>) Is a part of the Mental Capacity Act 2005. To live in liberty means for a person to be in control of their own life and to have free will to accept or deny any medical treatment. Deprivation of liberty means taking someone's freedom away but only a court judgment can do so</w:t>
      </w:r>
      <w:r w:rsidR="000D72B3">
        <w:rPr>
          <w:rStyle w:val="normaltextrun"/>
          <w:rFonts w:ascii="Calibri" w:hAnsi="Calibri" w:cs="Calibri"/>
          <w:color w:val="000000"/>
        </w:rPr>
        <w:t>.</w:t>
      </w:r>
      <w:r w:rsidRPr="00414BC5">
        <w:rPr>
          <w:rStyle w:val="normaltextrun"/>
          <w:rFonts w:ascii="Calibri" w:hAnsi="Calibri" w:cs="Calibri"/>
          <w:color w:val="000000"/>
        </w:rPr>
        <w:t xml:space="preserve"> </w:t>
      </w:r>
      <w:r w:rsidR="000D72B3">
        <w:rPr>
          <w:rStyle w:val="normaltextrun"/>
          <w:rFonts w:ascii="Calibri" w:hAnsi="Calibri" w:cs="Calibri"/>
          <w:color w:val="000000"/>
        </w:rPr>
        <w:t>I</w:t>
      </w:r>
      <w:r w:rsidRPr="00414BC5">
        <w:rPr>
          <w:rStyle w:val="normaltextrun"/>
          <w:rFonts w:ascii="Calibri" w:hAnsi="Calibri" w:cs="Calibri"/>
          <w:color w:val="000000"/>
        </w:rPr>
        <w:t>f the person cannot make an informal decision</w:t>
      </w:r>
      <w:r w:rsidR="000D72B3">
        <w:rPr>
          <w:rStyle w:val="normaltextrun"/>
          <w:rFonts w:ascii="Calibri" w:hAnsi="Calibri" w:cs="Calibri"/>
          <w:color w:val="000000"/>
        </w:rPr>
        <w:t xml:space="preserve">, </w:t>
      </w:r>
      <w:r w:rsidRPr="00414BC5">
        <w:rPr>
          <w:rStyle w:val="normaltextrun"/>
          <w:rFonts w:ascii="Calibri" w:hAnsi="Calibri" w:cs="Calibri"/>
          <w:color w:val="000000"/>
        </w:rPr>
        <w:t>a person's choice can be over-ridden is if they are detained under The Mental Health Act. If the provider of care feels that it would be safer to have restrictions upon an individual who lacks c</w:t>
      </w:r>
      <w:r w:rsidR="000D72B3">
        <w:rPr>
          <w:rStyle w:val="normaltextrun"/>
          <w:rFonts w:ascii="Calibri" w:hAnsi="Calibri" w:cs="Calibri"/>
          <w:color w:val="000000"/>
        </w:rPr>
        <w:t>ap</w:t>
      </w:r>
      <w:r w:rsidRPr="00414BC5">
        <w:rPr>
          <w:rStyle w:val="normaltextrun"/>
          <w:rFonts w:ascii="Calibri" w:hAnsi="Calibri" w:cs="Calibri"/>
          <w:color w:val="000000"/>
        </w:rPr>
        <w:t>acity, then they would have to apply to their local authority who then would arrange an assessment.</w:t>
      </w:r>
      <w:r w:rsidR="00C62DCA">
        <w:rPr>
          <w:rStyle w:val="normaltextrun"/>
          <w:rFonts w:ascii="Calibri" w:hAnsi="Calibri" w:cs="Calibri"/>
          <w:color w:val="000000"/>
        </w:rPr>
        <w:t xml:space="preserve"> Deprivation of liberty can not be used for someone living in their own home or supported living, they would have to be re</w:t>
      </w:r>
      <w:r w:rsidR="0013158A">
        <w:rPr>
          <w:rStyle w:val="normaltextrun"/>
          <w:rFonts w:ascii="Calibri" w:hAnsi="Calibri" w:cs="Calibri"/>
          <w:color w:val="000000"/>
        </w:rPr>
        <w:t xml:space="preserve">sided in a care home or hospitalised, although a person should not be the subject of </w:t>
      </w:r>
      <w:proofErr w:type="spellStart"/>
      <w:r w:rsidR="0013158A">
        <w:rPr>
          <w:rStyle w:val="normaltextrun"/>
          <w:rFonts w:ascii="Calibri" w:hAnsi="Calibri" w:cs="Calibri"/>
          <w:color w:val="000000"/>
        </w:rPr>
        <w:t>DoLS</w:t>
      </w:r>
      <w:proofErr w:type="spellEnd"/>
      <w:r w:rsidR="0013158A">
        <w:rPr>
          <w:rStyle w:val="normaltextrun"/>
          <w:rFonts w:ascii="Calibri" w:hAnsi="Calibri" w:cs="Calibri"/>
          <w:color w:val="000000"/>
        </w:rPr>
        <w:t xml:space="preserve">  if they meet the criteria of detention under the Mental Health Act, also know as ‘sectioning</w:t>
      </w:r>
      <w:r w:rsidR="001504D4">
        <w:rPr>
          <w:rStyle w:val="normaltextrun"/>
          <w:rFonts w:ascii="Calibri" w:hAnsi="Calibri" w:cs="Calibri"/>
          <w:color w:val="000000"/>
        </w:rPr>
        <w:t>’ (SCIE, 2017).</w:t>
      </w:r>
      <w:r w:rsidR="00AB754D">
        <w:rPr>
          <w:rStyle w:val="normaltextrun"/>
          <w:rFonts w:ascii="Calibri" w:hAnsi="Calibri" w:cs="Calibri"/>
          <w:color w:val="000000"/>
        </w:rPr>
        <w:t xml:space="preserve"> </w:t>
      </w:r>
    </w:p>
    <w:p w14:paraId="4C57EBB4" w14:textId="63FA3D9E" w:rsidR="00AB3E31" w:rsidRDefault="00AB3E31"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121ABF73" w14:textId="19D2B805" w:rsidR="00AB3E31" w:rsidRDefault="00AB3E31" w:rsidP="00414BC5">
      <w:pPr>
        <w:pStyle w:val="paragraph"/>
        <w:spacing w:before="0" w:beforeAutospacing="0" w:after="0" w:afterAutospacing="0" w:line="360" w:lineRule="auto"/>
        <w:textAlignment w:val="baseline"/>
        <w:rPr>
          <w:rStyle w:val="normaltextrun"/>
          <w:rFonts w:ascii="Calibri" w:hAnsi="Calibri" w:cs="Calibri"/>
          <w:color w:val="000000"/>
        </w:rPr>
      </w:pPr>
      <w:r>
        <w:rPr>
          <w:rStyle w:val="normaltextrun"/>
          <w:rFonts w:ascii="Calibri" w:hAnsi="Calibri" w:cs="Calibri"/>
          <w:color w:val="000000"/>
        </w:rPr>
        <w:lastRenderedPageBreak/>
        <w:t>In conclusion this essay</w:t>
      </w:r>
      <w:r w:rsidR="00024C9A">
        <w:rPr>
          <w:rStyle w:val="normaltextrun"/>
          <w:rFonts w:ascii="Calibri" w:hAnsi="Calibri" w:cs="Calibri"/>
          <w:color w:val="000000"/>
        </w:rPr>
        <w:t xml:space="preserve"> briefly explains many parts of the Mental Capacity Act and how they </w:t>
      </w:r>
      <w:bookmarkStart w:id="0" w:name="_GoBack"/>
      <w:r w:rsidR="00024C9A">
        <w:rPr>
          <w:rStyle w:val="normaltextrun"/>
          <w:rFonts w:ascii="Calibri" w:hAnsi="Calibri" w:cs="Calibri"/>
          <w:color w:val="000000"/>
        </w:rPr>
        <w:t xml:space="preserve">would be used in order, when a patient is submitted to a mental health hospital. Many of </w:t>
      </w:r>
      <w:bookmarkEnd w:id="0"/>
      <w:r w:rsidR="00024C9A">
        <w:rPr>
          <w:rStyle w:val="normaltextrun"/>
          <w:rFonts w:ascii="Calibri" w:hAnsi="Calibri" w:cs="Calibri"/>
          <w:color w:val="000000"/>
        </w:rPr>
        <w:t xml:space="preserve">the amendments have similarities but all have their own powers and uses in different situations and can sometimes be used in conjunction with one another. </w:t>
      </w:r>
    </w:p>
    <w:p w14:paraId="733F0AA5" w14:textId="0C38A0BB" w:rsidR="000D72B3" w:rsidRDefault="000D72B3"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547EE9A5" w14:textId="7614EF31" w:rsidR="002A09E2" w:rsidRDefault="002A09E2"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0ED62DE4" w14:textId="77777777" w:rsidR="002A09E2" w:rsidRPr="002A09E2" w:rsidRDefault="002A09E2"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789ACF1D" w14:textId="66087B7A" w:rsidR="006172A1" w:rsidRDefault="006172A1"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6E75DF8B" w14:textId="77777777" w:rsidR="006172A1" w:rsidRDefault="006172A1" w:rsidP="00414BC5">
      <w:pPr>
        <w:pStyle w:val="paragraph"/>
        <w:spacing w:before="0" w:beforeAutospacing="0" w:after="0" w:afterAutospacing="0" w:line="360" w:lineRule="auto"/>
        <w:textAlignment w:val="baseline"/>
        <w:rPr>
          <w:rStyle w:val="normaltextrun"/>
          <w:rFonts w:ascii="Calibri" w:hAnsi="Calibri" w:cs="Calibri"/>
          <w:color w:val="000000"/>
        </w:rPr>
      </w:pPr>
    </w:p>
    <w:p w14:paraId="3F3D3E6E" w14:textId="77777777" w:rsidR="0063126E" w:rsidRDefault="0063126E" w:rsidP="0063126E">
      <w:pPr>
        <w:pStyle w:val="Bibliography"/>
        <w:ind w:left="720" w:hanging="720"/>
        <w:rPr>
          <w:noProof/>
          <w:sz w:val="24"/>
          <w:szCs w:val="24"/>
          <w:lang w:val="en-US"/>
        </w:rPr>
      </w:pPr>
      <w:r>
        <w:rPr>
          <w:noProof/>
          <w:lang w:val="en-US"/>
        </w:rPr>
        <w:t xml:space="preserve">Godwin, G. (2019). </w:t>
      </w:r>
      <w:r>
        <w:rPr>
          <w:i/>
          <w:iCs/>
          <w:noProof/>
          <w:lang w:val="en-US"/>
        </w:rPr>
        <w:t>Case Studies</w:t>
      </w:r>
      <w:r>
        <w:rPr>
          <w:noProof/>
          <w:lang w:val="en-US"/>
        </w:rPr>
        <w:t>. Retrieved from Georga Godwin Legal and Training Services: https://www.mentalhealthsolicitor.co.uk/mental-health-cases.html</w:t>
      </w:r>
    </w:p>
    <w:p w14:paraId="2B90DFEC" w14:textId="77777777" w:rsidR="0063126E" w:rsidRDefault="0063126E" w:rsidP="0063126E">
      <w:pPr>
        <w:pStyle w:val="Bibliography"/>
        <w:ind w:left="720" w:hanging="720"/>
        <w:rPr>
          <w:noProof/>
          <w:lang w:val="en-US"/>
        </w:rPr>
      </w:pPr>
      <w:r>
        <w:rPr>
          <w:noProof/>
          <w:lang w:val="en-US"/>
        </w:rPr>
        <w:t xml:space="preserve">Gov.uk. (2019). </w:t>
      </w:r>
      <w:r>
        <w:rPr>
          <w:i/>
          <w:iCs/>
          <w:noProof/>
          <w:lang w:val="en-US"/>
        </w:rPr>
        <w:t>Apply to the Mental Health Tribunal</w:t>
      </w:r>
      <w:r>
        <w:rPr>
          <w:noProof/>
          <w:lang w:val="en-US"/>
        </w:rPr>
        <w:t>. Retrieved from Gov.uk: https://www.gov.uk/mental-health-tribunal</w:t>
      </w:r>
    </w:p>
    <w:p w14:paraId="6FEB3207" w14:textId="77777777" w:rsidR="0063126E" w:rsidRDefault="0063126E" w:rsidP="0063126E">
      <w:pPr>
        <w:pStyle w:val="Bibliography"/>
        <w:ind w:left="720" w:hanging="720"/>
        <w:rPr>
          <w:noProof/>
          <w:lang w:val="en-US"/>
        </w:rPr>
      </w:pPr>
      <w:r>
        <w:rPr>
          <w:noProof/>
          <w:lang w:val="en-US"/>
        </w:rPr>
        <w:t xml:space="preserve">Illness, R. M. (2019). </w:t>
      </w:r>
      <w:r>
        <w:rPr>
          <w:i/>
          <w:iCs/>
          <w:noProof/>
          <w:lang w:val="en-US"/>
        </w:rPr>
        <w:t>Mental Health Act 1983 - Sections 1, 2, 3, 4 &amp; 5</w:t>
      </w:r>
      <w:r>
        <w:rPr>
          <w:noProof/>
          <w:lang w:val="en-US"/>
        </w:rPr>
        <w:t>. Retrieved from Rething Mental Illness: https://www.rethink.org/living-with-mental-illness/mental-health-laws/mental-health-act-1983/sections-2-3-4-5</w:t>
      </w:r>
    </w:p>
    <w:p w14:paraId="2CEB39D2" w14:textId="77777777" w:rsidR="0063126E" w:rsidRDefault="0063126E" w:rsidP="0063126E">
      <w:pPr>
        <w:pStyle w:val="Bibliography"/>
        <w:ind w:left="720" w:hanging="720"/>
        <w:rPr>
          <w:noProof/>
          <w:lang w:val="en-US"/>
        </w:rPr>
      </w:pPr>
      <w:r>
        <w:rPr>
          <w:noProof/>
          <w:lang w:val="en-US"/>
        </w:rPr>
        <w:t xml:space="preserve">Mind. (2013). </w:t>
      </w:r>
      <w:r>
        <w:rPr>
          <w:i/>
          <w:iCs/>
          <w:noProof/>
          <w:lang w:val="en-US"/>
        </w:rPr>
        <w:t>community treatment orders (CTOs)</w:t>
      </w:r>
      <w:r>
        <w:rPr>
          <w:noProof/>
          <w:lang w:val="en-US"/>
        </w:rPr>
        <w:t>. Retrieved from Mind, for better mental health: https://www.mind.org.uk/information-support/legal-rights/community-treatment-orders-ctos/#.XIj_yvZ2s0Q</w:t>
      </w:r>
    </w:p>
    <w:p w14:paraId="5715E9C1" w14:textId="77777777" w:rsidR="0063126E" w:rsidRDefault="0063126E" w:rsidP="0063126E">
      <w:pPr>
        <w:pStyle w:val="Bibliography"/>
        <w:ind w:left="720" w:hanging="720"/>
        <w:rPr>
          <w:noProof/>
          <w:lang w:val="en-US"/>
        </w:rPr>
      </w:pPr>
      <w:r>
        <w:rPr>
          <w:noProof/>
          <w:lang w:val="en-US"/>
        </w:rPr>
        <w:t xml:space="preserve">Robert Brown, P. B. (2009). </w:t>
      </w:r>
      <w:r>
        <w:rPr>
          <w:i/>
          <w:iCs/>
          <w:noProof/>
          <w:lang w:val="en-US"/>
        </w:rPr>
        <w:t>The Mental Capacity Act 2005 A guide for Practice</w:t>
      </w:r>
      <w:r>
        <w:rPr>
          <w:noProof/>
          <w:lang w:val="en-US"/>
        </w:rPr>
        <w:t xml:space="preserve"> (secons edition ed.). Learning Matters Ltd.</w:t>
      </w:r>
    </w:p>
    <w:p w14:paraId="7EB5815A" w14:textId="77777777" w:rsidR="0063126E" w:rsidRDefault="0063126E" w:rsidP="0063126E">
      <w:pPr>
        <w:pStyle w:val="Bibliography"/>
        <w:ind w:left="720" w:hanging="720"/>
        <w:rPr>
          <w:noProof/>
          <w:lang w:val="en-US"/>
        </w:rPr>
      </w:pPr>
      <w:r>
        <w:rPr>
          <w:noProof/>
          <w:lang w:val="en-US"/>
        </w:rPr>
        <w:t xml:space="preserve">SCIE. (2017). </w:t>
      </w:r>
      <w:r>
        <w:rPr>
          <w:i/>
          <w:iCs/>
          <w:noProof/>
          <w:lang w:val="en-US"/>
        </w:rPr>
        <w:t>Deprivation of Liberty Safeguards (DoLS)</w:t>
      </w:r>
      <w:r>
        <w:rPr>
          <w:noProof/>
          <w:lang w:val="en-US"/>
        </w:rPr>
        <w:t>. Retrieved from Social Care Institute for excellence.</w:t>
      </w:r>
    </w:p>
    <w:p w14:paraId="14305DA6" w14:textId="77777777" w:rsidR="0063126E" w:rsidRDefault="0063126E" w:rsidP="0063126E">
      <w:pPr>
        <w:pStyle w:val="Bibliography"/>
        <w:ind w:left="720" w:hanging="720"/>
        <w:rPr>
          <w:noProof/>
          <w:lang w:val="en-US"/>
        </w:rPr>
      </w:pPr>
      <w:r>
        <w:rPr>
          <w:noProof/>
          <w:lang w:val="en-US"/>
        </w:rPr>
        <w:t xml:space="preserve">Service, N. H. (2018). </w:t>
      </w:r>
      <w:r>
        <w:rPr>
          <w:i/>
          <w:iCs/>
          <w:noProof/>
          <w:lang w:val="en-US"/>
        </w:rPr>
        <w:t>Mental Capacity Act</w:t>
      </w:r>
      <w:r>
        <w:rPr>
          <w:noProof/>
          <w:lang w:val="en-US"/>
        </w:rPr>
        <w:t>. Retrieved from NHS: https://www.nhs.uk/conditions/social-care-and-support-guide/making-decisions-for-someone-else/mental-capacity-act/</w:t>
      </w:r>
    </w:p>
    <w:p w14:paraId="67D501DE" w14:textId="77777777" w:rsidR="001504D4" w:rsidRPr="00414BC5" w:rsidRDefault="001504D4" w:rsidP="00414BC5">
      <w:pPr>
        <w:pStyle w:val="paragraph"/>
        <w:spacing w:before="0" w:beforeAutospacing="0" w:after="0" w:afterAutospacing="0" w:line="360" w:lineRule="auto"/>
        <w:textAlignment w:val="baseline"/>
        <w:rPr>
          <w:rFonts w:ascii="&amp;quot" w:hAnsi="&amp;quot"/>
          <w:color w:val="000000"/>
        </w:rPr>
      </w:pPr>
    </w:p>
    <w:p w14:paraId="08357A7D" w14:textId="77777777" w:rsidR="00BF1A9B" w:rsidRPr="00414BC5" w:rsidRDefault="00BF1A9B" w:rsidP="00414BC5">
      <w:pPr>
        <w:spacing w:line="360" w:lineRule="auto"/>
        <w:rPr>
          <w:sz w:val="24"/>
          <w:szCs w:val="24"/>
        </w:rPr>
      </w:pPr>
    </w:p>
    <w:sectPr w:rsidR="00BF1A9B" w:rsidRPr="00414B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C8550" w14:textId="77777777" w:rsidR="00B55942" w:rsidRDefault="00B55942" w:rsidP="00F76A30">
      <w:pPr>
        <w:spacing w:after="0" w:line="240" w:lineRule="auto"/>
      </w:pPr>
      <w:r>
        <w:separator/>
      </w:r>
    </w:p>
  </w:endnote>
  <w:endnote w:type="continuationSeparator" w:id="0">
    <w:p w14:paraId="004D29C9" w14:textId="77777777" w:rsidR="00B55942" w:rsidRDefault="00B55942" w:rsidP="00F76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E46D5" w14:textId="77777777" w:rsidR="00B55942" w:rsidRDefault="00B55942" w:rsidP="00F76A30">
      <w:pPr>
        <w:spacing w:after="0" w:line="240" w:lineRule="auto"/>
      </w:pPr>
      <w:r>
        <w:separator/>
      </w:r>
    </w:p>
  </w:footnote>
  <w:footnote w:type="continuationSeparator" w:id="0">
    <w:p w14:paraId="2931341C" w14:textId="77777777" w:rsidR="00B55942" w:rsidRDefault="00B55942" w:rsidP="00F76A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9B"/>
    <w:rsid w:val="00004178"/>
    <w:rsid w:val="0001305E"/>
    <w:rsid w:val="00024C9A"/>
    <w:rsid w:val="00026A72"/>
    <w:rsid w:val="00055235"/>
    <w:rsid w:val="00087455"/>
    <w:rsid w:val="000923CD"/>
    <w:rsid w:val="000A6460"/>
    <w:rsid w:val="000D72B3"/>
    <w:rsid w:val="000E5304"/>
    <w:rsid w:val="000F4051"/>
    <w:rsid w:val="00110BCF"/>
    <w:rsid w:val="0012637A"/>
    <w:rsid w:val="0013158A"/>
    <w:rsid w:val="001504D4"/>
    <w:rsid w:val="001704B2"/>
    <w:rsid w:val="001B6FF7"/>
    <w:rsid w:val="001C19B1"/>
    <w:rsid w:val="001E685E"/>
    <w:rsid w:val="00206CF1"/>
    <w:rsid w:val="00224C74"/>
    <w:rsid w:val="002732FA"/>
    <w:rsid w:val="002A09E2"/>
    <w:rsid w:val="002B0B5B"/>
    <w:rsid w:val="002B5B46"/>
    <w:rsid w:val="00361FED"/>
    <w:rsid w:val="003D5D48"/>
    <w:rsid w:val="003E1323"/>
    <w:rsid w:val="003E6733"/>
    <w:rsid w:val="004146BB"/>
    <w:rsid w:val="00414BC5"/>
    <w:rsid w:val="004378C6"/>
    <w:rsid w:val="00450A51"/>
    <w:rsid w:val="00531776"/>
    <w:rsid w:val="005F1C13"/>
    <w:rsid w:val="00611787"/>
    <w:rsid w:val="006172A1"/>
    <w:rsid w:val="0063126E"/>
    <w:rsid w:val="006349AF"/>
    <w:rsid w:val="006576EC"/>
    <w:rsid w:val="00664A0A"/>
    <w:rsid w:val="00672D1E"/>
    <w:rsid w:val="006F01E3"/>
    <w:rsid w:val="007B0730"/>
    <w:rsid w:val="00831819"/>
    <w:rsid w:val="0092617F"/>
    <w:rsid w:val="009959EF"/>
    <w:rsid w:val="00A7791A"/>
    <w:rsid w:val="00AB3E31"/>
    <w:rsid w:val="00AB754D"/>
    <w:rsid w:val="00AC5490"/>
    <w:rsid w:val="00B03D2D"/>
    <w:rsid w:val="00B176DC"/>
    <w:rsid w:val="00B23C5C"/>
    <w:rsid w:val="00B55942"/>
    <w:rsid w:val="00B72B6F"/>
    <w:rsid w:val="00BA4614"/>
    <w:rsid w:val="00BD6376"/>
    <w:rsid w:val="00BF1A9B"/>
    <w:rsid w:val="00C22AD9"/>
    <w:rsid w:val="00C555E6"/>
    <w:rsid w:val="00C62DCA"/>
    <w:rsid w:val="00CD5483"/>
    <w:rsid w:val="00CF45D9"/>
    <w:rsid w:val="00D36029"/>
    <w:rsid w:val="00D839F0"/>
    <w:rsid w:val="00D84374"/>
    <w:rsid w:val="00DC48F4"/>
    <w:rsid w:val="00EE0DA2"/>
    <w:rsid w:val="00F0524B"/>
    <w:rsid w:val="00F76A30"/>
    <w:rsid w:val="00F91FAC"/>
    <w:rsid w:val="00FA131A"/>
    <w:rsid w:val="00FB465B"/>
    <w:rsid w:val="00FB7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ADDA6"/>
  <w15:chartTrackingRefBased/>
  <w15:docId w15:val="{2AEBB873-FA69-4EAB-86EB-F49FC5FD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F1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1A9B"/>
  </w:style>
  <w:style w:type="character" w:customStyle="1" w:styleId="eop">
    <w:name w:val="eop"/>
    <w:basedOn w:val="DefaultParagraphFont"/>
    <w:rsid w:val="00BF1A9B"/>
  </w:style>
  <w:style w:type="character" w:customStyle="1" w:styleId="spellingerror">
    <w:name w:val="spellingerror"/>
    <w:basedOn w:val="DefaultParagraphFont"/>
    <w:rsid w:val="00BF1A9B"/>
  </w:style>
  <w:style w:type="paragraph" w:styleId="Header">
    <w:name w:val="header"/>
    <w:basedOn w:val="Normal"/>
    <w:link w:val="HeaderChar"/>
    <w:uiPriority w:val="99"/>
    <w:unhideWhenUsed/>
    <w:rsid w:val="00F76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A30"/>
  </w:style>
  <w:style w:type="paragraph" w:styleId="Footer">
    <w:name w:val="footer"/>
    <w:basedOn w:val="Normal"/>
    <w:link w:val="FooterChar"/>
    <w:uiPriority w:val="99"/>
    <w:unhideWhenUsed/>
    <w:rsid w:val="00F76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A30"/>
  </w:style>
  <w:style w:type="paragraph" w:styleId="Bibliography">
    <w:name w:val="Bibliography"/>
    <w:basedOn w:val="Normal"/>
    <w:next w:val="Normal"/>
    <w:uiPriority w:val="37"/>
    <w:semiHidden/>
    <w:unhideWhenUsed/>
    <w:rsid w:val="00631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681638">
      <w:bodyDiv w:val="1"/>
      <w:marLeft w:val="0"/>
      <w:marRight w:val="0"/>
      <w:marTop w:val="0"/>
      <w:marBottom w:val="0"/>
      <w:divBdr>
        <w:top w:val="none" w:sz="0" w:space="0" w:color="auto"/>
        <w:left w:val="none" w:sz="0" w:space="0" w:color="auto"/>
        <w:bottom w:val="none" w:sz="0" w:space="0" w:color="auto"/>
        <w:right w:val="none" w:sz="0" w:space="0" w:color="auto"/>
      </w:divBdr>
    </w:div>
    <w:div w:id="169772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2173</TotalTime>
  <Pages>4</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sarahthomas599@gmail.com</dc:creator>
  <cp:keywords/>
  <dc:description/>
  <cp:lastModifiedBy>Sarah Thomas</cp:lastModifiedBy>
  <cp:revision>17</cp:revision>
  <dcterms:created xsi:type="dcterms:W3CDTF">2019-01-11T22:26:00Z</dcterms:created>
  <dcterms:modified xsi:type="dcterms:W3CDTF">2019-03-15T19:31:00Z</dcterms:modified>
</cp:coreProperties>
</file>