
<file path=[Content_Types].xml><?xml version="1.0" encoding="utf-8"?>
<Types xmlns="http://schemas.openxmlformats.org/package/2006/content-types">
  <Default Extension="rels" ContentType="application/vnd.openxmlformats-package.relationships+xml"/>
  <Default Extension="wmf" ContentType="image/x-wm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114802263"/>
        <w:docPartObj>
          <w:docPartGallery w:val="Cover Pages"/>
          <w:docPartUnique/>
        </w:docPartObj>
      </w:sdtPr>
      <w:sdtEndPr>
        <w:rPr>
          <w:rFonts w:ascii="Arial Black" w:hAnsi="Arial Black" w:cs="Arial"/>
        </w:rPr>
      </w:sdtEndPr>
      <w:sdtContent>
        <w:p w14:paraId="03DB1F5B" w14:textId="0DAA9F58" w:rsidR="00E44979" w:rsidRDefault="00E96517">
          <w:r w:rsidRPr="00E96517">
            <w:rPr>
              <w:noProof/>
            </w:rPr>
            <w:drawing>
              <wp:inline distT="0" distB="0" distL="0" distR="0" wp14:anchorId="65AFA565" wp14:editId="1E68F6E6">
                <wp:extent cx="1809750" cy="723900"/>
                <wp:effectExtent l="0" t="0" r="0" b="0"/>
                <wp:docPr id="9358537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r w:rsidR="00E44979">
            <w:rPr>
              <w:noProof/>
            </w:rPr>
            <mc:AlternateContent>
              <mc:Choice Requires="wps">
                <w:drawing>
                  <wp:anchor distT="0" distB="0" distL="114300" distR="114300" simplePos="0" relativeHeight="251659264" behindDoc="1" locked="0" layoutInCell="1" allowOverlap="0" wp14:anchorId="084E9318" wp14:editId="496DB990">
                    <wp:simplePos x="0" y="0"/>
                    <wp:positionH relativeFrom="page">
                      <wp:align>center</wp:align>
                    </wp:positionH>
                    <wp:positionV relativeFrom="page">
                      <wp:align>center</wp:align>
                    </wp:positionV>
                    <wp:extent cx="6858000" cy="9144000"/>
                    <wp:effectExtent l="0" t="0" r="0" b="0"/>
                    <wp:wrapNone/>
                    <wp:docPr id="8" name="Text Box 4" descr="Cover page layout"/>
                    <wp:cNvGraphicFramePr/>
                    <a:graphic xmlns:a="http://schemas.openxmlformats.org/drawingml/2006/main">
                      <a:graphicData uri="http://schemas.microsoft.com/office/word/2010/wordprocessingShape">
                        <wps:wsp>
                          <wps:cNvSpPr txBox="1"/>
                          <wps:spPr>
                            <a:xfrm>
                              <a:off x="0" y="0"/>
                              <a:ext cx="6858000" cy="91440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tblCellMar>
                                    <w:left w:w="0" w:type="dxa"/>
                                    <w:right w:w="0" w:type="dxa"/>
                                  </w:tblCellMar>
                                  <w:tblLook w:val="04A0" w:firstRow="1" w:lastRow="0" w:firstColumn="1" w:lastColumn="0" w:noHBand="0" w:noVBand="1"/>
                                  <w:tblDescription w:val="Cover page layout"/>
                                </w:tblPr>
                                <w:tblGrid>
                                  <w:gridCol w:w="10805"/>
                                </w:tblGrid>
                                <w:tr w:rsidR="00E44979" w14:paraId="1BC18896" w14:textId="77777777">
                                  <w:trPr>
                                    <w:trHeight w:hRule="exact" w:val="9360"/>
                                  </w:trPr>
                                  <w:tc>
                                    <w:tcPr>
                                      <w:tcW w:w="5000" w:type="pct"/>
                                    </w:tcPr>
                                    <w:p w14:paraId="20F96C6E" w14:textId="068DEC30" w:rsidR="00E44979" w:rsidRDefault="00E44979"/>
                                  </w:tc>
                                </w:tr>
                                <w:tr w:rsidR="00E44979" w14:paraId="4D29B3AA" w14:textId="77777777">
                                  <w:trPr>
                                    <w:trHeight w:hRule="exact" w:val="4320"/>
                                  </w:trPr>
                                  <w:tc>
                                    <w:tcPr>
                                      <w:tcW w:w="5000" w:type="pct"/>
                                      <w:shd w:val="clear" w:color="auto" w:fill="156082" w:themeFill="accent1"/>
                                      <w:vAlign w:val="center"/>
                                    </w:tcPr>
                                    <w:p w14:paraId="56927F47" w14:textId="6487C287" w:rsidR="00E44979" w:rsidRPr="00E44979" w:rsidRDefault="00E44979" w:rsidP="00E44979">
                                      <w:pPr>
                                        <w:pStyle w:val="NoSpacing"/>
                                        <w:spacing w:before="200" w:line="216" w:lineRule="auto"/>
                                        <w:ind w:left="720" w:right="720"/>
                                        <w:rPr>
                                          <w:rFonts w:asciiTheme="majorHAnsi" w:hAnsiTheme="majorHAnsi"/>
                                          <w:color w:val="FFFFFF" w:themeColor="background1"/>
                                          <w:sz w:val="96"/>
                                          <w:szCs w:val="96"/>
                                        </w:rPr>
                                      </w:pPr>
                                      <w:sdt>
                                        <w:sdtPr>
                                          <w:rPr>
                                            <w:rFonts w:ascii="Arial Black" w:hAnsi="Arial Black"/>
                                            <w:color w:val="FFFFFF" w:themeColor="background1"/>
                                            <w:sz w:val="56"/>
                                            <w:szCs w:val="56"/>
                                          </w:rPr>
                                          <w:alias w:val="Title"/>
                                          <w:tag w:val=""/>
                                          <w:id w:val="-1975671731"/>
                                          <w:dataBinding w:prefixMappings="xmlns:ns0='http://purl.org/dc/elements/1.1/' xmlns:ns1='http://schemas.openxmlformats.org/package/2006/metadata/core-properties' " w:xpath="/ns1:coreProperties[1]/ns0:title[1]" w:storeItemID="{6C3C8BC8-F283-45AE-878A-BAB7291924A1}"/>
                                          <w:text/>
                                        </w:sdtPr>
                                        <w:sdtContent>
                                          <w:r w:rsidRPr="00E44979">
                                            <w:rPr>
                                              <w:rFonts w:ascii="Arial Black" w:hAnsi="Arial Black"/>
                                              <w:color w:val="FFFFFF" w:themeColor="background1"/>
                                              <w:sz w:val="56"/>
                                              <w:szCs w:val="56"/>
                                            </w:rPr>
                                            <w:t>Opportunities and Challenges Facing Social Enterprises: A SWOT Analysis</w:t>
                                          </w:r>
                                        </w:sdtContent>
                                      </w:sdt>
                                    </w:p>
                                  </w:tc>
                                </w:tr>
                                <w:tr w:rsidR="00E44979" w14:paraId="3227FF4D" w14:textId="77777777">
                                  <w:trPr>
                                    <w:trHeight w:hRule="exact" w:val="720"/>
                                  </w:trPr>
                                  <w:tc>
                                    <w:tcPr>
                                      <w:tcW w:w="5000" w:type="pct"/>
                                      <w:shd w:val="clear" w:color="auto" w:fill="4EA72E" w:themeFill="accent6"/>
                                    </w:tcPr>
                                    <w:tbl>
                                      <w:tblPr>
                                        <w:tblW w:w="5000" w:type="pct"/>
                                        <w:tblCellMar>
                                          <w:left w:w="0" w:type="dxa"/>
                                          <w:right w:w="0" w:type="dxa"/>
                                        </w:tblCellMar>
                                        <w:tblLook w:val="04A0" w:firstRow="1" w:lastRow="0" w:firstColumn="1" w:lastColumn="0" w:noHBand="0" w:noVBand="1"/>
                                        <w:tblDescription w:val="Cover page info"/>
                                      </w:tblPr>
                                      <w:tblGrid>
                                        <w:gridCol w:w="3601"/>
                                        <w:gridCol w:w="3602"/>
                                        <w:gridCol w:w="3602"/>
                                      </w:tblGrid>
                                      <w:tr w:rsidR="00E44979" w14:paraId="07C750AF" w14:textId="77777777">
                                        <w:trPr>
                                          <w:trHeight w:hRule="exact" w:val="720"/>
                                        </w:trPr>
                                        <w:tc>
                                          <w:tcPr>
                                            <w:tcW w:w="3590" w:type="dxa"/>
                                            <w:vAlign w:val="center"/>
                                          </w:tcPr>
                                          <w:p w14:paraId="53DE57AC" w14:textId="6332C336" w:rsidR="00E44979" w:rsidRDefault="00E44979" w:rsidP="00E44979">
                                            <w:pPr>
                                              <w:pStyle w:val="NoSpacing"/>
                                              <w:ind w:right="144"/>
                                              <w:rPr>
                                                <w:color w:val="FFFFFF" w:themeColor="background1"/>
                                              </w:rPr>
                                            </w:pPr>
                                          </w:p>
                                        </w:tc>
                                        <w:tc>
                                          <w:tcPr>
                                            <w:tcW w:w="3591" w:type="dxa"/>
                                            <w:vAlign w:val="center"/>
                                          </w:tcPr>
                                          <w:sdt>
                                            <w:sdtPr>
                                              <w:rPr>
                                                <w:rFonts w:ascii="Arial Black" w:hAnsi="Arial Black"/>
                                                <w:color w:val="FFFFFF" w:themeColor="background1"/>
                                                <w:sz w:val="40"/>
                                                <w:szCs w:val="40"/>
                                              </w:rPr>
                                              <w:alias w:val="Date"/>
                                              <w:tag w:val=""/>
                                              <w:id w:val="-1047523169"/>
                                              <w:dataBinding w:prefixMappings="xmlns:ns0='http://schemas.microsoft.com/office/2006/coverPageProps' " w:xpath="/ns0:CoverPageProperties[1]/ns0:PublishDate[1]" w:storeItemID="{55AF091B-3C7A-41E3-B477-F2FDAA23CFDA}"/>
                                              <w:date w:fullDate="2024-11-10T00:00:00Z">
                                                <w:dateFormat w:val="M/d/yy"/>
                                                <w:lid w:val="en-US"/>
                                                <w:storeMappedDataAs w:val="dateTime"/>
                                                <w:calendar w:val="gregorian"/>
                                              </w:date>
                                            </w:sdtPr>
                                            <w:sdtContent>
                                              <w:p w14:paraId="13D6564D" w14:textId="6E14950F" w:rsidR="00E44979" w:rsidRPr="00E44979" w:rsidRDefault="00E44979">
                                                <w:pPr>
                                                  <w:pStyle w:val="NoSpacing"/>
                                                  <w:ind w:left="144" w:right="144"/>
                                                  <w:jc w:val="center"/>
                                                  <w:rPr>
                                                    <w:rFonts w:ascii="Arial Black" w:hAnsi="Arial Black"/>
                                                    <w:color w:val="FFFFFF" w:themeColor="background1"/>
                                                    <w:sz w:val="40"/>
                                                    <w:szCs w:val="40"/>
                                                  </w:rPr>
                                                </w:pPr>
                                                <w:r w:rsidRPr="00E44979">
                                                  <w:rPr>
                                                    <w:rFonts w:ascii="Arial Black" w:hAnsi="Arial Black"/>
                                                    <w:color w:val="FFFFFF" w:themeColor="background1"/>
                                                    <w:sz w:val="40"/>
                                                    <w:szCs w:val="40"/>
                                                  </w:rPr>
                                                  <w:t>11/10/24</w:t>
                                                </w:r>
                                              </w:p>
                                            </w:sdtContent>
                                          </w:sdt>
                                        </w:tc>
                                        <w:sdt>
                                          <w:sdtPr>
                                            <w:rPr>
                                              <w:color w:val="FFFFFF" w:themeColor="background1"/>
                                            </w:rPr>
                                            <w:alias w:val="Course title"/>
                                            <w:tag w:val=""/>
                                            <w:id w:val="-1165709755"/>
                                            <w:showingPlcHdr/>
                                            <w:dataBinding w:prefixMappings="xmlns:ns0='http://purl.org/dc/elements/1.1/' xmlns:ns1='http://schemas.openxmlformats.org/package/2006/metadata/core-properties' " w:xpath="/ns1:coreProperties[1]/ns1:category[1]" w:storeItemID="{6C3C8BC8-F283-45AE-878A-BAB7291924A1}"/>
                                            <w:text/>
                                          </w:sdtPr>
                                          <w:sdtContent>
                                            <w:tc>
                                              <w:tcPr>
                                                <w:tcW w:w="3591" w:type="dxa"/>
                                                <w:vAlign w:val="center"/>
                                              </w:tcPr>
                                              <w:p w14:paraId="20B98245" w14:textId="7E5494BA" w:rsidR="00E44979" w:rsidRDefault="00E44979" w:rsidP="00E44979">
                                                <w:pPr>
                                                  <w:pStyle w:val="NoSpacing"/>
                                                  <w:ind w:left="144" w:right="720"/>
                                                  <w:jc w:val="center"/>
                                                  <w:rPr>
                                                    <w:color w:val="FFFFFF" w:themeColor="background1"/>
                                                  </w:rPr>
                                                </w:pPr>
                                                <w:r>
                                                  <w:rPr>
                                                    <w:color w:val="FFFFFF" w:themeColor="background1"/>
                                                  </w:rPr>
                                                  <w:t xml:space="preserve">     </w:t>
                                                </w:r>
                                              </w:p>
                                            </w:tc>
                                          </w:sdtContent>
                                        </w:sdt>
                                      </w:tr>
                                    </w:tbl>
                                    <w:p w14:paraId="046F0539" w14:textId="77777777" w:rsidR="00E44979" w:rsidRDefault="00E44979"/>
                                  </w:tc>
                                </w:tr>
                              </w:tbl>
                              <w:p w14:paraId="4379EB2A" w14:textId="77777777" w:rsidR="00E44979" w:rsidRDefault="00E44979"/>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084E9318" id="_x0000_t202" coordsize="21600,21600" o:spt="202" path="m,l,21600r21600,l21600,xe">
                    <v:stroke joinstyle="miter"/>
                    <v:path gradientshapeok="t" o:connecttype="rect"/>
                  </v:shapetype>
                  <v:shape id="Text Box 4" o:spid="_x0000_s1026" type="#_x0000_t202" alt="Cover page layout" style="position:absolute;margin-left:0;margin-top:0;width:540pt;height:10in;z-index:-251657216;visibility:visible;mso-wrap-style:square;mso-width-percent:0;mso-height-percent:0;mso-wrap-distance-left:9pt;mso-wrap-distance-top:0;mso-wrap-distance-right:9pt;mso-wrap-distance-bottom:0;mso-position-horizontal:center;mso-position-horizontal-relative:page;mso-position-vertical:center;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" o:allowoverlap="f" filled="f" stroked="f" strokeweight=".5pt">
                    <v:textbox inset="0,0,0,0">
                      <w:txbxContent>
                        <w:tbl>
                          <w:tblPr>
                            <w:tblW w:w="5000" w:type="pct"/>
                            <w:tblCellMar>
                              <w:left w:w="0" w:type="dxa"/>
                              <w:right w:w="0" w:type="dxa"/>
                            </w:tblCellMar>
                            <w:tblLook w:val="04A0" w:firstRow="1" w:lastRow="0" w:firstColumn="1" w:lastColumn="0" w:noHBand="0" w:noVBand="1"/>
                            <w:tblDescription w:val="Cover page layout"/>
                          </w:tblPr>
                          <w:tblGrid>
                            <w:gridCol w:w="10805"/>
                          </w:tblGrid>
                          <w:tr w:rsidR="00E44979" w14:paraId="1BC18896" w14:textId="77777777">
                            <w:trPr>
                              <w:trHeight w:hRule="exact" w:val="9360"/>
                            </w:trPr>
                            <w:tc>
                              <w:tcPr>
                                <w:tcW w:w="5000" w:type="pct"/>
                              </w:tcPr>
                              <w:p w14:paraId="20F96C6E" w14:textId="068DEC30" w:rsidR="00E44979" w:rsidRDefault="00E44979"/>
                            </w:tc>
                          </w:tr>
                          <w:tr w:rsidR="00E44979" w14:paraId="4D29B3AA" w14:textId="77777777">
                            <w:trPr>
                              <w:trHeight w:hRule="exact" w:val="4320"/>
                            </w:trPr>
                            <w:tc>
                              <w:tcPr>
                                <w:tcW w:w="5000" w:type="pct"/>
                                <w:shd w:val="clear" w:color="auto" w:fill="156082" w:themeFill="accent1"/>
                                <w:vAlign w:val="center"/>
                              </w:tcPr>
                              <w:p w14:paraId="56927F47" w14:textId="6487C287" w:rsidR="00E44979" w:rsidRPr="00E44979" w:rsidRDefault="00E44979" w:rsidP="00E44979">
                                <w:pPr>
                                  <w:pStyle w:val="NoSpacing"/>
                                  <w:spacing w:before="200" w:line="216" w:lineRule="auto"/>
                                  <w:ind w:left="720" w:right="720"/>
                                  <w:rPr>
                                    <w:rFonts w:asciiTheme="majorHAnsi" w:hAnsiTheme="majorHAnsi"/>
                                    <w:color w:val="FFFFFF" w:themeColor="background1"/>
                                    <w:sz w:val="96"/>
                                    <w:szCs w:val="96"/>
                                  </w:rPr>
                                </w:pPr>
                                <w:sdt>
                                  <w:sdtPr>
                                    <w:rPr>
                                      <w:rFonts w:ascii="Arial Black" w:hAnsi="Arial Black"/>
                                      <w:color w:val="FFFFFF" w:themeColor="background1"/>
                                      <w:sz w:val="56"/>
                                      <w:szCs w:val="56"/>
                                    </w:rPr>
                                    <w:alias w:val="Title"/>
                                    <w:tag w:val=""/>
                                    <w:id w:val="-1975671731"/>
                                    <w:dataBinding w:prefixMappings="xmlns:ns0='http://purl.org/dc/elements/1.1/' xmlns:ns1='http://schemas.openxmlformats.org/package/2006/metadata/core-properties' " w:xpath="/ns1:coreProperties[1]/ns0:title[1]" w:storeItemID="{6C3C8BC8-F283-45AE-878A-BAB7291924A1}"/>
                                    <w:text/>
                                  </w:sdtPr>
                                  <w:sdtContent>
                                    <w:r w:rsidRPr="00E44979">
                                      <w:rPr>
                                        <w:rFonts w:ascii="Arial Black" w:hAnsi="Arial Black"/>
                                        <w:color w:val="FFFFFF" w:themeColor="background1"/>
                                        <w:sz w:val="56"/>
                                        <w:szCs w:val="56"/>
                                      </w:rPr>
                                      <w:t>Opportunities and Challenges Facing Social Enterprises: A SWOT Analysis</w:t>
                                    </w:r>
                                  </w:sdtContent>
                                </w:sdt>
                              </w:p>
                            </w:tc>
                          </w:tr>
                          <w:tr w:rsidR="00E44979" w14:paraId="3227FF4D" w14:textId="77777777">
                            <w:trPr>
                              <w:trHeight w:hRule="exact" w:val="720"/>
                            </w:trPr>
                            <w:tc>
                              <w:tcPr>
                                <w:tcW w:w="5000" w:type="pct"/>
                                <w:shd w:val="clear" w:color="auto" w:fill="4EA72E" w:themeFill="accent6"/>
                              </w:tcPr>
                              <w:tbl>
                                <w:tblPr>
                                  <w:tblW w:w="5000" w:type="pct"/>
                                  <w:tblCellMar>
                                    <w:left w:w="0" w:type="dxa"/>
                                    <w:right w:w="0" w:type="dxa"/>
                                  </w:tblCellMar>
                                  <w:tblLook w:val="04A0" w:firstRow="1" w:lastRow="0" w:firstColumn="1" w:lastColumn="0" w:noHBand="0" w:noVBand="1"/>
                                  <w:tblDescription w:val="Cover page info"/>
                                </w:tblPr>
                                <w:tblGrid>
                                  <w:gridCol w:w="3601"/>
                                  <w:gridCol w:w="3602"/>
                                  <w:gridCol w:w="3602"/>
                                </w:tblGrid>
                                <w:tr w:rsidR="00E44979" w14:paraId="07C750AF" w14:textId="77777777">
                                  <w:trPr>
                                    <w:trHeight w:hRule="exact" w:val="720"/>
                                  </w:trPr>
                                  <w:tc>
                                    <w:tcPr>
                                      <w:tcW w:w="3590" w:type="dxa"/>
                                      <w:vAlign w:val="center"/>
                                    </w:tcPr>
                                    <w:p w14:paraId="53DE57AC" w14:textId="6332C336" w:rsidR="00E44979" w:rsidRDefault="00E44979" w:rsidP="00E44979">
                                      <w:pPr>
                                        <w:pStyle w:val="NoSpacing"/>
                                        <w:ind w:right="144"/>
                                        <w:rPr>
                                          <w:color w:val="FFFFFF" w:themeColor="background1"/>
                                        </w:rPr>
                                      </w:pPr>
                                    </w:p>
                                  </w:tc>
                                  <w:tc>
                                    <w:tcPr>
                                      <w:tcW w:w="3591" w:type="dxa"/>
                                      <w:vAlign w:val="center"/>
                                    </w:tcPr>
                                    <w:sdt>
                                      <w:sdtPr>
                                        <w:rPr>
                                          <w:rFonts w:ascii="Arial Black" w:hAnsi="Arial Black"/>
                                          <w:color w:val="FFFFFF" w:themeColor="background1"/>
                                          <w:sz w:val="40"/>
                                          <w:szCs w:val="40"/>
                                        </w:rPr>
                                        <w:alias w:val="Date"/>
                                        <w:tag w:val=""/>
                                        <w:id w:val="-1047523169"/>
                                        <w:dataBinding w:prefixMappings="xmlns:ns0='http://schemas.microsoft.com/office/2006/coverPageProps' " w:xpath="/ns0:CoverPageProperties[1]/ns0:PublishDate[1]" w:storeItemID="{55AF091B-3C7A-41E3-B477-F2FDAA23CFDA}"/>
                                        <w:date w:fullDate="2024-11-10T00:00:00Z">
                                          <w:dateFormat w:val="M/d/yy"/>
                                          <w:lid w:val="en-US"/>
                                          <w:storeMappedDataAs w:val="dateTime"/>
                                          <w:calendar w:val="gregorian"/>
                                        </w:date>
                                      </w:sdtPr>
                                      <w:sdtContent>
                                        <w:p w14:paraId="13D6564D" w14:textId="6E14950F" w:rsidR="00E44979" w:rsidRPr="00E44979" w:rsidRDefault="00E44979">
                                          <w:pPr>
                                            <w:pStyle w:val="NoSpacing"/>
                                            <w:ind w:left="144" w:right="144"/>
                                            <w:jc w:val="center"/>
                                            <w:rPr>
                                              <w:rFonts w:ascii="Arial Black" w:hAnsi="Arial Black"/>
                                              <w:color w:val="FFFFFF" w:themeColor="background1"/>
                                              <w:sz w:val="40"/>
                                              <w:szCs w:val="40"/>
                                            </w:rPr>
                                          </w:pPr>
                                          <w:r w:rsidRPr="00E44979">
                                            <w:rPr>
                                              <w:rFonts w:ascii="Arial Black" w:hAnsi="Arial Black"/>
                                              <w:color w:val="FFFFFF" w:themeColor="background1"/>
                                              <w:sz w:val="40"/>
                                              <w:szCs w:val="40"/>
                                            </w:rPr>
                                            <w:t>11/10/24</w:t>
                                          </w:r>
                                        </w:p>
                                      </w:sdtContent>
                                    </w:sdt>
                                  </w:tc>
                                  <w:sdt>
                                    <w:sdtPr>
                                      <w:rPr>
                                        <w:color w:val="FFFFFF" w:themeColor="background1"/>
                                      </w:rPr>
                                      <w:alias w:val="Course title"/>
                                      <w:tag w:val=""/>
                                      <w:id w:val="-1165709755"/>
                                      <w:showingPlcHdr/>
                                      <w:dataBinding w:prefixMappings="xmlns:ns0='http://purl.org/dc/elements/1.1/' xmlns:ns1='http://schemas.openxmlformats.org/package/2006/metadata/core-properties' " w:xpath="/ns1:coreProperties[1]/ns1:category[1]" w:storeItemID="{6C3C8BC8-F283-45AE-878A-BAB7291924A1}"/>
                                      <w:text/>
                                    </w:sdtPr>
                                    <w:sdtContent>
                                      <w:tc>
                                        <w:tcPr>
                                          <w:tcW w:w="3591" w:type="dxa"/>
                                          <w:vAlign w:val="center"/>
                                        </w:tcPr>
                                        <w:p w14:paraId="20B98245" w14:textId="7E5494BA" w:rsidR="00E44979" w:rsidRDefault="00E44979" w:rsidP="00E44979">
                                          <w:pPr>
                                            <w:pStyle w:val="NoSpacing"/>
                                            <w:ind w:left="144" w:right="720"/>
                                            <w:jc w:val="center"/>
                                            <w:rPr>
                                              <w:color w:val="FFFFFF" w:themeColor="background1"/>
                                            </w:rPr>
                                          </w:pPr>
                                          <w:r>
                                            <w:rPr>
                                              <w:color w:val="FFFFFF" w:themeColor="background1"/>
                                            </w:rPr>
                                            <w:t xml:space="preserve">     </w:t>
                                          </w:r>
                                        </w:p>
                                      </w:tc>
                                    </w:sdtContent>
                                  </w:sdt>
                                </w:tr>
                              </w:tbl>
                              <w:p w14:paraId="046F0539" w14:textId="77777777" w:rsidR="00E44979" w:rsidRDefault="00E44979"/>
                            </w:tc>
                          </w:tr>
                        </w:tbl>
                        <w:p w14:paraId="4379EB2A" w14:textId="77777777" w:rsidR="00E44979" w:rsidRDefault="00E44979"/>
                      </w:txbxContent>
                    </v:textbox>
                    <w10:wrap anchorx="page" anchory="page"/>
                  </v:shape>
                </w:pict>
              </mc:Fallback>
            </mc:AlternateContent>
          </w:r>
        </w:p>
        <w:p w14:paraId="56DE136C" w14:textId="1B5759B4" w:rsidR="00E44979" w:rsidRDefault="00E44979" w:rsidP="00E44979">
          <w:pPr>
            <w:rPr>
              <w:rFonts w:ascii="Arial Black" w:hAnsi="Arial Black" w:cs="Arial"/>
            </w:rPr>
          </w:pPr>
          <w:r w:rsidRPr="00E44979">
            <w:rPr>
              <w:rFonts w:ascii="Arial Black" w:hAnsi="Arial Black" w:cs="Arial"/>
            </w:rPr>
            <w:t>Student name:</w:t>
          </w:r>
          <w:r>
            <w:rPr>
              <w:rFonts w:ascii="Arial Black" w:hAnsi="Arial Black" w:cs="Arial"/>
            </w:rPr>
            <w:t xml:space="preserve"> Monica Filip </w:t>
          </w:r>
        </w:p>
        <w:p w14:paraId="547B81FD" w14:textId="0B65ED57" w:rsidR="00E44979" w:rsidRPr="00E44979" w:rsidRDefault="00E44979" w:rsidP="00E44979">
          <w:pPr>
            <w:rPr>
              <w:rFonts w:ascii="Arial Black" w:hAnsi="Arial Black" w:cs="Arial"/>
            </w:rPr>
          </w:pPr>
          <w:r>
            <w:rPr>
              <w:rFonts w:ascii="Arial Black" w:hAnsi="Arial Black" w:cs="Arial"/>
            </w:rPr>
            <w:t>Student number:</w:t>
          </w:r>
          <w:r w:rsidRPr="00E44979">
            <w:rPr>
              <w:rFonts w:ascii="Arial Black" w:hAnsi="Arial Black" w:cs="Arial"/>
            </w:rPr>
            <w:t xml:space="preserve"> </w:t>
          </w:r>
          <w:r>
            <w:rPr>
              <w:rFonts w:ascii="Arial Black" w:hAnsi="Arial Black" w:cs="Arial"/>
            </w:rPr>
            <w:t>2322926</w:t>
          </w:r>
          <w:r w:rsidRPr="00E44979">
            <w:rPr>
              <w:rFonts w:ascii="Arial Black" w:hAnsi="Arial Black" w:cs="Arial"/>
            </w:rPr>
            <w:t xml:space="preserve">    </w:t>
          </w:r>
        </w:p>
        <w:p w14:paraId="2136B090" w14:textId="1559A3F4" w:rsidR="00E44979" w:rsidRPr="00E44979" w:rsidRDefault="00E44979" w:rsidP="00E44979">
          <w:pPr>
            <w:rPr>
              <w:rFonts w:ascii="Arial Black" w:hAnsi="Arial Black" w:cs="Arial"/>
            </w:rPr>
          </w:pPr>
          <w:r w:rsidRPr="00E44979">
            <w:rPr>
              <w:rFonts w:ascii="Arial Black" w:hAnsi="Arial Black" w:cs="Arial"/>
            </w:rPr>
            <w:t>Programme:</w:t>
          </w:r>
          <w:r>
            <w:rPr>
              <w:rFonts w:ascii="Arial Black" w:hAnsi="Arial Black" w:cs="Arial"/>
            </w:rPr>
            <w:t xml:space="preserve"> </w:t>
          </w:r>
          <w:r w:rsidRPr="00E44979">
            <w:rPr>
              <w:rFonts w:ascii="Arial Black" w:hAnsi="Arial Black" w:cs="Arial"/>
            </w:rPr>
            <w:t>CERT HE Social Enterprise Management</w:t>
          </w:r>
        </w:p>
        <w:p w14:paraId="4A203C22" w14:textId="5A6AD833" w:rsidR="00E44979" w:rsidRPr="00E44979" w:rsidRDefault="00E44979" w:rsidP="00E44979">
          <w:pPr>
            <w:rPr>
              <w:rFonts w:ascii="Arial Black" w:hAnsi="Arial Black" w:cs="Arial"/>
            </w:rPr>
          </w:pPr>
          <w:r w:rsidRPr="00E44979">
            <w:rPr>
              <w:rFonts w:ascii="Arial Black" w:hAnsi="Arial Black" w:cs="Arial"/>
            </w:rPr>
            <w:t>Module:</w:t>
          </w:r>
          <w:r>
            <w:rPr>
              <w:rFonts w:ascii="Arial Black" w:hAnsi="Arial Black" w:cs="Arial"/>
            </w:rPr>
            <w:t xml:space="preserve"> </w:t>
          </w:r>
          <w:r w:rsidRPr="00E44979">
            <w:rPr>
              <w:rFonts w:ascii="Arial Black" w:hAnsi="Arial Black" w:cs="Arial"/>
            </w:rPr>
            <w:t>Social Enterprise: Theory and Practise</w:t>
          </w:r>
        </w:p>
        <w:p w14:paraId="51AFCA8E" w14:textId="02D5EEBF" w:rsidR="00E44979" w:rsidRPr="00E44979" w:rsidRDefault="00E44979" w:rsidP="00E44979">
          <w:pPr>
            <w:rPr>
              <w:rFonts w:ascii="Arial Black" w:hAnsi="Arial Black" w:cs="Arial"/>
            </w:rPr>
          </w:pPr>
          <w:r w:rsidRPr="00E44979">
            <w:rPr>
              <w:rFonts w:ascii="Arial Black" w:hAnsi="Arial Black" w:cs="Arial"/>
            </w:rPr>
            <w:t>Module code:</w:t>
          </w:r>
          <w:r>
            <w:rPr>
              <w:rFonts w:ascii="Arial Black" w:hAnsi="Arial Black" w:cs="Arial"/>
            </w:rPr>
            <w:t xml:space="preserve"> </w:t>
          </w:r>
          <w:r w:rsidRPr="00E44979">
            <w:rPr>
              <w:rFonts w:ascii="Arial Black" w:hAnsi="Arial Black" w:cs="Arial"/>
            </w:rPr>
            <w:t>BMSE4009D</w:t>
          </w:r>
        </w:p>
        <w:p w14:paraId="256240E6" w14:textId="7759F7AB" w:rsidR="00E44979" w:rsidRDefault="00E44979" w:rsidP="00E44979">
          <w:pPr>
            <w:rPr>
              <w:rFonts w:ascii="Arial Black" w:hAnsi="Arial Black" w:cs="Arial"/>
            </w:rPr>
          </w:pPr>
          <w:r w:rsidRPr="00E44979">
            <w:rPr>
              <w:rFonts w:ascii="Arial Black" w:hAnsi="Arial Black" w:cs="Arial"/>
            </w:rPr>
            <w:t>Lecturer:</w:t>
          </w:r>
          <w:r>
            <w:rPr>
              <w:rFonts w:ascii="Arial Black" w:hAnsi="Arial Black" w:cs="Arial"/>
            </w:rPr>
            <w:t xml:space="preserve"> J</w:t>
          </w:r>
          <w:r w:rsidRPr="00E44979">
            <w:rPr>
              <w:rFonts w:ascii="Arial Black" w:hAnsi="Arial Black" w:cs="Arial"/>
            </w:rPr>
            <w:t>essica Shore</w:t>
          </w:r>
          <w:r>
            <w:rPr>
              <w:rFonts w:ascii="Arial Black" w:hAnsi="Arial Black" w:cs="Arial"/>
            </w:rPr>
            <w:br w:type="page"/>
          </w:r>
        </w:p>
      </w:sdtContent>
    </w:sdt>
    <w:p w14:paraId="6C443631" w14:textId="4A2FC340" w:rsidR="00367B7F" w:rsidRPr="00367B7F" w:rsidRDefault="00367B7F" w:rsidP="00367B7F">
      <w:pPr>
        <w:spacing w:line="480" w:lineRule="auto"/>
        <w:jc w:val="both"/>
        <w:rPr>
          <w:rFonts w:ascii="Arial Black" w:hAnsi="Arial Black" w:cs="Arial"/>
        </w:rPr>
      </w:pPr>
      <w:r w:rsidRPr="00367B7F">
        <w:rPr>
          <w:rFonts w:ascii="Arial Black" w:hAnsi="Arial Black" w:cs="Arial"/>
        </w:rPr>
        <w:lastRenderedPageBreak/>
        <w:t xml:space="preserve">Introduction </w:t>
      </w:r>
    </w:p>
    <w:p w14:paraId="165BAD1B" w14:textId="77777777" w:rsidR="00367B7F" w:rsidRDefault="00367B7F" w:rsidP="00367B7F">
      <w:pPr>
        <w:spacing w:line="480" w:lineRule="auto"/>
        <w:jc w:val="both"/>
        <w:rPr>
          <w:rFonts w:ascii="Arial" w:hAnsi="Arial" w:cs="Arial"/>
        </w:rPr>
      </w:pPr>
      <w:r w:rsidRPr="00367B7F">
        <w:rPr>
          <w:rFonts w:ascii="Arial" w:hAnsi="Arial" w:cs="Arial"/>
        </w:rPr>
        <w:t>By integrating economic methods and social missions, social enterprises have carved out a distinct position in the global economy. These organisations strive to address societal concerns while maintaining financial viability, resulting in a hybrid model that differs from typical for-profit and non-profit businesses (Leadbeater, 1997). A SWOT analysis, which looks at Strengths, Weaknesses, Opportunities, and Threats, provides a structured framework for understanding the terrain in which social entrepreneurs operate. This essay digs into the opportunities and constraints that social entrepreneurs face, providing a comprehensive perspective based on academic ideas and real-world examples.</w:t>
      </w:r>
    </w:p>
    <w:p w14:paraId="58B27DD2" w14:textId="77777777" w:rsidR="00367B7F" w:rsidRDefault="00367B7F" w:rsidP="00367B7F">
      <w:pPr>
        <w:spacing w:line="480" w:lineRule="auto"/>
        <w:jc w:val="both"/>
        <w:rPr>
          <w:rFonts w:ascii="Arial" w:hAnsi="Arial" w:cs="Arial"/>
        </w:rPr>
      </w:pPr>
    </w:p>
    <w:p w14:paraId="3E375678" w14:textId="77777777" w:rsidR="00367B7F" w:rsidRDefault="00367B7F" w:rsidP="00367B7F">
      <w:pPr>
        <w:spacing w:line="480" w:lineRule="auto"/>
        <w:jc w:val="both"/>
        <w:rPr>
          <w:rFonts w:ascii="Arial" w:hAnsi="Arial" w:cs="Arial"/>
        </w:rPr>
      </w:pPr>
    </w:p>
    <w:p w14:paraId="6466F772" w14:textId="77777777" w:rsidR="00367B7F" w:rsidRDefault="00367B7F" w:rsidP="00367B7F">
      <w:pPr>
        <w:spacing w:line="480" w:lineRule="auto"/>
        <w:jc w:val="both"/>
        <w:rPr>
          <w:rFonts w:ascii="Arial" w:hAnsi="Arial" w:cs="Arial"/>
        </w:rPr>
      </w:pPr>
    </w:p>
    <w:p w14:paraId="0C3B27E8" w14:textId="77777777" w:rsidR="00367B7F" w:rsidRDefault="00367B7F" w:rsidP="00367B7F">
      <w:pPr>
        <w:spacing w:line="480" w:lineRule="auto"/>
        <w:jc w:val="both"/>
        <w:rPr>
          <w:rFonts w:ascii="Arial" w:hAnsi="Arial" w:cs="Arial"/>
        </w:rPr>
      </w:pPr>
    </w:p>
    <w:p w14:paraId="641597C1" w14:textId="77777777" w:rsidR="00367B7F" w:rsidRDefault="00367B7F" w:rsidP="00367B7F">
      <w:pPr>
        <w:spacing w:line="480" w:lineRule="auto"/>
        <w:jc w:val="both"/>
        <w:rPr>
          <w:rFonts w:ascii="Arial" w:hAnsi="Arial" w:cs="Arial"/>
        </w:rPr>
      </w:pPr>
    </w:p>
    <w:p w14:paraId="5C85F13D" w14:textId="77777777" w:rsidR="00367B7F" w:rsidRDefault="00367B7F" w:rsidP="00367B7F">
      <w:pPr>
        <w:spacing w:line="480" w:lineRule="auto"/>
        <w:jc w:val="both"/>
        <w:rPr>
          <w:rFonts w:ascii="Arial" w:hAnsi="Arial" w:cs="Arial"/>
        </w:rPr>
      </w:pPr>
    </w:p>
    <w:p w14:paraId="117B5B22" w14:textId="77777777" w:rsidR="00367B7F" w:rsidRDefault="00367B7F" w:rsidP="00367B7F">
      <w:pPr>
        <w:spacing w:line="480" w:lineRule="auto"/>
        <w:jc w:val="both"/>
        <w:rPr>
          <w:rFonts w:ascii="Arial" w:hAnsi="Arial" w:cs="Arial"/>
        </w:rPr>
      </w:pPr>
    </w:p>
    <w:p w14:paraId="48C5A68C" w14:textId="77777777" w:rsidR="00367B7F" w:rsidRDefault="00367B7F" w:rsidP="00367B7F">
      <w:pPr>
        <w:spacing w:line="480" w:lineRule="auto"/>
        <w:jc w:val="both"/>
        <w:rPr>
          <w:rFonts w:ascii="Arial" w:hAnsi="Arial" w:cs="Arial"/>
        </w:rPr>
      </w:pPr>
    </w:p>
    <w:p w14:paraId="6284D745" w14:textId="77777777" w:rsidR="00367B7F" w:rsidRDefault="00367B7F" w:rsidP="00367B7F">
      <w:pPr>
        <w:spacing w:line="480" w:lineRule="auto"/>
        <w:jc w:val="both"/>
        <w:rPr>
          <w:rFonts w:ascii="Arial" w:hAnsi="Arial" w:cs="Arial"/>
        </w:rPr>
      </w:pPr>
    </w:p>
    <w:p w14:paraId="3C0E3A92" w14:textId="77777777" w:rsidR="00367B7F" w:rsidRDefault="00367B7F" w:rsidP="00367B7F">
      <w:pPr>
        <w:spacing w:line="480" w:lineRule="auto"/>
        <w:jc w:val="both"/>
        <w:rPr>
          <w:rFonts w:ascii="Arial" w:hAnsi="Arial" w:cs="Arial"/>
        </w:rPr>
      </w:pPr>
    </w:p>
    <w:p w14:paraId="4A048B76" w14:textId="77777777" w:rsidR="00367B7F" w:rsidRDefault="00367B7F" w:rsidP="00367B7F">
      <w:pPr>
        <w:spacing w:line="480" w:lineRule="auto"/>
        <w:jc w:val="both"/>
        <w:rPr>
          <w:rFonts w:ascii="Arial" w:hAnsi="Arial" w:cs="Arial"/>
        </w:rPr>
      </w:pPr>
    </w:p>
    <w:p w14:paraId="14A717A9" w14:textId="15BE8BC4" w:rsidR="00367B7F" w:rsidRPr="00367B7F" w:rsidRDefault="00367B7F" w:rsidP="00367B7F">
      <w:pPr>
        <w:spacing w:line="480" w:lineRule="auto"/>
        <w:jc w:val="both"/>
        <w:rPr>
          <w:rFonts w:ascii="Arial Black" w:hAnsi="Arial Black" w:cs="Arial"/>
        </w:rPr>
      </w:pPr>
      <w:r w:rsidRPr="00367B7F">
        <w:rPr>
          <w:rFonts w:ascii="Arial Black" w:hAnsi="Arial Black" w:cs="Arial"/>
        </w:rPr>
        <w:lastRenderedPageBreak/>
        <w:t>Strengths and Weaknesses of the Foundation of Social Enterprises</w:t>
      </w:r>
    </w:p>
    <w:p w14:paraId="7CDDB767" w14:textId="6CF52C08" w:rsidR="00367B7F" w:rsidRDefault="00367B7F" w:rsidP="00367B7F">
      <w:pPr>
        <w:spacing w:line="480" w:lineRule="auto"/>
        <w:jc w:val="both"/>
        <w:rPr>
          <w:rFonts w:ascii="Arial" w:hAnsi="Arial" w:cs="Arial"/>
        </w:rPr>
      </w:pPr>
      <w:r w:rsidRPr="00367B7F">
        <w:rPr>
          <w:rFonts w:ascii="Arial" w:hAnsi="Arial" w:cs="Arial"/>
        </w:rPr>
        <w:t>While the focus of this essay is on opportunities and challenges, it is important to quickly mention the strengths and weaknesses that underlying these variables.</w:t>
      </w:r>
    </w:p>
    <w:p w14:paraId="33AD49B9" w14:textId="77777777" w:rsidR="00367B7F" w:rsidRDefault="00367B7F" w:rsidP="00367B7F">
      <w:pPr>
        <w:spacing w:line="480" w:lineRule="auto"/>
        <w:jc w:val="both"/>
        <w:rPr>
          <w:rFonts w:ascii="Arial" w:hAnsi="Arial" w:cs="Arial"/>
        </w:rPr>
      </w:pPr>
      <w:r w:rsidRPr="00367B7F">
        <w:rPr>
          <w:rFonts w:ascii="Arial Black" w:hAnsi="Arial Black" w:cs="Arial"/>
        </w:rPr>
        <w:t>Strengths</w:t>
      </w:r>
      <w:r w:rsidRPr="00367B7F">
        <w:rPr>
          <w:rFonts w:ascii="Arial Black" w:hAnsi="Arial Black" w:cs="Arial"/>
        </w:rPr>
        <w:br/>
      </w:r>
      <w:r w:rsidRPr="00367B7F">
        <w:rPr>
          <w:rFonts w:ascii="Arial" w:hAnsi="Arial" w:cs="Arial"/>
        </w:rPr>
        <w:t>One of social enterprises key assets is its ability to combine social and commercial goals, resulting in a unique value proposition. This dual focus frequently generates significant community support and loyalty, as evidenced by Etsy, which supports craftspeople while also promoting sustainable practices. Furthermore, social companies often have inherent flexibility, allowing them to quickly adjust to changing social needs and market situations (Mair &amp; Marti, 2006).</w:t>
      </w:r>
    </w:p>
    <w:p w14:paraId="020782CA" w14:textId="77777777" w:rsidR="00367B7F" w:rsidRDefault="00367B7F" w:rsidP="00367B7F">
      <w:pPr>
        <w:spacing w:line="480" w:lineRule="auto"/>
        <w:jc w:val="both"/>
        <w:rPr>
          <w:rFonts w:ascii="Arial" w:hAnsi="Arial" w:cs="Arial"/>
        </w:rPr>
      </w:pPr>
      <w:r w:rsidRPr="00367B7F">
        <w:rPr>
          <w:rFonts w:ascii="Arial Black" w:hAnsi="Arial Black" w:cs="Arial"/>
        </w:rPr>
        <w:t>Weaknesses</w:t>
      </w:r>
      <w:r w:rsidRPr="00367B7F">
        <w:rPr>
          <w:rFonts w:ascii="Arial Black" w:hAnsi="Arial Black" w:cs="Arial"/>
        </w:rPr>
        <w:br/>
      </w:r>
      <w:r w:rsidRPr="00367B7F">
        <w:rPr>
          <w:rFonts w:ascii="Arial" w:hAnsi="Arial" w:cs="Arial"/>
        </w:rPr>
        <w:t xml:space="preserve">Social enterprises, on the other hand, may face internal challenges such as a lack of managerial skills in combining social and financial aims. This can lead to strategy drift, in which a concentration on social goals compromises financial success or vice versa (Zahra, </w:t>
      </w:r>
      <w:proofErr w:type="spellStart"/>
      <w:r w:rsidRPr="00367B7F">
        <w:rPr>
          <w:rFonts w:ascii="Arial" w:hAnsi="Arial" w:cs="Arial"/>
        </w:rPr>
        <w:t>Gedajlovic</w:t>
      </w:r>
      <w:proofErr w:type="spellEnd"/>
      <w:r w:rsidRPr="00367B7F">
        <w:rPr>
          <w:rFonts w:ascii="Arial" w:hAnsi="Arial" w:cs="Arial"/>
        </w:rPr>
        <w:t>, Neubaum, &amp; Shulman, 2009). Furthermore, social companies frequently lack access to financing markets, limiting their capacity to efficiently scale operations.</w:t>
      </w:r>
    </w:p>
    <w:p w14:paraId="02A3D0A3" w14:textId="77777777" w:rsidR="00367B7F" w:rsidRPr="00367B7F" w:rsidRDefault="00367B7F" w:rsidP="00367B7F">
      <w:pPr>
        <w:spacing w:line="480" w:lineRule="auto"/>
        <w:jc w:val="both"/>
        <w:rPr>
          <w:rFonts w:ascii="Arial Black" w:hAnsi="Arial Black" w:cs="Arial"/>
        </w:rPr>
      </w:pPr>
      <w:r w:rsidRPr="00367B7F">
        <w:rPr>
          <w:rFonts w:ascii="Arial Black" w:hAnsi="Arial Black" w:cs="Arial"/>
        </w:rPr>
        <w:t>Opportunities</w:t>
      </w:r>
    </w:p>
    <w:p w14:paraId="2E34ADF3" w14:textId="45C54A2A" w:rsidR="00367B7F" w:rsidRPr="00367B7F" w:rsidRDefault="00367B7F" w:rsidP="00367B7F">
      <w:pPr>
        <w:pStyle w:val="ListParagraph"/>
        <w:numPr>
          <w:ilvl w:val="0"/>
          <w:numId w:val="1"/>
        </w:numPr>
        <w:spacing w:line="480" w:lineRule="auto"/>
        <w:jc w:val="both"/>
        <w:rPr>
          <w:rFonts w:ascii="Arial Black" w:hAnsi="Arial Black" w:cs="Arial"/>
        </w:rPr>
      </w:pPr>
      <w:r w:rsidRPr="00367B7F">
        <w:rPr>
          <w:rFonts w:ascii="Arial Black" w:hAnsi="Arial Black" w:cs="Arial"/>
        </w:rPr>
        <w:t>I</w:t>
      </w:r>
      <w:r w:rsidRPr="00367B7F">
        <w:rPr>
          <w:rFonts w:ascii="Arial Black" w:hAnsi="Arial Black" w:cs="Arial"/>
        </w:rPr>
        <w:t>ncreased demand for ethical consumption.</w:t>
      </w:r>
    </w:p>
    <w:p w14:paraId="7F9B1E2A" w14:textId="77777777" w:rsidR="00367B7F" w:rsidRDefault="00367B7F" w:rsidP="00367B7F">
      <w:pPr>
        <w:spacing w:line="480" w:lineRule="auto"/>
        <w:jc w:val="both"/>
        <w:rPr>
          <w:rFonts w:ascii="Arial" w:hAnsi="Arial" w:cs="Arial"/>
        </w:rPr>
      </w:pPr>
      <w:r w:rsidRPr="00367B7F">
        <w:rPr>
          <w:rFonts w:ascii="Arial" w:hAnsi="Arial" w:cs="Arial"/>
        </w:rPr>
        <w:t xml:space="preserve">The growing consumer preference for ethical and environmental products </w:t>
      </w:r>
      <w:r w:rsidRPr="00367B7F">
        <w:rPr>
          <w:rFonts w:ascii="Arial" w:hAnsi="Arial" w:cs="Arial"/>
        </w:rPr>
        <w:t>opens</w:t>
      </w:r>
      <w:r w:rsidRPr="00367B7F">
        <w:rPr>
          <w:rFonts w:ascii="Arial" w:hAnsi="Arial" w:cs="Arial"/>
        </w:rPr>
        <w:t xml:space="preserve"> enormous opportunities for social companies. According to the </w:t>
      </w:r>
      <w:proofErr w:type="spellStart"/>
      <w:r w:rsidRPr="00367B7F">
        <w:rPr>
          <w:rFonts w:ascii="Arial" w:hAnsi="Arial" w:cs="Arial"/>
        </w:rPr>
        <w:t>GlobalWebIndex</w:t>
      </w:r>
      <w:proofErr w:type="spellEnd"/>
      <w:r w:rsidRPr="00367B7F">
        <w:rPr>
          <w:rFonts w:ascii="Arial" w:hAnsi="Arial" w:cs="Arial"/>
        </w:rPr>
        <w:t xml:space="preserve"> (2023), more than 70% of consumers are willing to spend a higher price for products </w:t>
      </w:r>
      <w:r w:rsidRPr="00367B7F">
        <w:rPr>
          <w:rFonts w:ascii="Arial" w:hAnsi="Arial" w:cs="Arial"/>
        </w:rPr>
        <w:lastRenderedPageBreak/>
        <w:t>that reflect their values. Patagonia and other social enterprises take advantage of this trend by emphasising environmental sustainability, garnering a loyal consumer base that values ethical consumption.</w:t>
      </w:r>
    </w:p>
    <w:p w14:paraId="193FF39E" w14:textId="77777777" w:rsidR="00367B7F" w:rsidRPr="00367B7F" w:rsidRDefault="00367B7F" w:rsidP="00367B7F">
      <w:pPr>
        <w:pStyle w:val="ListParagraph"/>
        <w:numPr>
          <w:ilvl w:val="0"/>
          <w:numId w:val="1"/>
        </w:numPr>
        <w:spacing w:line="480" w:lineRule="auto"/>
        <w:jc w:val="both"/>
        <w:rPr>
          <w:rFonts w:ascii="Arial Black" w:hAnsi="Arial Black" w:cs="Arial"/>
        </w:rPr>
      </w:pPr>
      <w:r w:rsidRPr="00367B7F">
        <w:rPr>
          <w:rFonts w:ascii="Arial Black" w:hAnsi="Arial Black" w:cs="Arial"/>
        </w:rPr>
        <w:t>Technological advancements</w:t>
      </w:r>
    </w:p>
    <w:p w14:paraId="2C98DEBC" w14:textId="77777777" w:rsidR="00367B7F" w:rsidRDefault="00367B7F" w:rsidP="00367B7F">
      <w:pPr>
        <w:spacing w:line="480" w:lineRule="auto"/>
        <w:jc w:val="both"/>
        <w:rPr>
          <w:rFonts w:ascii="Arial" w:hAnsi="Arial" w:cs="Arial"/>
        </w:rPr>
      </w:pPr>
      <w:r w:rsidRPr="00367B7F">
        <w:rPr>
          <w:rFonts w:ascii="Arial" w:hAnsi="Arial" w:cs="Arial"/>
        </w:rPr>
        <w:t>Technological advancements provide social companies with unparalleled tools to improve their operations and impacts. Digital platforms enable service delivery to be more accessible and efficient. Change.org, for example, uses online petitions to mobilise social movements, demonstrating how technology may be used to increase social effect. Furthermore, data analytics can assist social enterprises in measuring and optimising their social performance, along with evidence-based management theories (Senge, 1990).</w:t>
      </w:r>
    </w:p>
    <w:p w14:paraId="07FEFCB9" w14:textId="77777777" w:rsidR="00367B7F" w:rsidRPr="00367B7F" w:rsidRDefault="00367B7F" w:rsidP="00367B7F">
      <w:pPr>
        <w:pStyle w:val="ListParagraph"/>
        <w:numPr>
          <w:ilvl w:val="0"/>
          <w:numId w:val="1"/>
        </w:numPr>
        <w:spacing w:line="480" w:lineRule="auto"/>
        <w:jc w:val="both"/>
        <w:rPr>
          <w:rFonts w:ascii="Arial Black" w:hAnsi="Arial Black" w:cs="Arial"/>
        </w:rPr>
      </w:pPr>
      <w:r w:rsidRPr="00367B7F">
        <w:rPr>
          <w:rFonts w:ascii="Arial Black" w:hAnsi="Arial Black" w:cs="Arial"/>
        </w:rPr>
        <w:t>Ecosystems that are collaborative</w:t>
      </w:r>
    </w:p>
    <w:p w14:paraId="09F15EDD" w14:textId="77777777" w:rsidR="00367B7F" w:rsidRDefault="00367B7F" w:rsidP="00367B7F">
      <w:pPr>
        <w:spacing w:line="480" w:lineRule="auto"/>
        <w:jc w:val="both"/>
        <w:rPr>
          <w:rFonts w:ascii="Arial" w:hAnsi="Arial" w:cs="Arial"/>
        </w:rPr>
      </w:pPr>
      <w:r w:rsidRPr="00367B7F">
        <w:rPr>
          <w:rFonts w:ascii="Arial" w:hAnsi="Arial" w:cs="Arial"/>
        </w:rPr>
        <w:t xml:space="preserve">The advent of collaborative ecosystems, in which social entrepreneurs collaborate with governments, corporations, and non-profits, </w:t>
      </w:r>
      <w:r w:rsidRPr="00367B7F">
        <w:rPr>
          <w:rFonts w:ascii="Arial" w:hAnsi="Arial" w:cs="Arial"/>
        </w:rPr>
        <w:t>opens</w:t>
      </w:r>
      <w:r w:rsidRPr="00367B7F">
        <w:rPr>
          <w:rFonts w:ascii="Arial" w:hAnsi="Arial" w:cs="Arial"/>
        </w:rPr>
        <w:t xml:space="preserve"> possibilities for resource sharing and innovation. Unilever's Sustainable Living Plan works with a variety of stakeholders to foster sustainability throughout its supply chain, demonstrating how collaboration may improve social enterprise effect.</w:t>
      </w:r>
    </w:p>
    <w:p w14:paraId="1D90BA89" w14:textId="77777777" w:rsidR="00367B7F" w:rsidRPr="00367B7F" w:rsidRDefault="00367B7F" w:rsidP="00367B7F">
      <w:pPr>
        <w:pStyle w:val="ListParagraph"/>
        <w:numPr>
          <w:ilvl w:val="0"/>
          <w:numId w:val="1"/>
        </w:numPr>
        <w:spacing w:line="480" w:lineRule="auto"/>
        <w:jc w:val="both"/>
        <w:rPr>
          <w:rFonts w:ascii="Arial Black" w:hAnsi="Arial Black" w:cs="Arial"/>
        </w:rPr>
      </w:pPr>
      <w:r w:rsidRPr="00367B7F">
        <w:rPr>
          <w:rFonts w:ascii="Arial Black" w:hAnsi="Arial Black" w:cs="Arial"/>
        </w:rPr>
        <w:t>Support for policies and regulations</w:t>
      </w:r>
    </w:p>
    <w:p w14:paraId="79E6F212" w14:textId="77777777" w:rsidR="00367B7F" w:rsidRDefault="00367B7F" w:rsidP="00367B7F">
      <w:pPr>
        <w:spacing w:line="480" w:lineRule="auto"/>
        <w:jc w:val="both"/>
        <w:rPr>
          <w:rFonts w:ascii="Arial" w:hAnsi="Arial" w:cs="Arial"/>
        </w:rPr>
      </w:pPr>
      <w:r w:rsidRPr="00367B7F">
        <w:rPr>
          <w:rFonts w:ascii="Arial" w:hAnsi="Arial" w:cs="Arial"/>
        </w:rPr>
        <w:t xml:space="preserve">Governments around the world are increasingly recognising the significance of social enterprises in achieving the Sustainable Development Goals. Tax breaks, subsidies, and favourable legislation can all help to accelerate social enterprise growth. For example, in the United Kingdom, the Social Enterprise Mark provides accreditation </w:t>
      </w:r>
      <w:r w:rsidRPr="00367B7F">
        <w:rPr>
          <w:rFonts w:ascii="Arial" w:hAnsi="Arial" w:cs="Arial"/>
        </w:rPr>
        <w:lastRenderedPageBreak/>
        <w:t>that increases credibility and access to capital, assisting social entrepreneurs in extending their operations (Nicholls, 2006).</w:t>
      </w:r>
    </w:p>
    <w:p w14:paraId="0797CA2C" w14:textId="77777777" w:rsidR="00367B7F" w:rsidRPr="00367B7F" w:rsidRDefault="00367B7F" w:rsidP="00367B7F">
      <w:pPr>
        <w:spacing w:line="480" w:lineRule="auto"/>
        <w:jc w:val="both"/>
        <w:rPr>
          <w:rFonts w:ascii="Arial Black" w:hAnsi="Arial Black" w:cs="Arial"/>
        </w:rPr>
      </w:pPr>
      <w:r w:rsidRPr="00367B7F">
        <w:rPr>
          <w:rFonts w:ascii="Arial Black" w:hAnsi="Arial Black" w:cs="Arial"/>
        </w:rPr>
        <w:t>Threats: Navigating Challenges</w:t>
      </w:r>
    </w:p>
    <w:p w14:paraId="6ED57E60" w14:textId="77777777" w:rsidR="00367B7F" w:rsidRPr="00367B7F" w:rsidRDefault="00367B7F" w:rsidP="00367B7F">
      <w:pPr>
        <w:pStyle w:val="ListParagraph"/>
        <w:numPr>
          <w:ilvl w:val="0"/>
          <w:numId w:val="2"/>
        </w:numPr>
        <w:spacing w:line="480" w:lineRule="auto"/>
        <w:jc w:val="both"/>
        <w:rPr>
          <w:rFonts w:ascii="Arial Black" w:hAnsi="Arial Black" w:cs="Arial"/>
        </w:rPr>
      </w:pPr>
      <w:r w:rsidRPr="00367B7F">
        <w:rPr>
          <w:rFonts w:ascii="Arial Black" w:hAnsi="Arial Black" w:cs="Arial"/>
        </w:rPr>
        <w:t>Competition in the market.</w:t>
      </w:r>
    </w:p>
    <w:p w14:paraId="2E8968F9" w14:textId="77777777" w:rsidR="00367B7F" w:rsidRDefault="00367B7F" w:rsidP="00367B7F">
      <w:pPr>
        <w:spacing w:line="480" w:lineRule="auto"/>
        <w:jc w:val="both"/>
        <w:rPr>
          <w:rFonts w:ascii="Arial" w:hAnsi="Arial" w:cs="Arial"/>
        </w:rPr>
      </w:pPr>
      <w:r w:rsidRPr="00367B7F">
        <w:rPr>
          <w:rFonts w:ascii="Arial" w:hAnsi="Arial" w:cs="Arial"/>
        </w:rPr>
        <w:t>The growing popularity of social enterprises has heightened competition in the field. As more organisations compete for identical resources and market segments, defining one's value proposition becomes critical. Despite its success, Warby Parker faces competition from several firms that use the direct-to-consumer model and have social goals, demanding ongoing innovation to maintain a competitive edge.</w:t>
      </w:r>
    </w:p>
    <w:p w14:paraId="42495C6D" w14:textId="77777777" w:rsidR="00367B7F" w:rsidRPr="00367B7F" w:rsidRDefault="00367B7F" w:rsidP="00367B7F">
      <w:pPr>
        <w:pStyle w:val="ListParagraph"/>
        <w:numPr>
          <w:ilvl w:val="0"/>
          <w:numId w:val="2"/>
        </w:numPr>
        <w:spacing w:line="480" w:lineRule="auto"/>
        <w:jc w:val="both"/>
        <w:rPr>
          <w:rFonts w:ascii="Arial Black" w:hAnsi="Arial Black" w:cs="Arial"/>
        </w:rPr>
      </w:pPr>
      <w:r w:rsidRPr="00367B7F">
        <w:rPr>
          <w:rFonts w:ascii="Arial Black" w:hAnsi="Arial Black" w:cs="Arial"/>
        </w:rPr>
        <w:t>Economic unrest</w:t>
      </w:r>
    </w:p>
    <w:p w14:paraId="006855A8" w14:textId="77777777" w:rsidR="00367B7F" w:rsidRPr="00367B7F" w:rsidRDefault="00367B7F" w:rsidP="00367B7F">
      <w:pPr>
        <w:spacing w:line="480" w:lineRule="auto"/>
        <w:jc w:val="both"/>
        <w:rPr>
          <w:rFonts w:ascii="Arial Black" w:hAnsi="Arial Black" w:cs="Arial"/>
        </w:rPr>
      </w:pPr>
      <w:r w:rsidRPr="00367B7F">
        <w:rPr>
          <w:rFonts w:ascii="Arial" w:hAnsi="Arial" w:cs="Arial"/>
        </w:rPr>
        <w:t>Economic downturns are a big threat to social enterprises, particularly those that rely on discretionary consumer spending or donations. The COVID-19 epidemic exposed this vulnerability, as organisations like as Goodwill Industries saw a drop in donations and financing, limiting their ability to provide services (</w:t>
      </w:r>
      <w:proofErr w:type="spellStart"/>
      <w:r w:rsidRPr="00367B7F">
        <w:rPr>
          <w:rFonts w:ascii="Arial" w:hAnsi="Arial" w:cs="Arial"/>
        </w:rPr>
        <w:t>Toropova</w:t>
      </w:r>
      <w:proofErr w:type="spellEnd"/>
      <w:r w:rsidRPr="00367B7F">
        <w:rPr>
          <w:rFonts w:ascii="Arial" w:hAnsi="Arial" w:cs="Arial"/>
        </w:rPr>
        <w:t>, Minniti, and Visconti, 2017).</w:t>
      </w:r>
    </w:p>
    <w:p w14:paraId="1ECEAC2A" w14:textId="77777777" w:rsidR="00367B7F" w:rsidRPr="00367B7F" w:rsidRDefault="00367B7F" w:rsidP="00367B7F">
      <w:pPr>
        <w:pStyle w:val="ListParagraph"/>
        <w:numPr>
          <w:ilvl w:val="0"/>
          <w:numId w:val="2"/>
        </w:numPr>
        <w:spacing w:line="480" w:lineRule="auto"/>
        <w:jc w:val="both"/>
        <w:rPr>
          <w:rFonts w:ascii="Arial Black" w:hAnsi="Arial Black" w:cs="Arial"/>
        </w:rPr>
      </w:pPr>
      <w:r w:rsidRPr="00367B7F">
        <w:rPr>
          <w:rFonts w:ascii="Arial Black" w:hAnsi="Arial Black" w:cs="Arial"/>
        </w:rPr>
        <w:t>Complying with regulations</w:t>
      </w:r>
    </w:p>
    <w:p w14:paraId="72590269" w14:textId="77777777" w:rsidR="00367B7F" w:rsidRDefault="00367B7F" w:rsidP="00367B7F">
      <w:pPr>
        <w:spacing w:line="480" w:lineRule="auto"/>
        <w:jc w:val="both"/>
        <w:rPr>
          <w:rFonts w:ascii="Arial" w:hAnsi="Arial" w:cs="Arial"/>
        </w:rPr>
      </w:pPr>
      <w:r w:rsidRPr="00367B7F">
        <w:rPr>
          <w:rFonts w:ascii="Arial" w:hAnsi="Arial" w:cs="Arial"/>
        </w:rPr>
        <w:t>Navigating complicated and changing regulatory regimes can be difficult for social enterprises, especially those that operate globally. Compliance with various standards might incur significant expenditures and administrative hassles. Fair Trade USA confronts difficulty in sustaining certification requirements across several markets, which has an influence on its operational efficiency and scalability.</w:t>
      </w:r>
    </w:p>
    <w:p w14:paraId="1CB946DC" w14:textId="77777777" w:rsidR="00367B7F" w:rsidRDefault="00367B7F" w:rsidP="00367B7F">
      <w:pPr>
        <w:spacing w:line="480" w:lineRule="auto"/>
        <w:jc w:val="both"/>
        <w:rPr>
          <w:rFonts w:ascii="Arial" w:hAnsi="Arial" w:cs="Arial"/>
        </w:rPr>
      </w:pPr>
    </w:p>
    <w:p w14:paraId="1E80F059" w14:textId="77777777" w:rsidR="00367B7F" w:rsidRPr="00E44979" w:rsidRDefault="00367B7F" w:rsidP="00367B7F">
      <w:pPr>
        <w:pStyle w:val="ListParagraph"/>
        <w:numPr>
          <w:ilvl w:val="0"/>
          <w:numId w:val="2"/>
        </w:numPr>
        <w:spacing w:line="480" w:lineRule="auto"/>
        <w:jc w:val="both"/>
        <w:rPr>
          <w:rFonts w:ascii="Arial Black" w:hAnsi="Arial Black" w:cs="Arial"/>
        </w:rPr>
      </w:pPr>
      <w:r w:rsidRPr="00E44979">
        <w:rPr>
          <w:rFonts w:ascii="Arial Black" w:hAnsi="Arial Black" w:cs="Arial"/>
        </w:rPr>
        <w:lastRenderedPageBreak/>
        <w:t>Determining Social Impact</w:t>
      </w:r>
    </w:p>
    <w:p w14:paraId="4FAFB31D" w14:textId="77777777" w:rsidR="00367B7F" w:rsidRDefault="00367B7F" w:rsidP="00367B7F">
      <w:pPr>
        <w:spacing w:line="480" w:lineRule="auto"/>
        <w:jc w:val="both"/>
        <w:rPr>
          <w:rFonts w:ascii="Arial" w:hAnsi="Arial" w:cs="Arial"/>
        </w:rPr>
      </w:pPr>
      <w:r w:rsidRPr="00367B7F">
        <w:rPr>
          <w:rFonts w:ascii="Arial" w:hAnsi="Arial" w:cs="Arial"/>
        </w:rPr>
        <w:t xml:space="preserve">Measuring and communicating social impact effectively is still a difficult task. Stakeholders want openness and accountability, yet measuring social effects is inherently difficult and subjective. Ben &amp; Jerry's strives to communicate its social </w:t>
      </w:r>
      <w:r w:rsidRPr="00367B7F">
        <w:rPr>
          <w:rFonts w:ascii="Arial" w:hAnsi="Arial" w:cs="Arial"/>
        </w:rPr>
        <w:t>goal;</w:t>
      </w:r>
      <w:r w:rsidRPr="00367B7F">
        <w:rPr>
          <w:rFonts w:ascii="Arial" w:hAnsi="Arial" w:cs="Arial"/>
        </w:rPr>
        <w:t xml:space="preserve"> </w:t>
      </w:r>
      <w:r w:rsidRPr="00367B7F">
        <w:rPr>
          <w:rFonts w:ascii="Arial" w:hAnsi="Arial" w:cs="Arial"/>
        </w:rPr>
        <w:t>however,</w:t>
      </w:r>
      <w:r w:rsidRPr="00367B7F">
        <w:rPr>
          <w:rFonts w:ascii="Arial" w:hAnsi="Arial" w:cs="Arial"/>
        </w:rPr>
        <w:t xml:space="preserve"> the subjective nature of social impact measures can impede effective communication and stakeholder trust.</w:t>
      </w:r>
    </w:p>
    <w:p w14:paraId="53F09072" w14:textId="77777777" w:rsidR="00367B7F" w:rsidRPr="00E44979" w:rsidRDefault="00367B7F" w:rsidP="00367B7F">
      <w:pPr>
        <w:spacing w:line="480" w:lineRule="auto"/>
        <w:jc w:val="both"/>
        <w:rPr>
          <w:rFonts w:ascii="Arial Black" w:hAnsi="Arial Black" w:cs="Arial"/>
        </w:rPr>
      </w:pPr>
      <w:r w:rsidRPr="00E44979">
        <w:rPr>
          <w:rFonts w:ascii="Arial Black" w:hAnsi="Arial Black" w:cs="Arial"/>
        </w:rPr>
        <w:t>Integration of Academic Theories</w:t>
      </w:r>
    </w:p>
    <w:p w14:paraId="7346D0F4" w14:textId="77777777" w:rsidR="00367B7F" w:rsidRDefault="00367B7F" w:rsidP="00367B7F">
      <w:pPr>
        <w:spacing w:line="480" w:lineRule="auto"/>
        <w:jc w:val="both"/>
        <w:rPr>
          <w:rFonts w:ascii="Arial" w:hAnsi="Arial" w:cs="Arial"/>
        </w:rPr>
      </w:pPr>
      <w:r w:rsidRPr="00367B7F">
        <w:rPr>
          <w:rFonts w:ascii="Arial" w:hAnsi="Arial" w:cs="Arial"/>
        </w:rPr>
        <w:t>Several academic ideas give a framework for understanding social enterprises' potential and limitations. The Resource-Based View (RBV) holds that distinctive resources and competencies can provide a competitive advantage. Resources such as social capital, community support, and ethical reputation are essential strengths that social entrepreneurs can use to capitalise on possibilities.</w:t>
      </w:r>
    </w:p>
    <w:p w14:paraId="3485B93D" w14:textId="77777777" w:rsidR="00367B7F" w:rsidRDefault="00367B7F" w:rsidP="00367B7F">
      <w:pPr>
        <w:spacing w:line="480" w:lineRule="auto"/>
        <w:jc w:val="both"/>
        <w:rPr>
          <w:rFonts w:ascii="Arial" w:hAnsi="Arial" w:cs="Arial"/>
        </w:rPr>
      </w:pPr>
      <w:r w:rsidRPr="00367B7F">
        <w:rPr>
          <w:rFonts w:ascii="Arial" w:hAnsi="Arial" w:cs="Arial"/>
        </w:rPr>
        <w:t xml:space="preserve">Another important theory is Stakeholder Theory, which emphasises the significance of managing relationships with a wide range of stakeholders </w:t>
      </w:r>
      <w:r w:rsidRPr="00367B7F">
        <w:rPr>
          <w:rFonts w:ascii="Arial" w:hAnsi="Arial" w:cs="Arial"/>
        </w:rPr>
        <w:t>to</w:t>
      </w:r>
      <w:r w:rsidRPr="00367B7F">
        <w:rPr>
          <w:rFonts w:ascii="Arial" w:hAnsi="Arial" w:cs="Arial"/>
        </w:rPr>
        <w:t xml:space="preserve"> achieve organisational success. To continue their operations and impact, social businesses must balance the interests of a variety of stakeholders, including beneficiaries, customers, investors, and community members.</w:t>
      </w:r>
    </w:p>
    <w:p w14:paraId="19A38113" w14:textId="54D8E367" w:rsidR="00367B7F" w:rsidRDefault="00367B7F" w:rsidP="00367B7F">
      <w:pPr>
        <w:spacing w:line="480" w:lineRule="auto"/>
        <w:jc w:val="both"/>
        <w:rPr>
          <w:rFonts w:ascii="Arial" w:hAnsi="Arial" w:cs="Arial"/>
        </w:rPr>
      </w:pPr>
      <w:r w:rsidRPr="00367B7F">
        <w:rPr>
          <w:rFonts w:ascii="Arial" w:hAnsi="Arial" w:cs="Arial"/>
        </w:rPr>
        <w:t xml:space="preserve">Additionally, Institutional Theory emphasises how social companies must traverse institutional norms, legislation, and cultural expectations </w:t>
      </w:r>
      <w:r w:rsidRPr="00367B7F">
        <w:rPr>
          <w:rFonts w:ascii="Arial" w:hAnsi="Arial" w:cs="Arial"/>
        </w:rPr>
        <w:t>to</w:t>
      </w:r>
      <w:r w:rsidRPr="00367B7F">
        <w:rPr>
          <w:rFonts w:ascii="Arial" w:hAnsi="Arial" w:cs="Arial"/>
        </w:rPr>
        <w:t xml:space="preserve"> survive. Adapting to institutional influences and aligning with cultural norms might help to manage dangers while increasing legitimacy.</w:t>
      </w:r>
    </w:p>
    <w:p w14:paraId="1B0D8471" w14:textId="77777777" w:rsidR="00367B7F" w:rsidRDefault="00367B7F" w:rsidP="00367B7F">
      <w:pPr>
        <w:spacing w:line="480" w:lineRule="auto"/>
        <w:jc w:val="both"/>
        <w:rPr>
          <w:rFonts w:ascii="Arial" w:hAnsi="Arial" w:cs="Arial"/>
        </w:rPr>
      </w:pPr>
    </w:p>
    <w:p w14:paraId="114ED035" w14:textId="77777777" w:rsidR="00367B7F" w:rsidRDefault="00367B7F" w:rsidP="00367B7F">
      <w:pPr>
        <w:spacing w:line="480" w:lineRule="auto"/>
        <w:jc w:val="both"/>
        <w:rPr>
          <w:rFonts w:ascii="Arial" w:hAnsi="Arial" w:cs="Arial"/>
        </w:rPr>
      </w:pPr>
    </w:p>
    <w:p w14:paraId="57AA3699" w14:textId="77777777" w:rsidR="00367B7F" w:rsidRDefault="00367B7F" w:rsidP="00367B7F">
      <w:pPr>
        <w:spacing w:line="480" w:lineRule="auto"/>
        <w:jc w:val="both"/>
        <w:rPr>
          <w:rFonts w:ascii="Arial Black" w:hAnsi="Arial Black" w:cs="Arial"/>
        </w:rPr>
      </w:pPr>
      <w:r w:rsidRPr="00367B7F">
        <w:rPr>
          <w:rFonts w:ascii="Arial Black" w:hAnsi="Arial Black" w:cs="Arial"/>
        </w:rPr>
        <w:lastRenderedPageBreak/>
        <w:t>Real-world case studies include</w:t>
      </w:r>
      <w:r>
        <w:rPr>
          <w:rFonts w:ascii="Arial Black" w:hAnsi="Arial Black" w:cs="Arial"/>
        </w:rPr>
        <w:t>:</w:t>
      </w:r>
    </w:p>
    <w:p w14:paraId="1CC4B156" w14:textId="37FD6BDE" w:rsidR="00367B7F" w:rsidRPr="00367B7F" w:rsidRDefault="00367B7F" w:rsidP="00367B7F">
      <w:pPr>
        <w:spacing w:line="480" w:lineRule="auto"/>
        <w:jc w:val="both"/>
        <w:rPr>
          <w:rFonts w:ascii="Arial Black" w:hAnsi="Arial Black" w:cs="Arial"/>
        </w:rPr>
      </w:pPr>
      <w:r w:rsidRPr="00367B7F">
        <w:rPr>
          <w:rFonts w:ascii="Arial Black" w:hAnsi="Arial Black" w:cs="Arial"/>
        </w:rPr>
        <w:t>Grameen Bank</w:t>
      </w:r>
    </w:p>
    <w:p w14:paraId="2AAA5816" w14:textId="77777777" w:rsidR="00367B7F" w:rsidRDefault="00367B7F" w:rsidP="00367B7F">
      <w:pPr>
        <w:spacing w:line="480" w:lineRule="auto"/>
        <w:jc w:val="both"/>
        <w:rPr>
          <w:rFonts w:ascii="Arial" w:hAnsi="Arial" w:cs="Arial"/>
        </w:rPr>
      </w:pPr>
      <w:r w:rsidRPr="00367B7F">
        <w:rPr>
          <w:rFonts w:ascii="Arial" w:hAnsi="Arial" w:cs="Arial"/>
        </w:rPr>
        <w:t>Grameen Bank, founded by Muhammad Yunus, is a social enterprise that addresses financial exclusion through microcredit. Its novel approach has enabled millions of impoverished people, particularly women, to start businesses and improve their livelihoods. Grameen Bank, on the other hand, faces challenges such as regulatory constraints in various countries and competition from emerging microfinance institutions, demonstrating both the opportunities and threats inherent in increasing social impact (Yunus, 2007).</w:t>
      </w:r>
    </w:p>
    <w:p w14:paraId="49AE3E58" w14:textId="77777777" w:rsidR="00367B7F" w:rsidRPr="00367B7F" w:rsidRDefault="00367B7F" w:rsidP="00367B7F">
      <w:pPr>
        <w:spacing w:line="480" w:lineRule="auto"/>
        <w:jc w:val="both"/>
        <w:rPr>
          <w:rFonts w:ascii="Arial Black" w:hAnsi="Arial Black" w:cs="Arial"/>
        </w:rPr>
      </w:pPr>
      <w:r w:rsidRPr="00367B7F">
        <w:rPr>
          <w:rFonts w:ascii="Arial Black" w:hAnsi="Arial Black" w:cs="Arial"/>
        </w:rPr>
        <w:t>Tesla Motors Inc.</w:t>
      </w:r>
    </w:p>
    <w:p w14:paraId="2158741A" w14:textId="77777777" w:rsidR="00367B7F" w:rsidRDefault="00367B7F" w:rsidP="00367B7F">
      <w:pPr>
        <w:spacing w:line="480" w:lineRule="auto"/>
        <w:jc w:val="both"/>
        <w:rPr>
          <w:rFonts w:ascii="Arial" w:hAnsi="Arial" w:cs="Arial"/>
        </w:rPr>
      </w:pPr>
      <w:r w:rsidRPr="00367B7F">
        <w:rPr>
          <w:rFonts w:ascii="Arial" w:hAnsi="Arial" w:cs="Arial"/>
        </w:rPr>
        <w:t>Tesla, while primarily known as a for-profit corporation, exemplifies social enterprise characteristics by focussing on sustainable energy solutions. Tesla's mission to accelerate the world's transition to sustainable energy is socially responsible, attracting environmentally conscious customers. Tesla's growth has been propelled by technological advancements and strategic partnerships, but the company is also dealing with market competition and economic volatility, reflecting the dual nature of opportunities and threats in social entrepreneurship.</w:t>
      </w:r>
    </w:p>
    <w:p w14:paraId="18F486D7" w14:textId="77E59EF9" w:rsidR="00367B7F" w:rsidRDefault="00367B7F" w:rsidP="00367B7F">
      <w:pPr>
        <w:spacing w:line="480" w:lineRule="auto"/>
        <w:jc w:val="both"/>
        <w:rPr>
          <w:rFonts w:ascii="Arial" w:hAnsi="Arial" w:cs="Arial"/>
        </w:rPr>
      </w:pPr>
      <w:r w:rsidRPr="00367B7F">
        <w:rPr>
          <w:rFonts w:ascii="Arial" w:hAnsi="Arial" w:cs="Arial"/>
        </w:rPr>
        <w:t>Strategic recommendations are</w:t>
      </w:r>
      <w:r>
        <w:rPr>
          <w:rFonts w:ascii="Arial" w:hAnsi="Arial" w:cs="Arial"/>
        </w:rPr>
        <w:t>:</w:t>
      </w:r>
    </w:p>
    <w:p w14:paraId="2E42FA6D" w14:textId="77777777" w:rsidR="00367B7F" w:rsidRDefault="00367B7F" w:rsidP="00367B7F">
      <w:pPr>
        <w:spacing w:line="480" w:lineRule="auto"/>
        <w:jc w:val="both"/>
        <w:rPr>
          <w:rFonts w:ascii="Arial" w:hAnsi="Arial" w:cs="Arial"/>
        </w:rPr>
      </w:pPr>
      <w:r w:rsidRPr="00367B7F">
        <w:rPr>
          <w:rFonts w:ascii="Arial" w:hAnsi="Arial" w:cs="Arial"/>
        </w:rPr>
        <w:t>To navigate the complex landscape, social enterprises should employ strategic practices that capitalise on their strengths and opportunities while mitigating challenges.</w:t>
      </w:r>
    </w:p>
    <w:p w14:paraId="13F9C173" w14:textId="77777777" w:rsidR="00367B7F" w:rsidRDefault="00367B7F" w:rsidP="00367B7F">
      <w:pPr>
        <w:spacing w:line="480" w:lineRule="auto"/>
        <w:jc w:val="both"/>
        <w:rPr>
          <w:rFonts w:ascii="Arial" w:hAnsi="Arial" w:cs="Arial"/>
        </w:rPr>
      </w:pPr>
    </w:p>
    <w:p w14:paraId="6726E368" w14:textId="77777777" w:rsidR="00367B7F" w:rsidRPr="00E44979" w:rsidRDefault="00367B7F" w:rsidP="00367B7F">
      <w:pPr>
        <w:pStyle w:val="ListParagraph"/>
        <w:numPr>
          <w:ilvl w:val="0"/>
          <w:numId w:val="3"/>
        </w:numPr>
        <w:spacing w:line="480" w:lineRule="auto"/>
        <w:jc w:val="both"/>
        <w:rPr>
          <w:rFonts w:ascii="Arial Black" w:hAnsi="Arial Black" w:cs="Arial"/>
        </w:rPr>
      </w:pPr>
      <w:r w:rsidRPr="00E44979">
        <w:rPr>
          <w:rFonts w:ascii="Arial Black" w:hAnsi="Arial Black" w:cs="Arial"/>
        </w:rPr>
        <w:lastRenderedPageBreak/>
        <w:t>Expand funding sources.</w:t>
      </w:r>
    </w:p>
    <w:p w14:paraId="0D341ACF" w14:textId="03D6BF80" w:rsidR="00367B7F" w:rsidRDefault="00367B7F" w:rsidP="00367B7F">
      <w:pPr>
        <w:spacing w:line="480" w:lineRule="auto"/>
        <w:jc w:val="both"/>
        <w:rPr>
          <w:rFonts w:ascii="Arial" w:hAnsi="Arial" w:cs="Arial"/>
        </w:rPr>
      </w:pPr>
      <w:r w:rsidRPr="00367B7F">
        <w:rPr>
          <w:rFonts w:ascii="Arial" w:hAnsi="Arial" w:cs="Arial"/>
        </w:rPr>
        <w:t xml:space="preserve">Relying on a single source of funding can exacerbate vulnerabilities during economic downturns. To increase financial resilience, social enterprises should </w:t>
      </w:r>
      <w:r w:rsidR="00E44979" w:rsidRPr="00367B7F">
        <w:rPr>
          <w:rFonts w:ascii="Arial" w:hAnsi="Arial" w:cs="Arial"/>
        </w:rPr>
        <w:t>investigate</w:t>
      </w:r>
      <w:r w:rsidRPr="00367B7F">
        <w:rPr>
          <w:rFonts w:ascii="Arial" w:hAnsi="Arial" w:cs="Arial"/>
        </w:rPr>
        <w:t xml:space="preserve"> a variety of funding options, such as grants, impact investments, crowdfunding, and revenue-generating activities.</w:t>
      </w:r>
    </w:p>
    <w:p w14:paraId="78D8C226" w14:textId="77777777" w:rsidR="00E44979" w:rsidRPr="00E44979" w:rsidRDefault="00367B7F" w:rsidP="00367B7F">
      <w:pPr>
        <w:pStyle w:val="ListParagraph"/>
        <w:numPr>
          <w:ilvl w:val="0"/>
          <w:numId w:val="3"/>
        </w:numPr>
        <w:spacing w:line="480" w:lineRule="auto"/>
        <w:jc w:val="both"/>
        <w:rPr>
          <w:rFonts w:ascii="Arial Black" w:hAnsi="Arial Black" w:cs="Arial"/>
        </w:rPr>
      </w:pPr>
      <w:r w:rsidRPr="00E44979">
        <w:rPr>
          <w:rFonts w:ascii="Arial Black" w:hAnsi="Arial Black" w:cs="Arial"/>
        </w:rPr>
        <w:t>Improving Impact Measurement</w:t>
      </w:r>
    </w:p>
    <w:p w14:paraId="79D86D3B" w14:textId="77777777" w:rsidR="00E44979" w:rsidRDefault="00367B7F" w:rsidP="00E44979">
      <w:pPr>
        <w:spacing w:line="480" w:lineRule="auto"/>
        <w:jc w:val="both"/>
        <w:rPr>
          <w:rFonts w:ascii="Arial" w:hAnsi="Arial" w:cs="Arial"/>
        </w:rPr>
      </w:pPr>
      <w:r w:rsidRPr="00E44979">
        <w:rPr>
          <w:rFonts w:ascii="Arial" w:hAnsi="Arial" w:cs="Arial"/>
        </w:rPr>
        <w:t xml:space="preserve">Creating strong impact measurement frameworks can increase transparency and stakeholder trust. </w:t>
      </w:r>
      <w:r w:rsidR="00E44979" w:rsidRPr="00E44979">
        <w:rPr>
          <w:rFonts w:ascii="Arial" w:hAnsi="Arial" w:cs="Arial"/>
        </w:rPr>
        <w:t>To</w:t>
      </w:r>
      <w:r w:rsidRPr="00E44979">
        <w:rPr>
          <w:rFonts w:ascii="Arial" w:hAnsi="Arial" w:cs="Arial"/>
        </w:rPr>
        <w:t xml:space="preserve"> effectively track and report social outcomes, social enterprises should use standardised metrics and technology.</w:t>
      </w:r>
    </w:p>
    <w:p w14:paraId="68A4C2EA" w14:textId="77777777" w:rsidR="00E44979" w:rsidRPr="00E44979" w:rsidRDefault="00367B7F" w:rsidP="00E44979">
      <w:pPr>
        <w:pStyle w:val="ListParagraph"/>
        <w:numPr>
          <w:ilvl w:val="0"/>
          <w:numId w:val="3"/>
        </w:numPr>
        <w:spacing w:line="480" w:lineRule="auto"/>
        <w:jc w:val="both"/>
        <w:rPr>
          <w:rFonts w:ascii="Arial Black" w:hAnsi="Arial Black" w:cs="Arial"/>
        </w:rPr>
      </w:pPr>
      <w:r w:rsidRPr="00E44979">
        <w:rPr>
          <w:rFonts w:ascii="Arial Black" w:hAnsi="Arial Black" w:cs="Arial"/>
        </w:rPr>
        <w:t>Encourage collaboration</w:t>
      </w:r>
    </w:p>
    <w:p w14:paraId="1298AD85" w14:textId="77777777" w:rsidR="00E44979" w:rsidRDefault="00367B7F" w:rsidP="00E44979">
      <w:pPr>
        <w:spacing w:line="480" w:lineRule="auto"/>
        <w:jc w:val="both"/>
        <w:rPr>
          <w:rFonts w:ascii="Arial" w:hAnsi="Arial" w:cs="Arial"/>
        </w:rPr>
      </w:pPr>
      <w:r w:rsidRPr="00E44979">
        <w:rPr>
          <w:rFonts w:ascii="Arial" w:hAnsi="Arial" w:cs="Arial"/>
        </w:rPr>
        <w:t>Strategic alliances with governments, corporations, and non-profits can lead to increased access to resources, expertise, and markets. Collaborative partnerships can also spur innovation and increase social impact by pooling resources and goals.</w:t>
      </w:r>
    </w:p>
    <w:p w14:paraId="4E943F39" w14:textId="7C8092D8" w:rsidR="00E44979" w:rsidRPr="00E44979" w:rsidRDefault="00367B7F" w:rsidP="00E44979">
      <w:pPr>
        <w:pStyle w:val="ListParagraph"/>
        <w:numPr>
          <w:ilvl w:val="0"/>
          <w:numId w:val="3"/>
        </w:numPr>
        <w:spacing w:line="480" w:lineRule="auto"/>
        <w:jc w:val="both"/>
        <w:rPr>
          <w:rFonts w:ascii="Arial Black" w:hAnsi="Arial Black" w:cs="Arial"/>
        </w:rPr>
      </w:pPr>
      <w:r w:rsidRPr="00E44979">
        <w:rPr>
          <w:rFonts w:ascii="Arial Black" w:hAnsi="Arial Black" w:cs="Arial"/>
        </w:rPr>
        <w:t>Welcome Technological Innovations</w:t>
      </w:r>
    </w:p>
    <w:p w14:paraId="684E8FEA" w14:textId="77777777" w:rsidR="00E44979" w:rsidRDefault="00367B7F" w:rsidP="00E44979">
      <w:pPr>
        <w:spacing w:line="480" w:lineRule="auto"/>
        <w:jc w:val="both"/>
        <w:rPr>
          <w:rFonts w:ascii="Arial" w:hAnsi="Arial" w:cs="Arial"/>
        </w:rPr>
      </w:pPr>
      <w:r w:rsidRPr="00E44979">
        <w:rPr>
          <w:rFonts w:ascii="Arial" w:hAnsi="Arial" w:cs="Arial"/>
        </w:rPr>
        <w:t>Investing in technology can help to simplify operations, improve service delivery, and broaden reach. To maximise their impact and efficiency, social enterprises should stay current with technological trends and incorporate relevant tools.</w:t>
      </w:r>
    </w:p>
    <w:p w14:paraId="67BD425B" w14:textId="77777777" w:rsidR="00E44979" w:rsidRPr="00E44979" w:rsidRDefault="00367B7F" w:rsidP="00E44979">
      <w:pPr>
        <w:pStyle w:val="ListParagraph"/>
        <w:numPr>
          <w:ilvl w:val="0"/>
          <w:numId w:val="3"/>
        </w:numPr>
        <w:spacing w:line="480" w:lineRule="auto"/>
        <w:jc w:val="both"/>
        <w:rPr>
          <w:rFonts w:ascii="Arial Black" w:hAnsi="Arial Black" w:cs="Arial"/>
        </w:rPr>
      </w:pPr>
      <w:r w:rsidRPr="00E44979">
        <w:rPr>
          <w:rFonts w:ascii="Arial Black" w:hAnsi="Arial Black" w:cs="Arial"/>
        </w:rPr>
        <w:t>Promote Supportive Policies</w:t>
      </w:r>
    </w:p>
    <w:p w14:paraId="695A6F82" w14:textId="77777777" w:rsidR="00E44979" w:rsidRDefault="00367B7F" w:rsidP="00E44979">
      <w:pPr>
        <w:spacing w:line="480" w:lineRule="auto"/>
        <w:jc w:val="both"/>
        <w:rPr>
          <w:rFonts w:ascii="Arial" w:hAnsi="Arial" w:cs="Arial"/>
        </w:rPr>
      </w:pPr>
      <w:r w:rsidRPr="00E44979">
        <w:rPr>
          <w:rFonts w:ascii="Arial" w:hAnsi="Arial" w:cs="Arial"/>
        </w:rPr>
        <w:t>Policy advocacy can help influence regulatory environments and secure favourable conditions for social enterprises. Social enterprises can shape frameworks to support their growth and sustainability by participating in policy dialogues and demonstrating their value</w:t>
      </w:r>
      <w:r w:rsidR="00E44979">
        <w:rPr>
          <w:rFonts w:ascii="Arial" w:hAnsi="Arial" w:cs="Arial"/>
        </w:rPr>
        <w:t>.</w:t>
      </w:r>
    </w:p>
    <w:p w14:paraId="772DEFC4" w14:textId="4CE431E1" w:rsidR="00367B7F" w:rsidRDefault="00367B7F" w:rsidP="00E44979">
      <w:pPr>
        <w:spacing w:line="480" w:lineRule="auto"/>
        <w:jc w:val="both"/>
        <w:rPr>
          <w:rFonts w:ascii="Arial" w:hAnsi="Arial" w:cs="Arial"/>
        </w:rPr>
      </w:pPr>
      <w:r w:rsidRPr="00E44979">
        <w:rPr>
          <w:rFonts w:ascii="Arial Black" w:hAnsi="Arial Black" w:cs="Arial"/>
        </w:rPr>
        <w:lastRenderedPageBreak/>
        <w:t>Conclusion</w:t>
      </w:r>
      <w:r w:rsidRPr="00E44979">
        <w:rPr>
          <w:rFonts w:ascii="Arial Black" w:hAnsi="Arial Black" w:cs="Arial"/>
        </w:rPr>
        <w:br/>
      </w:r>
      <w:r w:rsidRPr="00E44979">
        <w:rPr>
          <w:rFonts w:ascii="Arial" w:hAnsi="Arial" w:cs="Arial"/>
        </w:rPr>
        <w:t>Social enterprises play a transformative role in addressing societal issues through innovative and sustainable business models. The SWOT analysis reveals that, while ethical consumption, technological advancements, collaborative ecosystems, and policy support present significant opportunities, they also face formidable challenges such as market competition, economic instability, regulatory complexities, and measuring impact difficulties. Social enterprises can increase their effectiveness and sustain their mission-driven objectives by capitalising on their inherent strengths and strategically navigating these opportunities and threats. Integrating academic theories and real-world examples highlights the multifaceted nature of social entrepreneurship, as well as the critical balance of social and economic imperatives required for long-term success</w:t>
      </w:r>
    </w:p>
    <w:p w14:paraId="7984260C" w14:textId="77777777" w:rsidR="00E44979" w:rsidRDefault="00E44979" w:rsidP="00E44979">
      <w:pPr>
        <w:spacing w:line="480" w:lineRule="auto"/>
        <w:jc w:val="both"/>
        <w:rPr>
          <w:rFonts w:ascii="Arial" w:hAnsi="Arial" w:cs="Arial"/>
        </w:rPr>
      </w:pPr>
    </w:p>
    <w:p w14:paraId="7183DB8C" w14:textId="77777777" w:rsidR="00E44979" w:rsidRDefault="00E44979" w:rsidP="00E44979">
      <w:pPr>
        <w:spacing w:line="480" w:lineRule="auto"/>
        <w:jc w:val="both"/>
        <w:rPr>
          <w:rFonts w:ascii="Arial" w:hAnsi="Arial" w:cs="Arial"/>
        </w:rPr>
      </w:pPr>
    </w:p>
    <w:p w14:paraId="5D2A98CD" w14:textId="77777777" w:rsidR="00E44979" w:rsidRDefault="00E44979" w:rsidP="00E44979">
      <w:pPr>
        <w:spacing w:line="480" w:lineRule="auto"/>
        <w:jc w:val="both"/>
        <w:rPr>
          <w:rFonts w:ascii="Arial" w:hAnsi="Arial" w:cs="Arial"/>
        </w:rPr>
      </w:pPr>
    </w:p>
    <w:p w14:paraId="73A3C0D3" w14:textId="77777777" w:rsidR="00E44979" w:rsidRDefault="00E44979" w:rsidP="00E44979">
      <w:pPr>
        <w:spacing w:line="480" w:lineRule="auto"/>
        <w:jc w:val="both"/>
        <w:rPr>
          <w:rFonts w:ascii="Arial" w:hAnsi="Arial" w:cs="Arial"/>
        </w:rPr>
      </w:pPr>
    </w:p>
    <w:p w14:paraId="08DE381B" w14:textId="77777777" w:rsidR="00E44979" w:rsidRDefault="00E44979" w:rsidP="00E44979">
      <w:pPr>
        <w:spacing w:line="480" w:lineRule="auto"/>
        <w:jc w:val="both"/>
        <w:rPr>
          <w:rFonts w:ascii="Arial" w:hAnsi="Arial" w:cs="Arial"/>
        </w:rPr>
      </w:pPr>
    </w:p>
    <w:p w14:paraId="3C53066E" w14:textId="77777777" w:rsidR="00E44979" w:rsidRDefault="00E44979" w:rsidP="00E44979">
      <w:pPr>
        <w:spacing w:line="480" w:lineRule="auto"/>
        <w:jc w:val="both"/>
        <w:rPr>
          <w:rFonts w:ascii="Arial" w:hAnsi="Arial" w:cs="Arial"/>
        </w:rPr>
      </w:pPr>
    </w:p>
    <w:p w14:paraId="7287DBB6" w14:textId="77777777" w:rsidR="00E44979" w:rsidRDefault="00E44979" w:rsidP="00E44979">
      <w:pPr>
        <w:spacing w:line="480" w:lineRule="auto"/>
        <w:jc w:val="both"/>
        <w:rPr>
          <w:rFonts w:ascii="Arial" w:hAnsi="Arial" w:cs="Arial"/>
        </w:rPr>
      </w:pPr>
    </w:p>
    <w:p w14:paraId="0E761F33" w14:textId="77777777" w:rsidR="00E44979" w:rsidRDefault="00E44979" w:rsidP="00E44979">
      <w:pPr>
        <w:spacing w:line="480" w:lineRule="auto"/>
        <w:jc w:val="both"/>
        <w:rPr>
          <w:rFonts w:ascii="Arial" w:hAnsi="Arial" w:cs="Arial"/>
        </w:rPr>
      </w:pPr>
    </w:p>
    <w:p w14:paraId="26E5E9C1" w14:textId="77777777" w:rsidR="00E44979" w:rsidRDefault="00E44979" w:rsidP="00E44979">
      <w:pPr>
        <w:spacing w:line="480" w:lineRule="auto"/>
        <w:jc w:val="both"/>
        <w:rPr>
          <w:rFonts w:ascii="Arial" w:hAnsi="Arial" w:cs="Arial"/>
        </w:rPr>
      </w:pPr>
    </w:p>
    <w:p w14:paraId="646C041A" w14:textId="77777777" w:rsidR="00E44979" w:rsidRDefault="00E44979" w:rsidP="00E44979">
      <w:pPr>
        <w:spacing w:line="480" w:lineRule="auto"/>
        <w:jc w:val="both"/>
        <w:rPr>
          <w:rFonts w:ascii="Arial" w:hAnsi="Arial" w:cs="Arial"/>
        </w:rPr>
      </w:pPr>
    </w:p>
    <w:p w14:paraId="01F0D62F" w14:textId="3610780C" w:rsidR="00E44979" w:rsidRPr="00434D85" w:rsidRDefault="00E44979" w:rsidP="00E44979">
      <w:pPr>
        <w:spacing w:line="480" w:lineRule="auto"/>
        <w:jc w:val="both"/>
        <w:rPr>
          <w:rFonts w:ascii="Arial Black" w:hAnsi="Arial Black" w:cs="Arial"/>
        </w:rPr>
      </w:pPr>
      <w:r w:rsidRPr="00434D85">
        <w:rPr>
          <w:rFonts w:ascii="Arial Black" w:hAnsi="Arial Black" w:cs="Arial"/>
        </w:rPr>
        <w:lastRenderedPageBreak/>
        <w:t xml:space="preserve">References </w:t>
      </w:r>
    </w:p>
    <w:p w14:paraId="217ED84E" w14:textId="77777777" w:rsidR="00E96517" w:rsidRPr="00E96517" w:rsidRDefault="00E96517" w:rsidP="00E96517">
      <w:pPr>
        <w:spacing w:line="480" w:lineRule="auto"/>
        <w:jc w:val="both"/>
        <w:rPr>
          <w:rFonts w:ascii="Arial" w:hAnsi="Arial" w:cs="Arial"/>
        </w:rPr>
      </w:pPr>
      <w:r w:rsidRPr="00E96517">
        <w:rPr>
          <w:rFonts w:ascii="Arial" w:hAnsi="Arial" w:cs="Arial"/>
        </w:rPr>
        <w:t xml:space="preserve">Barney, J. (1991). Firm resources and sustained competitive advantage. </w:t>
      </w:r>
      <w:r w:rsidRPr="00E96517">
        <w:rPr>
          <w:rFonts w:ascii="Arial" w:hAnsi="Arial" w:cs="Arial"/>
          <w:i/>
          <w:iCs/>
        </w:rPr>
        <w:t>Journal of Management, 17</w:t>
      </w:r>
      <w:r w:rsidRPr="00E96517">
        <w:rPr>
          <w:rFonts w:ascii="Arial" w:hAnsi="Arial" w:cs="Arial"/>
        </w:rPr>
        <w:t>(1), 99-120.</w:t>
      </w:r>
    </w:p>
    <w:p w14:paraId="1A3CF3F1" w14:textId="77777777" w:rsidR="00E96517" w:rsidRDefault="00E96517" w:rsidP="00E96517">
      <w:pPr>
        <w:spacing w:line="480" w:lineRule="auto"/>
        <w:jc w:val="both"/>
        <w:rPr>
          <w:rFonts w:ascii="Arial" w:hAnsi="Arial" w:cs="Arial"/>
        </w:rPr>
      </w:pPr>
      <w:r w:rsidRPr="00E96517">
        <w:rPr>
          <w:rFonts w:ascii="Arial" w:hAnsi="Arial" w:cs="Arial"/>
        </w:rPr>
        <w:t xml:space="preserve">DiMaggio, P. J., &amp; Powell, W. W. (1983). The iron cage revisited: Institutional isomorphism and collective rationality in organizational fields. </w:t>
      </w:r>
      <w:r w:rsidRPr="00E96517">
        <w:rPr>
          <w:rFonts w:ascii="Arial" w:hAnsi="Arial" w:cs="Arial"/>
          <w:i/>
          <w:iCs/>
        </w:rPr>
        <w:t>American Sociological Review, 48</w:t>
      </w:r>
      <w:r w:rsidRPr="00E96517">
        <w:rPr>
          <w:rFonts w:ascii="Arial" w:hAnsi="Arial" w:cs="Arial"/>
        </w:rPr>
        <w:t>(2), 147-160.</w:t>
      </w:r>
    </w:p>
    <w:p w14:paraId="0BFA3DEE" w14:textId="77777777" w:rsidR="00434D85" w:rsidRPr="00434D85" w:rsidRDefault="00434D85" w:rsidP="00434D85">
      <w:pPr>
        <w:spacing w:line="480" w:lineRule="auto"/>
        <w:jc w:val="both"/>
        <w:rPr>
          <w:rFonts w:ascii="Arial" w:hAnsi="Arial" w:cs="Arial"/>
        </w:rPr>
      </w:pPr>
      <w:r w:rsidRPr="00434D85">
        <w:rPr>
          <w:rFonts w:ascii="Arial" w:hAnsi="Arial" w:cs="Arial"/>
        </w:rPr>
        <w:t xml:space="preserve">Dees, J. G. (1998). </w:t>
      </w:r>
      <w:r w:rsidRPr="00434D85">
        <w:rPr>
          <w:rFonts w:ascii="Arial" w:hAnsi="Arial" w:cs="Arial"/>
          <w:i/>
          <w:iCs/>
        </w:rPr>
        <w:t>The meaning of social entrepreneurship</w:t>
      </w:r>
      <w:r w:rsidRPr="00434D85">
        <w:rPr>
          <w:rFonts w:ascii="Arial" w:hAnsi="Arial" w:cs="Arial"/>
        </w:rPr>
        <w:t xml:space="preserve"> (Draft report). Kauffman </w:t>
      </w:r>
      <w:proofErr w:type="spellStart"/>
      <w:r w:rsidRPr="00434D85">
        <w:rPr>
          <w:rFonts w:ascii="Arial" w:hAnsi="Arial" w:cs="Arial"/>
        </w:rPr>
        <w:t>Center</w:t>
      </w:r>
      <w:proofErr w:type="spellEnd"/>
      <w:r w:rsidRPr="00434D85">
        <w:rPr>
          <w:rFonts w:ascii="Arial" w:hAnsi="Arial" w:cs="Arial"/>
        </w:rPr>
        <w:t xml:space="preserve"> for Entrepreneurial Leadership, Stanford University.</w:t>
      </w:r>
    </w:p>
    <w:p w14:paraId="56454211" w14:textId="77777777" w:rsidR="00434D85" w:rsidRPr="00434D85" w:rsidRDefault="00434D85" w:rsidP="00434D85">
      <w:pPr>
        <w:spacing w:line="480" w:lineRule="auto"/>
        <w:jc w:val="both"/>
        <w:rPr>
          <w:rFonts w:ascii="Arial" w:hAnsi="Arial" w:cs="Arial"/>
        </w:rPr>
      </w:pPr>
      <w:proofErr w:type="spellStart"/>
      <w:r w:rsidRPr="00434D85">
        <w:rPr>
          <w:rFonts w:ascii="Arial" w:hAnsi="Arial" w:cs="Arial"/>
        </w:rPr>
        <w:t>Defourny</w:t>
      </w:r>
      <w:proofErr w:type="spellEnd"/>
      <w:r w:rsidRPr="00434D85">
        <w:rPr>
          <w:rFonts w:ascii="Arial" w:hAnsi="Arial" w:cs="Arial"/>
        </w:rPr>
        <w:t>, J. (2001</w:t>
      </w:r>
      <w:r w:rsidRPr="00434D85">
        <w:rPr>
          <w:rFonts w:ascii="Arial" w:hAnsi="Arial" w:cs="Arial"/>
          <w:i/>
          <w:iCs/>
        </w:rPr>
        <w:t>). Introduction: From third sector to social enterprise</w:t>
      </w:r>
      <w:r w:rsidRPr="00434D85">
        <w:rPr>
          <w:rFonts w:ascii="Arial" w:hAnsi="Arial" w:cs="Arial"/>
        </w:rPr>
        <w:t xml:space="preserve">. In C. </w:t>
      </w:r>
      <w:proofErr w:type="spellStart"/>
      <w:r w:rsidRPr="00434D85">
        <w:rPr>
          <w:rFonts w:ascii="Arial" w:hAnsi="Arial" w:cs="Arial"/>
        </w:rPr>
        <w:t>Borzaga</w:t>
      </w:r>
      <w:proofErr w:type="spellEnd"/>
      <w:r w:rsidRPr="00434D85">
        <w:rPr>
          <w:rFonts w:ascii="Arial" w:hAnsi="Arial" w:cs="Arial"/>
        </w:rPr>
        <w:t xml:space="preserve"> &amp; J. </w:t>
      </w:r>
      <w:proofErr w:type="spellStart"/>
      <w:r w:rsidRPr="00434D85">
        <w:rPr>
          <w:rFonts w:ascii="Arial" w:hAnsi="Arial" w:cs="Arial"/>
        </w:rPr>
        <w:t>Defourny</w:t>
      </w:r>
      <w:proofErr w:type="spellEnd"/>
      <w:r w:rsidRPr="00434D85">
        <w:rPr>
          <w:rFonts w:ascii="Arial" w:hAnsi="Arial" w:cs="Arial"/>
        </w:rPr>
        <w:t xml:space="preserve"> (Eds.), The emergence of social enterprise (pp. 13–40). Routledge.</w:t>
      </w:r>
    </w:p>
    <w:p w14:paraId="68D29986" w14:textId="5A389675" w:rsidR="00434D85" w:rsidRDefault="00434D85" w:rsidP="00E96517">
      <w:pPr>
        <w:spacing w:line="480" w:lineRule="auto"/>
        <w:jc w:val="both"/>
        <w:rPr>
          <w:rFonts w:ascii="Arial" w:hAnsi="Arial" w:cs="Arial"/>
        </w:rPr>
      </w:pPr>
      <w:proofErr w:type="spellStart"/>
      <w:r w:rsidRPr="00434D85">
        <w:rPr>
          <w:rFonts w:ascii="Arial" w:hAnsi="Arial" w:cs="Arial"/>
        </w:rPr>
        <w:t>Defourny</w:t>
      </w:r>
      <w:proofErr w:type="spellEnd"/>
      <w:r w:rsidRPr="00434D85">
        <w:rPr>
          <w:rFonts w:ascii="Arial" w:hAnsi="Arial" w:cs="Arial"/>
        </w:rPr>
        <w:t xml:space="preserve">, J., &amp; Nyssens, M. (2010). Conceptions of social enterprises and social entrepreneurship in Europe and in the United States: Convergences and divergences. </w:t>
      </w:r>
      <w:r w:rsidRPr="00434D85">
        <w:rPr>
          <w:rFonts w:ascii="Arial" w:hAnsi="Arial" w:cs="Arial"/>
          <w:i/>
          <w:iCs/>
        </w:rPr>
        <w:t>Journal of Social Entrepreneurship, 1(</w:t>
      </w:r>
      <w:r w:rsidRPr="00434D85">
        <w:rPr>
          <w:rFonts w:ascii="Arial" w:hAnsi="Arial" w:cs="Arial"/>
        </w:rPr>
        <w:t xml:space="preserve">1), 32–53. </w:t>
      </w:r>
      <w:hyperlink r:id="rId9" w:history="1">
        <w:r w:rsidRPr="008006A0">
          <w:rPr>
            <w:rStyle w:val="Hyperlink"/>
            <w:rFonts w:ascii="Arial" w:hAnsi="Arial" w:cs="Arial"/>
          </w:rPr>
          <w:t>https://doi.org/10.1080/19420676.2010.501541</w:t>
        </w:r>
      </w:hyperlink>
    </w:p>
    <w:p w14:paraId="2F672298" w14:textId="43C14721" w:rsidR="00E96517" w:rsidRPr="00E96517" w:rsidRDefault="00E96517" w:rsidP="00E96517">
      <w:pPr>
        <w:spacing w:line="480" w:lineRule="auto"/>
        <w:jc w:val="both"/>
        <w:rPr>
          <w:rFonts w:ascii="Arial" w:hAnsi="Arial" w:cs="Arial"/>
        </w:rPr>
      </w:pPr>
      <w:r w:rsidRPr="00E96517">
        <w:rPr>
          <w:rFonts w:ascii="Arial" w:hAnsi="Arial" w:cs="Arial"/>
        </w:rPr>
        <w:t xml:space="preserve">Ebrahim, A., &amp; Rangan, V. K. (2014). What impact? A framework for measuring the scale and scope of social performance. </w:t>
      </w:r>
      <w:r w:rsidRPr="00E96517">
        <w:rPr>
          <w:rFonts w:ascii="Arial" w:hAnsi="Arial" w:cs="Arial"/>
          <w:i/>
          <w:iCs/>
        </w:rPr>
        <w:t>California Management Review, 56</w:t>
      </w:r>
      <w:r w:rsidRPr="00E96517">
        <w:rPr>
          <w:rFonts w:ascii="Arial" w:hAnsi="Arial" w:cs="Arial"/>
        </w:rPr>
        <w:t>(3), 118-141.</w:t>
      </w:r>
    </w:p>
    <w:p w14:paraId="22A6E3FB" w14:textId="77777777" w:rsidR="00E96517" w:rsidRPr="00E96517" w:rsidRDefault="00E96517" w:rsidP="00E96517">
      <w:pPr>
        <w:spacing w:line="480" w:lineRule="auto"/>
        <w:jc w:val="both"/>
        <w:rPr>
          <w:rFonts w:ascii="Arial" w:hAnsi="Arial" w:cs="Arial"/>
        </w:rPr>
      </w:pPr>
      <w:r w:rsidRPr="00E96517">
        <w:rPr>
          <w:rFonts w:ascii="Arial" w:hAnsi="Arial" w:cs="Arial"/>
        </w:rPr>
        <w:t xml:space="preserve">Freeman, R. E. (1984). </w:t>
      </w:r>
      <w:r w:rsidRPr="00E96517">
        <w:rPr>
          <w:rFonts w:ascii="Arial" w:hAnsi="Arial" w:cs="Arial"/>
          <w:i/>
          <w:iCs/>
        </w:rPr>
        <w:t xml:space="preserve">Strategic Management: A Stakeholder Approach. </w:t>
      </w:r>
      <w:r w:rsidRPr="00E96517">
        <w:rPr>
          <w:rFonts w:ascii="Arial" w:hAnsi="Arial" w:cs="Arial"/>
        </w:rPr>
        <w:t>Cambridge University Press.</w:t>
      </w:r>
    </w:p>
    <w:p w14:paraId="7784E7F3" w14:textId="77777777" w:rsidR="00E96517" w:rsidRPr="00E96517" w:rsidRDefault="00E96517" w:rsidP="00E96517">
      <w:pPr>
        <w:spacing w:line="480" w:lineRule="auto"/>
        <w:jc w:val="both"/>
        <w:rPr>
          <w:rFonts w:ascii="Arial" w:hAnsi="Arial" w:cs="Arial"/>
        </w:rPr>
      </w:pPr>
      <w:proofErr w:type="spellStart"/>
      <w:r w:rsidRPr="00E96517">
        <w:rPr>
          <w:rFonts w:ascii="Arial" w:hAnsi="Arial" w:cs="Arial"/>
        </w:rPr>
        <w:t>GlobalWebIndex</w:t>
      </w:r>
      <w:proofErr w:type="spellEnd"/>
      <w:r w:rsidRPr="00E96517">
        <w:rPr>
          <w:rFonts w:ascii="Arial" w:hAnsi="Arial" w:cs="Arial"/>
        </w:rPr>
        <w:t xml:space="preserve">. (2023). </w:t>
      </w:r>
      <w:r w:rsidRPr="00E96517">
        <w:rPr>
          <w:rFonts w:ascii="Arial" w:hAnsi="Arial" w:cs="Arial"/>
          <w:i/>
          <w:iCs/>
        </w:rPr>
        <w:t>Consumer Attitudes Toward Ethical Consumption</w:t>
      </w:r>
      <w:r w:rsidRPr="00E96517">
        <w:rPr>
          <w:rFonts w:ascii="Arial" w:hAnsi="Arial" w:cs="Arial"/>
        </w:rPr>
        <w:t>.</w:t>
      </w:r>
    </w:p>
    <w:p w14:paraId="718A1129" w14:textId="77777777" w:rsidR="00E96517" w:rsidRPr="00E96517" w:rsidRDefault="00E96517" w:rsidP="00E96517">
      <w:pPr>
        <w:spacing w:line="480" w:lineRule="auto"/>
        <w:jc w:val="both"/>
        <w:rPr>
          <w:rFonts w:ascii="Arial" w:hAnsi="Arial" w:cs="Arial"/>
        </w:rPr>
      </w:pPr>
      <w:r w:rsidRPr="00E96517">
        <w:rPr>
          <w:rFonts w:ascii="Arial" w:hAnsi="Arial" w:cs="Arial"/>
        </w:rPr>
        <w:t xml:space="preserve">Nicholls, A. (2006). </w:t>
      </w:r>
      <w:r w:rsidRPr="00E96517">
        <w:rPr>
          <w:rFonts w:ascii="Arial" w:hAnsi="Arial" w:cs="Arial"/>
          <w:i/>
          <w:iCs/>
        </w:rPr>
        <w:t>Social Entrepreneurship: New Models of Sustainable Social Change.</w:t>
      </w:r>
      <w:r w:rsidRPr="00E96517">
        <w:rPr>
          <w:rFonts w:ascii="Arial" w:hAnsi="Arial" w:cs="Arial"/>
        </w:rPr>
        <w:t xml:space="preserve"> Oxford University Press.</w:t>
      </w:r>
    </w:p>
    <w:p w14:paraId="58C15099" w14:textId="77777777" w:rsidR="00E96517" w:rsidRPr="00E96517" w:rsidRDefault="00E96517" w:rsidP="00E96517">
      <w:pPr>
        <w:spacing w:line="480" w:lineRule="auto"/>
        <w:jc w:val="both"/>
        <w:rPr>
          <w:rFonts w:ascii="Arial" w:hAnsi="Arial" w:cs="Arial"/>
        </w:rPr>
      </w:pPr>
      <w:r w:rsidRPr="00E96517">
        <w:rPr>
          <w:rFonts w:ascii="Arial" w:hAnsi="Arial" w:cs="Arial"/>
        </w:rPr>
        <w:lastRenderedPageBreak/>
        <w:t xml:space="preserve">Senge, P. M. (1990). </w:t>
      </w:r>
      <w:r w:rsidRPr="00E96517">
        <w:rPr>
          <w:rFonts w:ascii="Arial" w:hAnsi="Arial" w:cs="Arial"/>
          <w:i/>
          <w:iCs/>
        </w:rPr>
        <w:t>The Fifth Discipline: The Art and Practice of the Learning Organization.</w:t>
      </w:r>
      <w:r w:rsidRPr="00E96517">
        <w:rPr>
          <w:rFonts w:ascii="Arial" w:hAnsi="Arial" w:cs="Arial"/>
        </w:rPr>
        <w:t xml:space="preserve"> Doubleday.</w:t>
      </w:r>
    </w:p>
    <w:p w14:paraId="5F64118F" w14:textId="77777777" w:rsidR="00E96517" w:rsidRPr="00E96517" w:rsidRDefault="00E96517" w:rsidP="00E96517">
      <w:pPr>
        <w:spacing w:line="480" w:lineRule="auto"/>
        <w:jc w:val="both"/>
        <w:rPr>
          <w:rFonts w:ascii="Arial" w:hAnsi="Arial" w:cs="Arial"/>
        </w:rPr>
      </w:pPr>
      <w:r w:rsidRPr="00E96517">
        <w:rPr>
          <w:rFonts w:ascii="Arial" w:hAnsi="Arial" w:cs="Arial"/>
        </w:rPr>
        <w:t>Yunus, M. (2007</w:t>
      </w:r>
      <w:r w:rsidRPr="00E96517">
        <w:rPr>
          <w:rFonts w:ascii="Arial" w:hAnsi="Arial" w:cs="Arial"/>
          <w:i/>
          <w:iCs/>
        </w:rPr>
        <w:t>). Creating a World Without Poverty: Social Business and the Future of Capitalism</w:t>
      </w:r>
      <w:r w:rsidRPr="00E96517">
        <w:rPr>
          <w:rFonts w:ascii="Arial" w:hAnsi="Arial" w:cs="Arial"/>
        </w:rPr>
        <w:t>. PublicAffairs.</w:t>
      </w:r>
    </w:p>
    <w:p w14:paraId="666E28FC" w14:textId="1D0283ED" w:rsidR="00E96517" w:rsidRDefault="00E96517" w:rsidP="00E96517">
      <w:pPr>
        <w:spacing w:line="480" w:lineRule="auto"/>
        <w:jc w:val="both"/>
        <w:rPr>
          <w:rFonts w:ascii="Arial" w:hAnsi="Arial" w:cs="Arial"/>
        </w:rPr>
      </w:pPr>
      <w:r w:rsidRPr="00E96517">
        <w:rPr>
          <w:rFonts w:ascii="Arial" w:hAnsi="Arial" w:cs="Arial"/>
        </w:rPr>
        <w:t xml:space="preserve">Zahra, S. A., </w:t>
      </w:r>
      <w:proofErr w:type="spellStart"/>
      <w:r w:rsidRPr="00E96517">
        <w:rPr>
          <w:rFonts w:ascii="Arial" w:hAnsi="Arial" w:cs="Arial"/>
        </w:rPr>
        <w:t>Gedajlovic</w:t>
      </w:r>
      <w:proofErr w:type="spellEnd"/>
      <w:r w:rsidRPr="00E96517">
        <w:rPr>
          <w:rFonts w:ascii="Arial" w:hAnsi="Arial" w:cs="Arial"/>
        </w:rPr>
        <w:t xml:space="preserve">, E., Neubaum, D. O., &amp; Shulman, J. M. (2009). A typology of social entrepreneurs: Motives, search processes and ethical challenges. </w:t>
      </w:r>
      <w:r w:rsidRPr="00E96517">
        <w:rPr>
          <w:rFonts w:ascii="Arial" w:hAnsi="Arial" w:cs="Arial"/>
          <w:i/>
          <w:iCs/>
        </w:rPr>
        <w:t>Journal of Business Venturing, 24</w:t>
      </w:r>
      <w:r w:rsidRPr="00E96517">
        <w:rPr>
          <w:rFonts w:ascii="Arial" w:hAnsi="Arial" w:cs="Arial"/>
        </w:rPr>
        <w:t>(5), 519-532.</w:t>
      </w:r>
    </w:p>
    <w:p w14:paraId="48680EFF" w14:textId="77777777" w:rsidR="00434D85" w:rsidRDefault="00434D85" w:rsidP="00E96517">
      <w:pPr>
        <w:spacing w:line="480" w:lineRule="auto"/>
        <w:jc w:val="both"/>
        <w:rPr>
          <w:rFonts w:ascii="Arial" w:hAnsi="Arial" w:cs="Arial"/>
        </w:rPr>
      </w:pPr>
      <w:hyperlink r:id="rId10" w:history="1">
        <w:r w:rsidRPr="008006A0">
          <w:rPr>
            <w:rStyle w:val="Hyperlink"/>
            <w:rFonts w:ascii="Arial" w:hAnsi="Arial" w:cs="Arial"/>
          </w:rPr>
          <w:t>https://www.ashoka.org/en-us/focus/social-entrepreneurship</w:t>
        </w:r>
      </w:hyperlink>
    </w:p>
    <w:p w14:paraId="6AF21BDA" w14:textId="332A0598" w:rsidR="00E96517" w:rsidRDefault="00434D85" w:rsidP="00E96517">
      <w:pPr>
        <w:spacing w:line="480" w:lineRule="auto"/>
        <w:jc w:val="both"/>
        <w:rPr>
          <w:rFonts w:ascii="Arial" w:hAnsi="Arial" w:cs="Arial"/>
        </w:rPr>
      </w:pPr>
      <w:hyperlink r:id="rId11" w:history="1">
        <w:r w:rsidRPr="008006A0">
          <w:rPr>
            <w:rStyle w:val="Hyperlink"/>
            <w:rFonts w:ascii="Arial" w:hAnsi="Arial" w:cs="Arial"/>
          </w:rPr>
          <w:t>https://www.weforum.org/publications/the-state-of-social-enterprise-a-review-of-global-data-2013-2023/</w:t>
        </w:r>
      </w:hyperlink>
    </w:p>
    <w:p w14:paraId="29B4F445" w14:textId="77777777" w:rsidR="00E96517" w:rsidRDefault="00E96517" w:rsidP="00E96517">
      <w:pPr>
        <w:spacing w:line="480" w:lineRule="auto"/>
        <w:jc w:val="both"/>
        <w:rPr>
          <w:rFonts w:ascii="Arial" w:hAnsi="Arial" w:cs="Arial"/>
        </w:rPr>
      </w:pPr>
    </w:p>
    <w:p w14:paraId="40A20FEA" w14:textId="77777777" w:rsidR="00E44979" w:rsidRPr="00E44979" w:rsidRDefault="00E44979" w:rsidP="00E44979">
      <w:pPr>
        <w:spacing w:line="480" w:lineRule="auto"/>
        <w:jc w:val="both"/>
        <w:rPr>
          <w:rFonts w:ascii="Arial" w:hAnsi="Arial" w:cs="Arial"/>
        </w:rPr>
      </w:pPr>
    </w:p>
    <w:p w14:paraId="188504C2" w14:textId="77777777" w:rsidR="00367B7F" w:rsidRPr="00367B7F" w:rsidRDefault="00367B7F" w:rsidP="00367B7F">
      <w:pPr>
        <w:spacing w:line="480" w:lineRule="auto"/>
        <w:jc w:val="both"/>
        <w:rPr>
          <w:rFonts w:ascii="Arial" w:hAnsi="Arial" w:cs="Arial"/>
        </w:rPr>
      </w:pPr>
    </w:p>
    <w:sectPr w:rsidR="00367B7F" w:rsidRPr="00367B7F" w:rsidSect="00E44979">
      <w:footerReference w:type="default" r:id="rId1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FE74FE8" w14:textId="77777777" w:rsidR="0090415F" w:rsidRDefault="0090415F" w:rsidP="00E44979">
      <w:pPr>
        <w:spacing w:after="0" w:line="240" w:lineRule="auto"/>
      </w:pPr>
      <w:r>
        <w:separator/>
      </w:r>
    </w:p>
  </w:endnote>
  <w:endnote w:type="continuationSeparator" w:id="0">
    <w:p w14:paraId="5CBCA6B9" w14:textId="77777777" w:rsidR="0090415F" w:rsidRDefault="0090415F" w:rsidP="00E4497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Black">
    <w:panose1 w:val="020B0A04020102020204"/>
    <w:charset w:val="00"/>
    <w:family w:val="swiss"/>
    <w:pitch w:val="variable"/>
    <w:sig w:usb0="A00002AF" w:usb1="400078FB"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965625236"/>
      <w:docPartObj>
        <w:docPartGallery w:val="Page Numbers (Bottom of Page)"/>
        <w:docPartUnique/>
      </w:docPartObj>
    </w:sdtPr>
    <w:sdtEndPr>
      <w:rPr>
        <w:color w:val="7F7F7F" w:themeColor="background1" w:themeShade="7F"/>
        <w:spacing w:val="60"/>
      </w:rPr>
    </w:sdtEndPr>
    <w:sdtContent>
      <w:p w14:paraId="7404F193" w14:textId="2ED0D6A5" w:rsidR="00E44979" w:rsidRDefault="00E44979">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15F028D8" w14:textId="77777777" w:rsidR="00E44979" w:rsidRDefault="00E4497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CF974D3" w14:textId="77777777" w:rsidR="0090415F" w:rsidRDefault="0090415F" w:rsidP="00E44979">
      <w:pPr>
        <w:spacing w:after="0" w:line="240" w:lineRule="auto"/>
      </w:pPr>
      <w:r>
        <w:separator/>
      </w:r>
    </w:p>
  </w:footnote>
  <w:footnote w:type="continuationSeparator" w:id="0">
    <w:p w14:paraId="09249022" w14:textId="77777777" w:rsidR="0090415F" w:rsidRDefault="0090415F" w:rsidP="00E4497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3A92596"/>
    <w:multiLevelType w:val="hybridMultilevel"/>
    <w:tmpl w:val="8ECA539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CBA6CA6"/>
    <w:multiLevelType w:val="hybridMultilevel"/>
    <w:tmpl w:val="FEB890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7DC3E95"/>
    <w:multiLevelType w:val="hybridMultilevel"/>
    <w:tmpl w:val="D488EBA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0786677">
    <w:abstractNumId w:val="1"/>
  </w:num>
  <w:num w:numId="2" w16cid:durableId="2023781509">
    <w:abstractNumId w:val="2"/>
  </w:num>
  <w:num w:numId="3" w16cid:durableId="166095783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67B7F"/>
    <w:rsid w:val="00367B7F"/>
    <w:rsid w:val="00434D85"/>
    <w:rsid w:val="0090415F"/>
    <w:rsid w:val="00930CF1"/>
    <w:rsid w:val="00E44979"/>
    <w:rsid w:val="00E9651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1ABF5E"/>
  <w15:chartTrackingRefBased/>
  <w15:docId w15:val="{B4B0D30F-5B5D-495F-8261-7865FA99EC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67B7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67B7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67B7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67B7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67B7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67B7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67B7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67B7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67B7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67B7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67B7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67B7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67B7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67B7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67B7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67B7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67B7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67B7F"/>
    <w:rPr>
      <w:rFonts w:eastAsiaTheme="majorEastAsia" w:cstheme="majorBidi"/>
      <w:color w:val="272727" w:themeColor="text1" w:themeTint="D8"/>
    </w:rPr>
  </w:style>
  <w:style w:type="paragraph" w:styleId="Title">
    <w:name w:val="Title"/>
    <w:basedOn w:val="Normal"/>
    <w:next w:val="Normal"/>
    <w:link w:val="TitleChar"/>
    <w:uiPriority w:val="10"/>
    <w:qFormat/>
    <w:rsid w:val="00367B7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67B7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67B7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67B7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67B7F"/>
    <w:pPr>
      <w:spacing w:before="160"/>
      <w:jc w:val="center"/>
    </w:pPr>
    <w:rPr>
      <w:i/>
      <w:iCs/>
      <w:color w:val="404040" w:themeColor="text1" w:themeTint="BF"/>
    </w:rPr>
  </w:style>
  <w:style w:type="character" w:customStyle="1" w:styleId="QuoteChar">
    <w:name w:val="Quote Char"/>
    <w:basedOn w:val="DefaultParagraphFont"/>
    <w:link w:val="Quote"/>
    <w:uiPriority w:val="29"/>
    <w:rsid w:val="00367B7F"/>
    <w:rPr>
      <w:i/>
      <w:iCs/>
      <w:color w:val="404040" w:themeColor="text1" w:themeTint="BF"/>
    </w:rPr>
  </w:style>
  <w:style w:type="paragraph" w:styleId="ListParagraph">
    <w:name w:val="List Paragraph"/>
    <w:basedOn w:val="Normal"/>
    <w:uiPriority w:val="34"/>
    <w:qFormat/>
    <w:rsid w:val="00367B7F"/>
    <w:pPr>
      <w:ind w:left="720"/>
      <w:contextualSpacing/>
    </w:pPr>
  </w:style>
  <w:style w:type="character" w:styleId="IntenseEmphasis">
    <w:name w:val="Intense Emphasis"/>
    <w:basedOn w:val="DefaultParagraphFont"/>
    <w:uiPriority w:val="21"/>
    <w:qFormat/>
    <w:rsid w:val="00367B7F"/>
    <w:rPr>
      <w:i/>
      <w:iCs/>
      <w:color w:val="0F4761" w:themeColor="accent1" w:themeShade="BF"/>
    </w:rPr>
  </w:style>
  <w:style w:type="paragraph" w:styleId="IntenseQuote">
    <w:name w:val="Intense Quote"/>
    <w:basedOn w:val="Normal"/>
    <w:next w:val="Normal"/>
    <w:link w:val="IntenseQuoteChar"/>
    <w:uiPriority w:val="30"/>
    <w:qFormat/>
    <w:rsid w:val="00367B7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67B7F"/>
    <w:rPr>
      <w:i/>
      <w:iCs/>
      <w:color w:val="0F4761" w:themeColor="accent1" w:themeShade="BF"/>
    </w:rPr>
  </w:style>
  <w:style w:type="character" w:styleId="IntenseReference">
    <w:name w:val="Intense Reference"/>
    <w:basedOn w:val="DefaultParagraphFont"/>
    <w:uiPriority w:val="32"/>
    <w:qFormat/>
    <w:rsid w:val="00367B7F"/>
    <w:rPr>
      <w:b/>
      <w:bCs/>
      <w:smallCaps/>
      <w:color w:val="0F4761" w:themeColor="accent1" w:themeShade="BF"/>
      <w:spacing w:val="5"/>
    </w:rPr>
  </w:style>
  <w:style w:type="paragraph" w:styleId="Header">
    <w:name w:val="header"/>
    <w:basedOn w:val="Normal"/>
    <w:link w:val="HeaderChar"/>
    <w:uiPriority w:val="99"/>
    <w:unhideWhenUsed/>
    <w:rsid w:val="00E44979"/>
    <w:pPr>
      <w:tabs>
        <w:tab w:val="center" w:pos="4513"/>
        <w:tab w:val="right" w:pos="9026"/>
      </w:tabs>
      <w:spacing w:after="0" w:line="240" w:lineRule="auto"/>
    </w:pPr>
  </w:style>
  <w:style w:type="character" w:customStyle="1" w:styleId="HeaderChar">
    <w:name w:val="Header Char"/>
    <w:basedOn w:val="DefaultParagraphFont"/>
    <w:link w:val="Header"/>
    <w:uiPriority w:val="99"/>
    <w:rsid w:val="00E44979"/>
  </w:style>
  <w:style w:type="paragraph" w:styleId="Footer">
    <w:name w:val="footer"/>
    <w:basedOn w:val="Normal"/>
    <w:link w:val="FooterChar"/>
    <w:uiPriority w:val="99"/>
    <w:unhideWhenUsed/>
    <w:rsid w:val="00E4497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44979"/>
  </w:style>
  <w:style w:type="paragraph" w:styleId="NoSpacing">
    <w:name w:val="No Spacing"/>
    <w:uiPriority w:val="1"/>
    <w:qFormat/>
    <w:rsid w:val="00E44979"/>
    <w:pPr>
      <w:spacing w:after="0" w:line="240" w:lineRule="auto"/>
    </w:pPr>
    <w:rPr>
      <w:color w:val="0E2841" w:themeColor="text2"/>
      <w:kern w:val="0"/>
      <w:sz w:val="20"/>
      <w:szCs w:val="20"/>
      <w:lang w:val="en-US"/>
      <w14:ligatures w14:val="none"/>
    </w:rPr>
  </w:style>
  <w:style w:type="character" w:styleId="Hyperlink">
    <w:name w:val="Hyperlink"/>
    <w:basedOn w:val="DefaultParagraphFont"/>
    <w:uiPriority w:val="99"/>
    <w:unhideWhenUsed/>
    <w:rsid w:val="00E96517"/>
    <w:rPr>
      <w:color w:val="467886" w:themeColor="hyperlink"/>
      <w:u w:val="single"/>
    </w:rPr>
  </w:style>
  <w:style w:type="character" w:styleId="UnresolvedMention">
    <w:name w:val="Unresolved Mention"/>
    <w:basedOn w:val="DefaultParagraphFont"/>
    <w:uiPriority w:val="99"/>
    <w:semiHidden/>
    <w:unhideWhenUsed/>
    <w:rsid w:val="00E9651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9002450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wmf"/><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weforum.org/publications/the-state-of-social-enterprise-a-review-of-global-data-2013-2023/" TargetMode="External"/><Relationship Id="rId5" Type="http://schemas.openxmlformats.org/officeDocument/2006/relationships/webSettings" Target="webSettings.xml"/><Relationship Id="rId10" Type="http://schemas.openxmlformats.org/officeDocument/2006/relationships/hyperlink" Target="https://www.ashoka.org/en-us/focus/social-entrepreneurship" TargetMode="External"/><Relationship Id="rId4" Type="http://schemas.openxmlformats.org/officeDocument/2006/relationships/settings" Target="settings.xml"/><Relationship Id="rId9" Type="http://schemas.openxmlformats.org/officeDocument/2006/relationships/hyperlink" Target="https://doi.org/10.1080/19420676.2010.501541"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2024-11-10T00:00:00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36</TotalTime>
  <Pages>11</Pages>
  <Words>1871</Words>
  <Characters>10666</Characters>
  <Application>Microsoft Office Word</Application>
  <DocSecurity>0</DocSecurity>
  <Lines>88</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Opportunities and Challenges Facing Social Enterprises: A SWOT Analysis</dc:title>
  <dc:subject/>
  <dc:creator>Mirabela Voican (1907947)</dc:creator>
  <cp:keywords/>
  <dc:description/>
  <cp:lastModifiedBy>Mirabela Voican (1907947)</cp:lastModifiedBy>
  <cp:revision>1</cp:revision>
  <dcterms:created xsi:type="dcterms:W3CDTF">2024-11-04T18:50:00Z</dcterms:created>
  <dcterms:modified xsi:type="dcterms:W3CDTF">2024-11-04T19:27:00Z</dcterms:modified>
</cp:coreProperties>
</file>