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F3A13" w14:textId="0A09CC04" w:rsidR="0054402A" w:rsidRPr="00506416" w:rsidRDefault="008605B2" w:rsidP="006416E9">
      <w:pPr>
        <w:spacing w:after="40" w:line="480" w:lineRule="auto"/>
        <w:jc w:val="center"/>
        <w:rPr>
          <w:rFonts w:ascii="Times New Roman" w:eastAsia="Calibri" w:hAnsi="Times New Roman" w:cs="Times New Roman"/>
          <w:b/>
          <w:color w:val="000000" w:themeColor="text1"/>
          <w:sz w:val="24"/>
          <w:szCs w:val="24"/>
        </w:rPr>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34E464A9" wp14:editId="38F66B81">
            <wp:extent cx="5901267" cy="2168620"/>
            <wp:effectExtent l="0" t="0" r="4445" b="3175"/>
            <wp:docPr id="929072509"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72509" name="Picture 1" descr="A black and yellow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67913" cy="2229860"/>
                    </a:xfrm>
                    <a:prstGeom prst="rect">
                      <a:avLst/>
                    </a:prstGeom>
                    <a:noFill/>
                    <a:ln>
                      <a:noFill/>
                    </a:ln>
                  </pic:spPr>
                </pic:pic>
              </a:graphicData>
            </a:graphic>
          </wp:inline>
        </w:drawing>
      </w:r>
      <w:r>
        <w:fldChar w:fldCharType="end"/>
      </w:r>
    </w:p>
    <w:p w14:paraId="0213E9FC" w14:textId="77777777" w:rsidR="001E5579" w:rsidRDefault="001E5579" w:rsidP="00063D98">
      <w:pPr>
        <w:jc w:val="center"/>
        <w:rPr>
          <w:rFonts w:ascii="Times New Roman" w:hAnsi="Times New Roman" w:cs="Times New Roman"/>
          <w:b/>
          <w:color w:val="000000" w:themeColor="text1"/>
          <w:sz w:val="24"/>
          <w:szCs w:val="24"/>
          <w:bdr w:val="none" w:sz="0" w:space="0" w:color="auto" w:frame="1"/>
          <w:shd w:val="clear" w:color="auto" w:fill="FFFFFF"/>
        </w:rPr>
      </w:pPr>
    </w:p>
    <w:p w14:paraId="57175C58" w14:textId="77777777" w:rsidR="00351AB1" w:rsidRPr="008605B2" w:rsidRDefault="00351AB1" w:rsidP="00063D98">
      <w:pPr>
        <w:jc w:val="center"/>
        <w:rPr>
          <w:rFonts w:ascii="Times New Roman" w:hAnsi="Times New Roman" w:cs="Times New Roman"/>
          <w:b/>
          <w:color w:val="000000" w:themeColor="text1"/>
          <w:sz w:val="24"/>
          <w:szCs w:val="24"/>
          <w:bdr w:val="none" w:sz="0" w:space="0" w:color="auto" w:frame="1"/>
          <w:shd w:val="clear" w:color="auto" w:fill="FFFFFF"/>
          <w:lang w:val="en-GB"/>
        </w:rPr>
      </w:pPr>
    </w:p>
    <w:p w14:paraId="51041E6B" w14:textId="30B9C45D" w:rsidR="00764C5C" w:rsidRDefault="00764C5C" w:rsidP="00351AB1">
      <w:pPr>
        <w:jc w:val="center"/>
        <w:rPr>
          <w:rFonts w:ascii="Arial" w:hAnsi="Arial" w:cs="Arial"/>
          <w:b/>
          <w:sz w:val="36"/>
          <w:szCs w:val="36"/>
        </w:rPr>
      </w:pPr>
      <w:r w:rsidRPr="00351AB1">
        <w:rPr>
          <w:rFonts w:ascii="Arial" w:hAnsi="Arial" w:cs="Arial"/>
          <w:b/>
          <w:sz w:val="36"/>
          <w:szCs w:val="36"/>
        </w:rPr>
        <w:t xml:space="preserve">Module: </w:t>
      </w:r>
      <w:r w:rsidR="00ED71CA" w:rsidRPr="00351AB1">
        <w:rPr>
          <w:rFonts w:ascii="Arial" w:hAnsi="Arial" w:cs="Arial"/>
          <w:b/>
          <w:sz w:val="36"/>
          <w:szCs w:val="36"/>
        </w:rPr>
        <w:t xml:space="preserve">LCBB6001 </w:t>
      </w:r>
      <w:r w:rsidRPr="00351AB1">
        <w:rPr>
          <w:rFonts w:ascii="Arial" w:hAnsi="Arial" w:cs="Arial"/>
          <w:b/>
          <w:sz w:val="36"/>
          <w:szCs w:val="36"/>
        </w:rPr>
        <w:t>International Business Communications</w:t>
      </w:r>
    </w:p>
    <w:p w14:paraId="68DABEDB" w14:textId="77777777" w:rsidR="00351AB1" w:rsidRPr="00351AB1" w:rsidRDefault="00351AB1" w:rsidP="00351AB1">
      <w:pPr>
        <w:jc w:val="center"/>
        <w:rPr>
          <w:rFonts w:ascii="Arial" w:hAnsi="Arial" w:cs="Arial"/>
          <w:b/>
          <w:sz w:val="36"/>
          <w:szCs w:val="36"/>
        </w:rPr>
      </w:pPr>
    </w:p>
    <w:p w14:paraId="48FAD77F" w14:textId="77777777" w:rsidR="00351AB1" w:rsidRPr="00351AB1" w:rsidRDefault="00351AB1" w:rsidP="00351AB1">
      <w:pPr>
        <w:rPr>
          <w:rFonts w:ascii="Arial" w:hAnsi="Arial" w:cs="Arial"/>
          <w:b/>
          <w:sz w:val="36"/>
          <w:szCs w:val="36"/>
        </w:rPr>
      </w:pPr>
      <w:r w:rsidRPr="00351AB1">
        <w:rPr>
          <w:rFonts w:ascii="Arial" w:hAnsi="Arial" w:cs="Arial"/>
          <w:b/>
          <w:sz w:val="36"/>
          <w:szCs w:val="36"/>
        </w:rPr>
        <w:t>Lecturer Name: Zainab Atta</w:t>
      </w:r>
    </w:p>
    <w:p w14:paraId="382D9D5D" w14:textId="77777777" w:rsidR="00351AB1" w:rsidRDefault="00351AB1" w:rsidP="00351AB1">
      <w:pPr>
        <w:rPr>
          <w:rFonts w:ascii="Arial" w:hAnsi="Arial" w:cs="Arial"/>
          <w:b/>
          <w:sz w:val="36"/>
          <w:szCs w:val="36"/>
        </w:rPr>
      </w:pPr>
    </w:p>
    <w:p w14:paraId="200114E7" w14:textId="5A6D8FAC" w:rsidR="00351AB1" w:rsidRDefault="00FB7F1C" w:rsidP="00351AB1">
      <w:pPr>
        <w:rPr>
          <w:rFonts w:ascii="Arial" w:hAnsi="Arial" w:cs="Arial"/>
          <w:b/>
          <w:sz w:val="36"/>
          <w:szCs w:val="36"/>
        </w:rPr>
      </w:pPr>
      <w:r w:rsidRPr="00351AB1">
        <w:rPr>
          <w:rFonts w:ascii="Arial" w:hAnsi="Arial" w:cs="Arial"/>
          <w:b/>
          <w:sz w:val="36"/>
          <w:szCs w:val="36"/>
        </w:rPr>
        <w:t>Assessment</w:t>
      </w:r>
      <w:r w:rsidR="00764C5C" w:rsidRPr="00351AB1">
        <w:rPr>
          <w:rFonts w:ascii="Arial" w:hAnsi="Arial" w:cs="Arial"/>
          <w:b/>
          <w:sz w:val="36"/>
          <w:szCs w:val="36"/>
        </w:rPr>
        <w:t xml:space="preserve"> 1</w:t>
      </w:r>
      <w:r w:rsidR="00ED71CA" w:rsidRPr="00351AB1">
        <w:rPr>
          <w:rFonts w:ascii="Arial" w:hAnsi="Arial" w:cs="Arial"/>
          <w:b/>
          <w:sz w:val="36"/>
          <w:szCs w:val="36"/>
        </w:rPr>
        <w:t xml:space="preserve">: </w:t>
      </w:r>
      <w:r w:rsidR="00764C5C" w:rsidRPr="00351AB1">
        <w:rPr>
          <w:rFonts w:ascii="Arial" w:hAnsi="Arial" w:cs="Arial"/>
          <w:b/>
          <w:sz w:val="36"/>
          <w:szCs w:val="36"/>
        </w:rPr>
        <w:t>Essay</w:t>
      </w:r>
    </w:p>
    <w:p w14:paraId="0AFE4ADF" w14:textId="77777777" w:rsidR="00351AB1" w:rsidRPr="00351AB1" w:rsidRDefault="00351AB1" w:rsidP="00351AB1">
      <w:pPr>
        <w:rPr>
          <w:rFonts w:ascii="Arial" w:hAnsi="Arial" w:cs="Arial"/>
          <w:b/>
          <w:sz w:val="36"/>
          <w:szCs w:val="36"/>
        </w:rPr>
      </w:pPr>
    </w:p>
    <w:p w14:paraId="4B99DE93" w14:textId="1F3EBEA1" w:rsidR="00ED71CA" w:rsidRPr="00351AB1" w:rsidRDefault="00ED71CA" w:rsidP="00351AB1">
      <w:pPr>
        <w:rPr>
          <w:rFonts w:ascii="Arial" w:hAnsi="Arial" w:cs="Arial"/>
          <w:b/>
          <w:sz w:val="36"/>
          <w:szCs w:val="36"/>
        </w:rPr>
      </w:pPr>
      <w:r w:rsidRPr="00351AB1">
        <w:rPr>
          <w:rFonts w:ascii="Arial" w:hAnsi="Arial" w:cs="Arial"/>
          <w:b/>
          <w:sz w:val="36"/>
          <w:szCs w:val="36"/>
        </w:rPr>
        <w:t>Company: Shell</w:t>
      </w:r>
      <w:r w:rsidR="000F0B9F">
        <w:rPr>
          <w:rFonts w:ascii="Arial" w:hAnsi="Arial" w:cs="Arial"/>
          <w:b/>
          <w:sz w:val="36"/>
          <w:szCs w:val="36"/>
        </w:rPr>
        <w:t xml:space="preserve"> Plc</w:t>
      </w:r>
    </w:p>
    <w:p w14:paraId="7F1BF179" w14:textId="77777777" w:rsidR="00FB7F1C" w:rsidRPr="00351AB1" w:rsidRDefault="00FB7F1C" w:rsidP="00351AB1">
      <w:pPr>
        <w:rPr>
          <w:rFonts w:ascii="Arial" w:hAnsi="Arial" w:cs="Arial"/>
          <w:b/>
          <w:sz w:val="36"/>
          <w:szCs w:val="36"/>
        </w:rPr>
      </w:pPr>
    </w:p>
    <w:p w14:paraId="58204BF6" w14:textId="77777777" w:rsidR="00FB7F1C" w:rsidRPr="00351AB1" w:rsidRDefault="00FB7F1C" w:rsidP="00351AB1">
      <w:pPr>
        <w:spacing w:line="240" w:lineRule="auto"/>
        <w:rPr>
          <w:rFonts w:ascii="Arial" w:hAnsi="Arial" w:cs="Arial"/>
          <w:b/>
          <w:sz w:val="36"/>
          <w:szCs w:val="36"/>
        </w:rPr>
      </w:pPr>
      <w:r w:rsidRPr="00351AB1">
        <w:rPr>
          <w:rFonts w:ascii="Arial" w:hAnsi="Arial" w:cs="Arial"/>
          <w:b/>
          <w:sz w:val="36"/>
          <w:szCs w:val="36"/>
        </w:rPr>
        <w:t>Student Name: Rumyana Popova</w:t>
      </w:r>
    </w:p>
    <w:p w14:paraId="6A0F07E3" w14:textId="77777777" w:rsidR="00FB7F1C" w:rsidRPr="00351AB1" w:rsidRDefault="00FB7F1C" w:rsidP="00351AB1">
      <w:pPr>
        <w:spacing w:line="240" w:lineRule="auto"/>
        <w:rPr>
          <w:rFonts w:ascii="Arial" w:hAnsi="Arial" w:cs="Arial"/>
          <w:b/>
          <w:bCs/>
          <w:sz w:val="36"/>
          <w:szCs w:val="36"/>
          <w:lang w:val="nl-NL"/>
        </w:rPr>
      </w:pPr>
    </w:p>
    <w:p w14:paraId="5DAE8267" w14:textId="77777777" w:rsidR="00FB7F1C" w:rsidRPr="00351AB1" w:rsidRDefault="00FB7F1C" w:rsidP="00351AB1">
      <w:pPr>
        <w:spacing w:line="240" w:lineRule="auto"/>
        <w:rPr>
          <w:rFonts w:ascii="Arial" w:hAnsi="Arial" w:cs="Arial"/>
          <w:b/>
          <w:sz w:val="36"/>
          <w:szCs w:val="36"/>
        </w:rPr>
      </w:pPr>
      <w:r w:rsidRPr="00351AB1">
        <w:rPr>
          <w:rFonts w:ascii="Arial" w:hAnsi="Arial" w:cs="Arial"/>
          <w:b/>
          <w:sz w:val="36"/>
          <w:szCs w:val="36"/>
        </w:rPr>
        <w:t>Student ID: 1909673</w:t>
      </w:r>
    </w:p>
    <w:p w14:paraId="31012E0D" w14:textId="77777777" w:rsidR="00FB7F1C" w:rsidRPr="00351AB1" w:rsidRDefault="00FB7F1C" w:rsidP="00351AB1">
      <w:pPr>
        <w:spacing w:line="240" w:lineRule="auto"/>
        <w:rPr>
          <w:rFonts w:ascii="Arial" w:hAnsi="Arial" w:cs="Arial"/>
          <w:b/>
          <w:sz w:val="36"/>
          <w:szCs w:val="36"/>
        </w:rPr>
      </w:pPr>
    </w:p>
    <w:p w14:paraId="112F89DB" w14:textId="5A29ED64" w:rsidR="00FB7F1C" w:rsidRPr="00351AB1" w:rsidRDefault="00FB7F1C" w:rsidP="00351AB1">
      <w:pPr>
        <w:spacing w:line="240" w:lineRule="auto"/>
        <w:rPr>
          <w:rFonts w:ascii="Arial" w:hAnsi="Arial" w:cs="Arial"/>
          <w:b/>
          <w:sz w:val="36"/>
          <w:szCs w:val="36"/>
        </w:rPr>
      </w:pPr>
      <w:r w:rsidRPr="00351AB1">
        <w:rPr>
          <w:rFonts w:ascii="Arial" w:hAnsi="Arial" w:cs="Arial"/>
          <w:b/>
          <w:sz w:val="36"/>
          <w:szCs w:val="36"/>
        </w:rPr>
        <w:t>Term 1 February 2024</w:t>
      </w:r>
    </w:p>
    <w:p w14:paraId="10D340E8" w14:textId="46BBA022" w:rsidR="00764C5C" w:rsidRDefault="00AE002A" w:rsidP="00351AB1">
      <w:pPr>
        <w:jc w:val="center"/>
        <w:rPr>
          <w:rFonts w:ascii="Arial" w:hAnsi="Arial" w:cs="Arial"/>
          <w:b/>
          <w:bCs/>
          <w:sz w:val="28"/>
          <w:szCs w:val="28"/>
        </w:rPr>
      </w:pPr>
      <w:bookmarkStart w:id="0" w:name="_Toc161448076"/>
      <w:r w:rsidRPr="00351AB1">
        <w:rPr>
          <w:rFonts w:ascii="Arial" w:hAnsi="Arial" w:cs="Arial"/>
          <w:b/>
          <w:bCs/>
          <w:sz w:val="28"/>
          <w:szCs w:val="28"/>
        </w:rPr>
        <w:lastRenderedPageBreak/>
        <w:t xml:space="preserve">Topic: </w:t>
      </w:r>
      <w:r w:rsidR="00764C5C" w:rsidRPr="00351AB1">
        <w:rPr>
          <w:rFonts w:ascii="Arial" w:hAnsi="Arial" w:cs="Arial"/>
          <w:b/>
          <w:bCs/>
          <w:sz w:val="28"/>
          <w:szCs w:val="28"/>
        </w:rPr>
        <w:t>Shell Plc's Expansion in the EU</w:t>
      </w:r>
      <w:bookmarkEnd w:id="0"/>
    </w:p>
    <w:p w14:paraId="5D69F597" w14:textId="77777777" w:rsidR="00351AB1" w:rsidRPr="00351AB1" w:rsidRDefault="00351AB1" w:rsidP="00351AB1">
      <w:pPr>
        <w:jc w:val="center"/>
        <w:rPr>
          <w:rFonts w:ascii="Arial" w:hAnsi="Arial" w:cs="Arial"/>
          <w:b/>
          <w:bCs/>
          <w:sz w:val="28"/>
          <w:szCs w:val="28"/>
        </w:rPr>
      </w:pPr>
    </w:p>
    <w:p w14:paraId="73409E5F" w14:textId="77777777" w:rsidR="00764C5C" w:rsidRPr="00351AB1" w:rsidRDefault="00764C5C" w:rsidP="00D32C51">
      <w:pPr>
        <w:spacing w:line="360" w:lineRule="auto"/>
        <w:jc w:val="both"/>
        <w:rPr>
          <w:rFonts w:ascii="Arial" w:hAnsi="Arial" w:cs="Arial"/>
          <w:sz w:val="24"/>
          <w:szCs w:val="24"/>
        </w:rPr>
      </w:pPr>
      <w:r w:rsidRPr="00351AB1">
        <w:rPr>
          <w:rFonts w:ascii="Arial" w:hAnsi="Arial" w:cs="Arial"/>
          <w:sz w:val="24"/>
          <w:szCs w:val="24"/>
        </w:rPr>
        <w:t>Expansion of a business in a foreign land is a case-critical matter which requires proper and accurate evaluation of various factors like foreign land's trade laws, traffic, trade union policies, political stability, geo-political situation, economy, and many more</w:t>
      </w:r>
      <w:r w:rsidR="004A27E8" w:rsidRPr="00351AB1">
        <w:rPr>
          <w:rFonts w:ascii="Arial" w:hAnsi="Arial" w:cs="Arial"/>
          <w:sz w:val="24"/>
          <w:szCs w:val="24"/>
        </w:rPr>
        <w:t xml:space="preserve"> (Morales, 2028)</w:t>
      </w:r>
      <w:r w:rsidRPr="00351AB1">
        <w:rPr>
          <w:rFonts w:ascii="Arial" w:hAnsi="Arial" w:cs="Arial"/>
          <w:sz w:val="24"/>
          <w:szCs w:val="24"/>
        </w:rPr>
        <w:t>. Among all these, a crucial factor is the foreign land's conventional organisational communication pattern, diversification status, adaptability, etc.</w:t>
      </w:r>
      <w:r w:rsidR="00DB00DF" w:rsidRPr="00351AB1">
        <w:rPr>
          <w:rFonts w:ascii="Arial" w:hAnsi="Arial" w:cs="Arial"/>
          <w:sz w:val="24"/>
          <w:szCs w:val="24"/>
        </w:rPr>
        <w:t xml:space="preserve"> (</w:t>
      </w:r>
      <w:proofErr w:type="spellStart"/>
      <w:r w:rsidR="00DB00DF" w:rsidRPr="00351AB1">
        <w:rPr>
          <w:rFonts w:ascii="Arial" w:hAnsi="Arial" w:cs="Arial"/>
          <w:sz w:val="24"/>
          <w:szCs w:val="24"/>
        </w:rPr>
        <w:t>Oslnd</w:t>
      </w:r>
      <w:proofErr w:type="spellEnd"/>
      <w:r w:rsidR="00DB00DF" w:rsidRPr="00351AB1">
        <w:rPr>
          <w:rFonts w:ascii="Arial" w:hAnsi="Arial" w:cs="Arial"/>
          <w:sz w:val="24"/>
          <w:szCs w:val="24"/>
        </w:rPr>
        <w:t xml:space="preserve"> et al., 2020)</w:t>
      </w:r>
      <w:r w:rsidRPr="00351AB1">
        <w:rPr>
          <w:rFonts w:ascii="Arial" w:hAnsi="Arial" w:cs="Arial"/>
          <w:sz w:val="24"/>
          <w:szCs w:val="24"/>
        </w:rPr>
        <w:t xml:space="preserve"> So, when Shell Plc decides to expand its operation to an EU-based country, its management must ensure that the EU country's organisational communication matches the British standard of organisational communication measures. By being a UK-based company, Shell Plc practices standard business communication following the UK culture, norms, ethics, etc. So, the respective EU country's organisational communication structure must be compatible with the UK one. At the same time, the potential workforce must have adequate adaptability, acceptance, and respect towards other countries' communication styles</w:t>
      </w:r>
      <w:r w:rsidR="008076B5" w:rsidRPr="00351AB1">
        <w:rPr>
          <w:rFonts w:ascii="Arial" w:hAnsi="Arial" w:cs="Arial"/>
          <w:sz w:val="24"/>
          <w:szCs w:val="24"/>
        </w:rPr>
        <w:t xml:space="preserve"> (Chen, 2019)</w:t>
      </w:r>
      <w:r w:rsidRPr="00351AB1">
        <w:rPr>
          <w:rFonts w:ascii="Arial" w:hAnsi="Arial" w:cs="Arial"/>
          <w:sz w:val="24"/>
          <w:szCs w:val="24"/>
        </w:rPr>
        <w:t>. This paper intends to find such an EU-based country. In this selection process, the paper elaborates on the factors of British business communication while covering special communication behaviours, patterns, and styles of Shell UK's employees. Then, the paper evaluates two European Union countries to find the most suitable one in terms of the parameters of business communication mentioned earlier. Finally, it provides recommendations regarding the final selection of the EU country for Shell's branch or subsidiary initiation.</w:t>
      </w:r>
    </w:p>
    <w:p w14:paraId="356986F0" w14:textId="5E993CED" w:rsidR="00764C5C" w:rsidRPr="00351AB1" w:rsidRDefault="00764C5C" w:rsidP="00D53D11">
      <w:pPr>
        <w:spacing w:line="360" w:lineRule="auto"/>
        <w:jc w:val="both"/>
        <w:rPr>
          <w:rFonts w:ascii="Arial" w:hAnsi="Arial" w:cs="Arial"/>
          <w:sz w:val="24"/>
          <w:szCs w:val="24"/>
        </w:rPr>
      </w:pPr>
      <w:r w:rsidRPr="00351AB1">
        <w:rPr>
          <w:rFonts w:ascii="Arial" w:hAnsi="Arial" w:cs="Arial"/>
          <w:sz w:val="24"/>
          <w:szCs w:val="24"/>
        </w:rPr>
        <w:t>British business communication substantially prioritises diplomacy before directness i</w:t>
      </w:r>
      <w:r w:rsidR="002E4638" w:rsidRPr="00351AB1">
        <w:rPr>
          <w:rFonts w:ascii="Arial" w:hAnsi="Arial" w:cs="Arial"/>
          <w:sz w:val="24"/>
          <w:szCs w:val="24"/>
        </w:rPr>
        <w:t>n communication (Warburton, 2017</w:t>
      </w:r>
      <w:r w:rsidRPr="00351AB1">
        <w:rPr>
          <w:rFonts w:ascii="Arial" w:hAnsi="Arial" w:cs="Arial"/>
          <w:sz w:val="24"/>
          <w:szCs w:val="24"/>
        </w:rPr>
        <w:t>). For instance, British people do not oppose directly like the Americans or other nationals; they cover their disagreements within a positive context</w:t>
      </w:r>
      <w:r w:rsidR="005A1888" w:rsidRPr="00351AB1">
        <w:rPr>
          <w:rFonts w:ascii="Arial" w:hAnsi="Arial" w:cs="Arial"/>
          <w:sz w:val="24"/>
          <w:szCs w:val="24"/>
        </w:rPr>
        <w:t xml:space="preserve"> (Meyer, 2015)</w:t>
      </w:r>
      <w:r w:rsidRPr="00351AB1">
        <w:rPr>
          <w:rFonts w:ascii="Arial" w:hAnsi="Arial" w:cs="Arial"/>
          <w:sz w:val="24"/>
          <w:szCs w:val="24"/>
        </w:rPr>
        <w:t>. For instance, in organisational communication, if a supervisor sees a mistake in their subordinate's work, the supervisor will not say, "</w:t>
      </w:r>
      <w:r w:rsidR="00D53D11" w:rsidRPr="00351AB1">
        <w:rPr>
          <w:rFonts w:ascii="Arial" w:hAnsi="Arial" w:cs="Arial"/>
          <w:sz w:val="24"/>
          <w:szCs w:val="24"/>
        </w:rPr>
        <w:t>Your</w:t>
      </w:r>
      <w:r w:rsidRPr="00351AB1">
        <w:rPr>
          <w:rFonts w:ascii="Arial" w:hAnsi="Arial" w:cs="Arial"/>
          <w:sz w:val="24"/>
          <w:szCs w:val="24"/>
        </w:rPr>
        <w:t xml:space="preserve"> work is </w:t>
      </w:r>
      <w:r w:rsidR="00D53D11" w:rsidRPr="00351AB1">
        <w:rPr>
          <w:rFonts w:ascii="Arial" w:hAnsi="Arial" w:cs="Arial"/>
          <w:sz w:val="24"/>
          <w:szCs w:val="24"/>
        </w:rPr>
        <w:t>wrong</w:t>
      </w:r>
      <w:r w:rsidRPr="00351AB1">
        <w:rPr>
          <w:rFonts w:ascii="Arial" w:hAnsi="Arial" w:cs="Arial"/>
          <w:sz w:val="24"/>
          <w:szCs w:val="24"/>
        </w:rPr>
        <w:t>." However, the supervisor will say, "I think it also can be this or that." Here, the supervisor has already expressed a denial about the employee's work, but there is a higher level of politeness and respect towards the employee's thought process, knowledge, etc.</w:t>
      </w:r>
      <w:r w:rsidR="00314B64" w:rsidRPr="00351AB1">
        <w:rPr>
          <w:rFonts w:ascii="Arial" w:hAnsi="Arial" w:cs="Arial"/>
          <w:sz w:val="24"/>
          <w:szCs w:val="24"/>
        </w:rPr>
        <w:t xml:space="preserve"> (Milne, 2024).</w:t>
      </w:r>
      <w:r w:rsidRPr="00351AB1">
        <w:rPr>
          <w:rFonts w:ascii="Arial" w:hAnsi="Arial" w:cs="Arial"/>
          <w:sz w:val="24"/>
          <w:szCs w:val="24"/>
        </w:rPr>
        <w:t xml:space="preserve"> Also, the UK organisational communication style incorporates a higher degree of politeness, considering the opposite person's </w:t>
      </w:r>
      <w:r w:rsidRPr="00351AB1">
        <w:rPr>
          <w:rFonts w:ascii="Arial" w:hAnsi="Arial" w:cs="Arial"/>
          <w:sz w:val="24"/>
          <w:szCs w:val="24"/>
        </w:rPr>
        <w:lastRenderedPageBreak/>
        <w:t>superiority while including modern business communication ethics and principles</w:t>
      </w:r>
      <w:r w:rsidR="00FB6DD4" w:rsidRPr="00351AB1">
        <w:rPr>
          <w:rFonts w:ascii="Arial" w:hAnsi="Arial" w:cs="Arial"/>
          <w:sz w:val="24"/>
          <w:szCs w:val="24"/>
        </w:rPr>
        <w:t xml:space="preserve"> (Corbin, 2021)</w:t>
      </w:r>
      <w:r w:rsidRPr="00351AB1">
        <w:rPr>
          <w:rFonts w:ascii="Arial" w:hAnsi="Arial" w:cs="Arial"/>
          <w:sz w:val="24"/>
          <w:szCs w:val="24"/>
        </w:rPr>
        <w:t>. Every UK company's employee prioritises the use of politeness and formal language; these are integral parts of day-to-day business communication. The two most important things must be mentioned here. First, UK employees always use "excuse me", "thank you," and related phrases even when communicating with colleagues they meet five days a</w:t>
      </w:r>
      <w:r w:rsidRPr="00783F50">
        <w:rPr>
          <w:rFonts w:ascii="Times New Roman" w:hAnsi="Times New Roman" w:cs="Times New Roman"/>
          <w:sz w:val="24"/>
          <w:szCs w:val="24"/>
        </w:rPr>
        <w:t xml:space="preserve"> </w:t>
      </w:r>
      <w:r w:rsidRPr="00351AB1">
        <w:rPr>
          <w:rFonts w:ascii="Arial" w:hAnsi="Arial" w:cs="Arial"/>
          <w:sz w:val="24"/>
          <w:szCs w:val="24"/>
        </w:rPr>
        <w:t>week. Secondly, British employees never address a person by their first name until the opposite person verbally requests to do that; the UK employees use Mr., Ms., Mrs., Dr., etc. and the opposite person's last name</w:t>
      </w:r>
      <w:r w:rsidR="00F056F2" w:rsidRPr="00351AB1">
        <w:rPr>
          <w:rFonts w:ascii="Arial" w:hAnsi="Arial" w:cs="Arial"/>
          <w:sz w:val="24"/>
          <w:szCs w:val="24"/>
        </w:rPr>
        <w:t xml:space="preserve"> (Grodzka, 2023)</w:t>
      </w:r>
      <w:r w:rsidRPr="00351AB1">
        <w:rPr>
          <w:rFonts w:ascii="Arial" w:hAnsi="Arial" w:cs="Arial"/>
          <w:sz w:val="24"/>
          <w:szCs w:val="24"/>
        </w:rPr>
        <w:t>.</w:t>
      </w:r>
      <w:r w:rsidR="00D53D11" w:rsidRPr="00351AB1">
        <w:rPr>
          <w:rFonts w:ascii="Arial" w:hAnsi="Arial" w:cs="Arial"/>
          <w:sz w:val="24"/>
          <w:szCs w:val="24"/>
        </w:rPr>
        <w:t xml:space="preserve"> </w:t>
      </w:r>
      <w:r w:rsidRPr="00351AB1">
        <w:rPr>
          <w:rFonts w:ascii="Arial" w:hAnsi="Arial" w:cs="Arial"/>
          <w:sz w:val="24"/>
          <w:szCs w:val="24"/>
        </w:rPr>
        <w:t>To detail some other core matters in UK organisational communication, the first thing is that British people always believe in small-talk interventions at the beginning of communication, like talking about today's weather or tomorrow's national festival</w:t>
      </w:r>
      <w:r w:rsidR="00F056F2" w:rsidRPr="00351AB1">
        <w:rPr>
          <w:rFonts w:ascii="Arial" w:hAnsi="Arial" w:cs="Arial"/>
          <w:sz w:val="24"/>
          <w:szCs w:val="24"/>
        </w:rPr>
        <w:t xml:space="preserve"> (Grodzka, 2023)</w:t>
      </w:r>
      <w:r w:rsidRPr="00351AB1">
        <w:rPr>
          <w:rFonts w:ascii="Arial" w:hAnsi="Arial" w:cs="Arial"/>
          <w:sz w:val="24"/>
          <w:szCs w:val="24"/>
        </w:rPr>
        <w:t>. They use it to import a comfortable situation within the upcoming discussion. Also, respecting each other's personal space is crucial in the discussions. They only ask questions about age, salary, or other personal things if the persons involved in the discussion have already established their friendship or mutual relationship. Moreover, regional dialects are also used in business communications if all the involved persons are from the same regions.</w:t>
      </w:r>
      <w:r w:rsidR="00D53D11" w:rsidRPr="00351AB1">
        <w:rPr>
          <w:rFonts w:ascii="Arial" w:hAnsi="Arial" w:cs="Arial"/>
          <w:sz w:val="24"/>
          <w:szCs w:val="24"/>
        </w:rPr>
        <w:t xml:space="preserve"> </w:t>
      </w:r>
      <w:r w:rsidRPr="00351AB1">
        <w:rPr>
          <w:rFonts w:ascii="Arial" w:hAnsi="Arial" w:cs="Arial"/>
          <w:sz w:val="24"/>
          <w:szCs w:val="24"/>
        </w:rPr>
        <w:t xml:space="preserve">Finally, global-level business communication measures are also observed </w:t>
      </w:r>
      <w:r w:rsidR="00F056F2" w:rsidRPr="00351AB1">
        <w:rPr>
          <w:rFonts w:ascii="Arial" w:hAnsi="Arial" w:cs="Arial"/>
          <w:sz w:val="24"/>
          <w:szCs w:val="24"/>
        </w:rPr>
        <w:t xml:space="preserve">within the UK’s business communication </w:t>
      </w:r>
      <w:r w:rsidRPr="00351AB1">
        <w:rPr>
          <w:rFonts w:ascii="Arial" w:hAnsi="Arial" w:cs="Arial"/>
          <w:sz w:val="24"/>
          <w:szCs w:val="24"/>
        </w:rPr>
        <w:t>in terms of eye contact, handshakes, nodding, using tone, and so on</w:t>
      </w:r>
      <w:r w:rsidR="005A7A7E" w:rsidRPr="00351AB1">
        <w:rPr>
          <w:rFonts w:ascii="Arial" w:hAnsi="Arial" w:cs="Arial"/>
          <w:sz w:val="24"/>
          <w:szCs w:val="24"/>
        </w:rPr>
        <w:t xml:space="preserve"> (British Council, 2024)</w:t>
      </w:r>
      <w:r w:rsidRPr="00351AB1">
        <w:rPr>
          <w:rFonts w:ascii="Arial" w:hAnsi="Arial" w:cs="Arial"/>
          <w:sz w:val="24"/>
          <w:szCs w:val="24"/>
        </w:rPr>
        <w:t>. Most essentially, the existing UK business communication values diversification and the workforce is highly adaptable to the fundamentals of the concept of diversification. They consider other's language, culture, ethics, social values, and norms with appropriate respect.</w:t>
      </w:r>
    </w:p>
    <w:p w14:paraId="741CAB1F" w14:textId="7206B2BF" w:rsidR="00764C5C" w:rsidRPr="00351AB1" w:rsidRDefault="00764C5C" w:rsidP="00D32C51">
      <w:pPr>
        <w:spacing w:line="360" w:lineRule="auto"/>
        <w:jc w:val="both"/>
        <w:rPr>
          <w:rFonts w:ascii="Arial" w:hAnsi="Arial" w:cs="Arial"/>
          <w:sz w:val="24"/>
          <w:szCs w:val="24"/>
        </w:rPr>
      </w:pPr>
      <w:r w:rsidRPr="00351AB1">
        <w:rPr>
          <w:rFonts w:ascii="Arial" w:hAnsi="Arial" w:cs="Arial"/>
          <w:sz w:val="24"/>
          <w:szCs w:val="24"/>
        </w:rPr>
        <w:t>Shell Plc, a British multinational, is an Oil and Gas company headquartered in London</w:t>
      </w:r>
      <w:r w:rsidR="00CA56ED" w:rsidRPr="00351AB1">
        <w:rPr>
          <w:rFonts w:ascii="Arial" w:hAnsi="Arial" w:cs="Arial"/>
          <w:sz w:val="24"/>
          <w:szCs w:val="24"/>
        </w:rPr>
        <w:t xml:space="preserve"> (Shell Glob</w:t>
      </w:r>
      <w:r w:rsidR="003F5FB2" w:rsidRPr="00351AB1">
        <w:rPr>
          <w:rFonts w:ascii="Arial" w:hAnsi="Arial" w:cs="Arial"/>
          <w:sz w:val="24"/>
          <w:szCs w:val="24"/>
        </w:rPr>
        <w:t>a</w:t>
      </w:r>
      <w:r w:rsidR="00CA56ED" w:rsidRPr="00351AB1">
        <w:rPr>
          <w:rFonts w:ascii="Arial" w:hAnsi="Arial" w:cs="Arial"/>
          <w:sz w:val="24"/>
          <w:szCs w:val="24"/>
        </w:rPr>
        <w:t>l, 2024)</w:t>
      </w:r>
      <w:r w:rsidRPr="00351AB1">
        <w:rPr>
          <w:rFonts w:ascii="Arial" w:hAnsi="Arial" w:cs="Arial"/>
          <w:sz w:val="24"/>
          <w:szCs w:val="24"/>
        </w:rPr>
        <w:t>. Historically, Shell Plc was formed in 1907 by merging two companies, the Netherlands's </w:t>
      </w:r>
      <w:r w:rsidRPr="00351AB1">
        <w:rPr>
          <w:rFonts w:ascii="Arial" w:hAnsi="Arial" w:cs="Arial"/>
          <w:bCs/>
          <w:sz w:val="24"/>
          <w:szCs w:val="24"/>
        </w:rPr>
        <w:t>Royal Dutch Petroleum Company</w:t>
      </w:r>
      <w:r w:rsidRPr="00351AB1">
        <w:rPr>
          <w:rFonts w:ascii="Arial" w:hAnsi="Arial" w:cs="Arial"/>
          <w:sz w:val="24"/>
          <w:szCs w:val="24"/>
        </w:rPr>
        <w:t> and the UK's</w:t>
      </w:r>
      <w:r w:rsidRPr="00351AB1">
        <w:rPr>
          <w:rFonts w:ascii="Arial" w:hAnsi="Arial" w:cs="Arial"/>
          <w:bCs/>
          <w:sz w:val="24"/>
          <w:szCs w:val="24"/>
        </w:rPr>
        <w:t> "Shell" Transport and Trading Company</w:t>
      </w:r>
      <w:r w:rsidR="00CA56ED" w:rsidRPr="00351AB1">
        <w:rPr>
          <w:rFonts w:ascii="Arial" w:hAnsi="Arial" w:cs="Arial"/>
          <w:bCs/>
          <w:sz w:val="24"/>
          <w:szCs w:val="24"/>
        </w:rPr>
        <w:t xml:space="preserve"> </w:t>
      </w:r>
      <w:r w:rsidR="00CA56ED" w:rsidRPr="00351AB1">
        <w:rPr>
          <w:rFonts w:ascii="Arial" w:hAnsi="Arial" w:cs="Arial"/>
          <w:sz w:val="24"/>
          <w:szCs w:val="24"/>
        </w:rPr>
        <w:t>(Shell Glob</w:t>
      </w:r>
      <w:r w:rsidR="003F5FB2" w:rsidRPr="00351AB1">
        <w:rPr>
          <w:rFonts w:ascii="Arial" w:hAnsi="Arial" w:cs="Arial"/>
          <w:sz w:val="24"/>
          <w:szCs w:val="24"/>
        </w:rPr>
        <w:t>a</w:t>
      </w:r>
      <w:r w:rsidR="00CA56ED" w:rsidRPr="00351AB1">
        <w:rPr>
          <w:rFonts w:ascii="Arial" w:hAnsi="Arial" w:cs="Arial"/>
          <w:sz w:val="24"/>
          <w:szCs w:val="24"/>
        </w:rPr>
        <w:t>l, 2024)</w:t>
      </w:r>
      <w:r w:rsidRPr="00351AB1">
        <w:rPr>
          <w:rFonts w:ascii="Arial" w:hAnsi="Arial" w:cs="Arial"/>
          <w:sz w:val="24"/>
          <w:szCs w:val="24"/>
        </w:rPr>
        <w:t>. It is now one of the world's leading companies in oil and gas exploration, production, refining, distributing, and trading, along with a petrochemical generation and sale business wing. It has also achieved greater domination in the worldwide gas industry, and it acquired one of the UK's top oil and gas companies, BG Group Plc, in 2016</w:t>
      </w:r>
      <w:r w:rsidR="00FE04AA" w:rsidRPr="00351AB1">
        <w:rPr>
          <w:rFonts w:ascii="Arial" w:hAnsi="Arial" w:cs="Arial"/>
          <w:sz w:val="24"/>
          <w:szCs w:val="24"/>
        </w:rPr>
        <w:t xml:space="preserve"> (Fox, 2015)</w:t>
      </w:r>
      <w:r w:rsidRPr="00351AB1">
        <w:rPr>
          <w:rFonts w:ascii="Arial" w:hAnsi="Arial" w:cs="Arial"/>
          <w:sz w:val="24"/>
          <w:szCs w:val="24"/>
        </w:rPr>
        <w:t xml:space="preserve">. It is now a $316.6 billion multinational with </w:t>
      </w:r>
      <w:r w:rsidR="00FE04AA" w:rsidRPr="00351AB1">
        <w:rPr>
          <w:rFonts w:ascii="Arial" w:hAnsi="Arial" w:cs="Arial"/>
          <w:sz w:val="24"/>
          <w:szCs w:val="24"/>
        </w:rPr>
        <w:t>over 10</w:t>
      </w:r>
      <w:r w:rsidRPr="00351AB1">
        <w:rPr>
          <w:rFonts w:ascii="Arial" w:hAnsi="Arial" w:cs="Arial"/>
          <w:sz w:val="24"/>
          <w:szCs w:val="24"/>
        </w:rPr>
        <w:t>3,000 employees</w:t>
      </w:r>
      <w:r w:rsidR="00FE04AA" w:rsidRPr="00351AB1">
        <w:rPr>
          <w:rFonts w:ascii="Arial" w:hAnsi="Arial" w:cs="Arial"/>
          <w:sz w:val="24"/>
          <w:szCs w:val="24"/>
        </w:rPr>
        <w:t xml:space="preserve"> (Shell Glob</w:t>
      </w:r>
      <w:r w:rsidR="003F5FB2" w:rsidRPr="00351AB1">
        <w:rPr>
          <w:rFonts w:ascii="Arial" w:hAnsi="Arial" w:cs="Arial"/>
          <w:sz w:val="24"/>
          <w:szCs w:val="24"/>
        </w:rPr>
        <w:t>a</w:t>
      </w:r>
      <w:r w:rsidR="00FE04AA" w:rsidRPr="00351AB1">
        <w:rPr>
          <w:rFonts w:ascii="Arial" w:hAnsi="Arial" w:cs="Arial"/>
          <w:sz w:val="24"/>
          <w:szCs w:val="24"/>
        </w:rPr>
        <w:t>l, 2024)</w:t>
      </w:r>
      <w:r w:rsidRPr="00351AB1">
        <w:rPr>
          <w:rFonts w:ascii="Arial" w:hAnsi="Arial" w:cs="Arial"/>
          <w:sz w:val="24"/>
          <w:szCs w:val="24"/>
        </w:rPr>
        <w:t xml:space="preserve">. The success of this UK organisation is due to its unique leadership style, which allows autocratic </w:t>
      </w:r>
      <w:r w:rsidRPr="00351AB1">
        <w:rPr>
          <w:rFonts w:ascii="Arial" w:hAnsi="Arial" w:cs="Arial"/>
          <w:sz w:val="24"/>
          <w:szCs w:val="24"/>
        </w:rPr>
        <w:lastRenderedPageBreak/>
        <w:t>and adaptive leadership approaches to interact together</w:t>
      </w:r>
      <w:r w:rsidR="00E90E4A" w:rsidRPr="00351AB1">
        <w:rPr>
          <w:rFonts w:ascii="Arial" w:hAnsi="Arial" w:cs="Arial"/>
          <w:sz w:val="24"/>
          <w:szCs w:val="24"/>
        </w:rPr>
        <w:t xml:space="preserve"> (Thomas, 2016)</w:t>
      </w:r>
      <w:r w:rsidRPr="00351AB1">
        <w:rPr>
          <w:rFonts w:ascii="Arial" w:hAnsi="Arial" w:cs="Arial"/>
          <w:sz w:val="24"/>
          <w:szCs w:val="24"/>
        </w:rPr>
        <w:t>. It uses a specialised global matrix to collect information from the worldwide subsidiaries. This matrix divides data collection and decision implementation into four categories: downstream markets, downstream markets, integrated gas and new energy, and projects and technology</w:t>
      </w:r>
      <w:r w:rsidR="00153E12" w:rsidRPr="00351AB1">
        <w:rPr>
          <w:rFonts w:ascii="Arial" w:hAnsi="Arial" w:cs="Arial"/>
          <w:sz w:val="24"/>
          <w:szCs w:val="24"/>
        </w:rPr>
        <w:t xml:space="preserve"> (Shell Glob</w:t>
      </w:r>
      <w:r w:rsidR="003F5FB2" w:rsidRPr="00351AB1">
        <w:rPr>
          <w:rFonts w:ascii="Arial" w:hAnsi="Arial" w:cs="Arial"/>
          <w:sz w:val="24"/>
          <w:szCs w:val="24"/>
        </w:rPr>
        <w:t>a</w:t>
      </w:r>
      <w:r w:rsidR="00153E12" w:rsidRPr="00351AB1">
        <w:rPr>
          <w:rFonts w:ascii="Arial" w:hAnsi="Arial" w:cs="Arial"/>
          <w:sz w:val="24"/>
          <w:szCs w:val="24"/>
        </w:rPr>
        <w:t>l, 2024)</w:t>
      </w:r>
      <w:r w:rsidRPr="00351AB1">
        <w:rPr>
          <w:rFonts w:ascii="Arial" w:hAnsi="Arial" w:cs="Arial"/>
          <w:sz w:val="24"/>
          <w:szCs w:val="24"/>
        </w:rPr>
        <w:t xml:space="preserve">. It also satisfies the essential criteria to be a global company by having and </w:t>
      </w:r>
      <w:proofErr w:type="spellStart"/>
      <w:r w:rsidRPr="00351AB1">
        <w:rPr>
          <w:rFonts w:ascii="Arial" w:hAnsi="Arial" w:cs="Arial"/>
          <w:sz w:val="24"/>
          <w:szCs w:val="24"/>
        </w:rPr>
        <w:t>practising</w:t>
      </w:r>
      <w:proofErr w:type="spellEnd"/>
      <w:r w:rsidRPr="00351AB1">
        <w:rPr>
          <w:rFonts w:ascii="Arial" w:hAnsi="Arial" w:cs="Arial"/>
          <w:sz w:val="24"/>
          <w:szCs w:val="24"/>
        </w:rPr>
        <w:t xml:space="preserve"> a business principle that promotes trust, openness, teamwork, and professionalism while retaining a solid pride in its contribution to the people and planet.</w:t>
      </w:r>
      <w:r w:rsidR="00D32C51" w:rsidRPr="00351AB1">
        <w:rPr>
          <w:rFonts w:ascii="Arial" w:hAnsi="Arial" w:cs="Arial"/>
          <w:sz w:val="24"/>
          <w:szCs w:val="24"/>
        </w:rPr>
        <w:t xml:space="preserve"> </w:t>
      </w:r>
      <w:r w:rsidRPr="00351AB1">
        <w:rPr>
          <w:rFonts w:ascii="Arial" w:hAnsi="Arial" w:cs="Arial"/>
          <w:sz w:val="24"/>
          <w:szCs w:val="24"/>
        </w:rPr>
        <w:t>Most importantly, the company has sound knowledge of running businesses in foreign lands like India, Brunei, China, Hongkong, Ireland, and many more</w:t>
      </w:r>
      <w:r w:rsidR="003F5FB2" w:rsidRPr="00351AB1">
        <w:rPr>
          <w:rFonts w:ascii="Arial" w:hAnsi="Arial" w:cs="Arial"/>
          <w:sz w:val="24"/>
          <w:szCs w:val="24"/>
        </w:rPr>
        <w:t xml:space="preserve"> (Shell Global, 2024)</w:t>
      </w:r>
      <w:r w:rsidRPr="00351AB1">
        <w:rPr>
          <w:rFonts w:ascii="Arial" w:hAnsi="Arial" w:cs="Arial"/>
          <w:sz w:val="24"/>
          <w:szCs w:val="24"/>
        </w:rPr>
        <w:t>. Its plan to expand further in Europe can benefit from its earlier experiences during its operation as a Dutch company. Finally, Shell's highly diversified organisational culture and communication styles made its journey full of successes, domestically and internationally. </w:t>
      </w:r>
    </w:p>
    <w:p w14:paraId="79849270" w14:textId="77777777" w:rsidR="00764C5C" w:rsidRDefault="00764C5C" w:rsidP="001F4285">
      <w:pPr>
        <w:spacing w:line="360" w:lineRule="auto"/>
        <w:jc w:val="both"/>
        <w:rPr>
          <w:rFonts w:ascii="Arial" w:hAnsi="Arial" w:cs="Arial"/>
          <w:sz w:val="24"/>
          <w:szCs w:val="24"/>
        </w:rPr>
      </w:pPr>
      <w:r w:rsidRPr="00351AB1">
        <w:rPr>
          <w:rFonts w:ascii="Arial" w:hAnsi="Arial" w:cs="Arial"/>
          <w:sz w:val="24"/>
          <w:szCs w:val="24"/>
        </w:rPr>
        <w:t xml:space="preserve">Two countries have been considered for Shell's future expansion in the EU: Malta and the Republic of Cyprus. Both of the countries are suitable for foreign investments. Here, the paper conducts a thorough comparison between the two EU countries to check which one perfectly matches Shell UK's business communication styles and other </w:t>
      </w:r>
      <w:proofErr w:type="spellStart"/>
      <w:r w:rsidRPr="00351AB1">
        <w:rPr>
          <w:rFonts w:ascii="Arial" w:hAnsi="Arial" w:cs="Arial"/>
          <w:sz w:val="24"/>
          <w:szCs w:val="24"/>
        </w:rPr>
        <w:t>organisational</w:t>
      </w:r>
      <w:proofErr w:type="spellEnd"/>
      <w:r w:rsidRPr="00351AB1">
        <w:rPr>
          <w:rFonts w:ascii="Arial" w:hAnsi="Arial" w:cs="Arial"/>
          <w:sz w:val="24"/>
          <w:szCs w:val="24"/>
        </w:rPr>
        <w:t xml:space="preserve"> measures.</w:t>
      </w:r>
    </w:p>
    <w:p w14:paraId="7BDB02B2" w14:textId="77777777" w:rsidR="00DB425F" w:rsidRPr="00351AB1" w:rsidRDefault="00DB425F" w:rsidP="001F4285">
      <w:pPr>
        <w:spacing w:line="360" w:lineRule="auto"/>
        <w:jc w:val="both"/>
        <w:rPr>
          <w:rFonts w:ascii="Arial" w:hAnsi="Arial" w:cs="Arial"/>
          <w:sz w:val="24"/>
          <w:szCs w:val="24"/>
        </w:rPr>
      </w:pPr>
    </w:p>
    <w:p w14:paraId="18072133" w14:textId="6F4AC660" w:rsidR="00764C5C" w:rsidRDefault="00764C5C" w:rsidP="00D53D11">
      <w:pPr>
        <w:spacing w:line="360" w:lineRule="auto"/>
        <w:jc w:val="both"/>
        <w:rPr>
          <w:rFonts w:ascii="Arial" w:hAnsi="Arial" w:cs="Arial"/>
          <w:sz w:val="24"/>
          <w:szCs w:val="24"/>
        </w:rPr>
      </w:pPr>
      <w:bookmarkStart w:id="1" w:name="_Toc161448081"/>
      <w:r w:rsidRPr="00351AB1">
        <w:rPr>
          <w:rFonts w:ascii="Arial" w:hAnsi="Arial" w:cs="Arial"/>
          <w:b/>
          <w:bCs/>
          <w:sz w:val="28"/>
          <w:szCs w:val="28"/>
        </w:rPr>
        <w:t>Malta</w:t>
      </w:r>
      <w:bookmarkEnd w:id="1"/>
      <w:r w:rsidR="00D53D11" w:rsidRPr="00351AB1">
        <w:rPr>
          <w:rFonts w:ascii="Arial" w:hAnsi="Arial" w:cs="Arial"/>
          <w:b/>
          <w:bCs/>
          <w:sz w:val="28"/>
          <w:szCs w:val="28"/>
        </w:rPr>
        <w:t xml:space="preserve">: </w:t>
      </w:r>
      <w:r w:rsidRPr="00351AB1">
        <w:rPr>
          <w:rFonts w:ascii="Arial" w:hAnsi="Arial" w:cs="Arial"/>
          <w:sz w:val="24"/>
          <w:szCs w:val="24"/>
        </w:rPr>
        <w:t>Malta is an island country in the Mediterranean Sea. It is a southern European country. Malta is counted as the fifth most densely populated count</w:t>
      </w:r>
      <w:r w:rsidR="00F330CF" w:rsidRPr="00351AB1">
        <w:rPr>
          <w:rFonts w:ascii="Arial" w:hAnsi="Arial" w:cs="Arial"/>
          <w:sz w:val="24"/>
          <w:szCs w:val="24"/>
        </w:rPr>
        <w:t>ry, with a population of 536,247</w:t>
      </w:r>
      <w:r w:rsidRPr="00351AB1">
        <w:rPr>
          <w:rFonts w:ascii="Arial" w:hAnsi="Arial" w:cs="Arial"/>
          <w:sz w:val="24"/>
          <w:szCs w:val="24"/>
        </w:rPr>
        <w:t xml:space="preserve"> living within an area of 316 sq. km.</w:t>
      </w:r>
      <w:r w:rsidR="00DC0196" w:rsidRPr="00351AB1">
        <w:rPr>
          <w:rFonts w:ascii="Arial" w:hAnsi="Arial" w:cs="Arial"/>
          <w:sz w:val="24"/>
          <w:szCs w:val="24"/>
        </w:rPr>
        <w:t xml:space="preserve"> (</w:t>
      </w:r>
      <w:proofErr w:type="spellStart"/>
      <w:r w:rsidR="00DC0196" w:rsidRPr="00351AB1">
        <w:rPr>
          <w:rFonts w:ascii="Arial" w:hAnsi="Arial" w:cs="Arial"/>
          <w:sz w:val="24"/>
          <w:szCs w:val="24"/>
        </w:rPr>
        <w:t>Worldometer</w:t>
      </w:r>
      <w:proofErr w:type="spellEnd"/>
      <w:r w:rsidR="00DC0196" w:rsidRPr="00351AB1">
        <w:rPr>
          <w:rFonts w:ascii="Arial" w:hAnsi="Arial" w:cs="Arial"/>
          <w:sz w:val="24"/>
          <w:szCs w:val="24"/>
        </w:rPr>
        <w:t>, 2024)</w:t>
      </w:r>
      <w:r w:rsidRPr="00351AB1">
        <w:rPr>
          <w:rFonts w:ascii="Arial" w:hAnsi="Arial" w:cs="Arial"/>
          <w:sz w:val="24"/>
          <w:szCs w:val="24"/>
        </w:rPr>
        <w:t xml:space="preserve"> This country has a rich history and was ruled by various kingdoms before gaining sovereignty. Even Malta was a British-ruled country from 1814 to 1964. It became a British land after signing the Treaty of Paris in 1814</w:t>
      </w:r>
      <w:r w:rsidR="00954C00" w:rsidRPr="00351AB1">
        <w:rPr>
          <w:rFonts w:ascii="Arial" w:hAnsi="Arial" w:cs="Arial"/>
          <w:sz w:val="24"/>
          <w:szCs w:val="24"/>
        </w:rPr>
        <w:t xml:space="preserve"> (</w:t>
      </w:r>
      <w:r w:rsidR="00954C00" w:rsidRPr="00351AB1">
        <w:rPr>
          <w:rFonts w:ascii="Arial" w:hAnsi="Arial" w:cs="Arial"/>
          <w:sz w:val="24"/>
          <w:szCs w:val="24"/>
          <w:shd w:val="clear" w:color="auto" w:fill="FFFFFF"/>
        </w:rPr>
        <w:t>Rudolf and Berg, 2010)</w:t>
      </w:r>
      <w:r w:rsidRPr="00351AB1">
        <w:rPr>
          <w:rFonts w:ascii="Arial" w:hAnsi="Arial" w:cs="Arial"/>
          <w:sz w:val="24"/>
          <w:szCs w:val="24"/>
        </w:rPr>
        <w:t xml:space="preserve">. British used its island as the shipping way station and fleet headquarters. This land greatly contributed to the UK </w:t>
      </w:r>
      <w:proofErr w:type="spellStart"/>
      <w:r w:rsidRPr="00351AB1">
        <w:rPr>
          <w:rFonts w:ascii="Arial" w:hAnsi="Arial" w:cs="Arial"/>
          <w:sz w:val="24"/>
          <w:szCs w:val="24"/>
        </w:rPr>
        <w:t>Naavy's</w:t>
      </w:r>
      <w:proofErr w:type="spellEnd"/>
      <w:r w:rsidRPr="00351AB1">
        <w:rPr>
          <w:rFonts w:ascii="Arial" w:hAnsi="Arial" w:cs="Arial"/>
          <w:sz w:val="24"/>
          <w:szCs w:val="24"/>
        </w:rPr>
        <w:t xml:space="preserve"> operations during the Second World War. Its per capita GDP is currently measured at $66,720, with an expected GDP growth rate of 3.3%</w:t>
      </w:r>
      <w:r w:rsidR="00D9158F" w:rsidRPr="00351AB1">
        <w:rPr>
          <w:rFonts w:ascii="Arial" w:hAnsi="Arial" w:cs="Arial"/>
          <w:sz w:val="24"/>
          <w:szCs w:val="24"/>
        </w:rPr>
        <w:t xml:space="preserve"> (IMF, 2024)</w:t>
      </w:r>
      <w:r w:rsidRPr="00351AB1">
        <w:rPr>
          <w:rFonts w:ascii="Arial" w:hAnsi="Arial" w:cs="Arial"/>
          <w:sz w:val="24"/>
          <w:szCs w:val="24"/>
        </w:rPr>
        <w:t>. In consideration of the purchasing power of people, it ranks 14th in the whole of Europe. Malta's oil consumption was 88,000 barrels per day as of November 2023</w:t>
      </w:r>
      <w:r w:rsidR="00786989" w:rsidRPr="00351AB1">
        <w:rPr>
          <w:rFonts w:ascii="Arial" w:hAnsi="Arial" w:cs="Arial"/>
          <w:sz w:val="24"/>
          <w:szCs w:val="24"/>
        </w:rPr>
        <w:t xml:space="preserve"> (</w:t>
      </w:r>
      <w:proofErr w:type="spellStart"/>
      <w:r w:rsidR="00786989" w:rsidRPr="00351AB1">
        <w:rPr>
          <w:rFonts w:ascii="Arial" w:hAnsi="Arial" w:cs="Arial"/>
          <w:sz w:val="24"/>
          <w:szCs w:val="24"/>
        </w:rPr>
        <w:t>Knoema</w:t>
      </w:r>
      <w:proofErr w:type="spellEnd"/>
      <w:r w:rsidR="00786989" w:rsidRPr="00351AB1">
        <w:rPr>
          <w:rFonts w:ascii="Arial" w:hAnsi="Arial" w:cs="Arial"/>
          <w:sz w:val="24"/>
          <w:szCs w:val="24"/>
        </w:rPr>
        <w:t>, 2024)</w:t>
      </w:r>
      <w:r w:rsidRPr="00351AB1">
        <w:rPr>
          <w:rFonts w:ascii="Arial" w:hAnsi="Arial" w:cs="Arial"/>
          <w:sz w:val="24"/>
          <w:szCs w:val="24"/>
        </w:rPr>
        <w:t>. On the other hand, its gas consumption is 10,100 million cu m per year as of 2017 data collection, and the existing gas-use rate is increasing at 7.7%</w:t>
      </w:r>
      <w:r w:rsidR="00977922" w:rsidRPr="00351AB1">
        <w:rPr>
          <w:rFonts w:ascii="Arial" w:hAnsi="Arial" w:cs="Arial"/>
          <w:sz w:val="24"/>
          <w:szCs w:val="24"/>
        </w:rPr>
        <w:t xml:space="preserve"> (</w:t>
      </w:r>
      <w:proofErr w:type="spellStart"/>
      <w:r w:rsidR="00977922" w:rsidRPr="00351AB1">
        <w:rPr>
          <w:rFonts w:ascii="Arial" w:hAnsi="Arial" w:cs="Arial"/>
          <w:sz w:val="24"/>
          <w:szCs w:val="24"/>
        </w:rPr>
        <w:t>Knoema</w:t>
      </w:r>
      <w:proofErr w:type="spellEnd"/>
      <w:r w:rsidR="00977922" w:rsidRPr="00351AB1">
        <w:rPr>
          <w:rFonts w:ascii="Arial" w:hAnsi="Arial" w:cs="Arial"/>
          <w:sz w:val="24"/>
          <w:szCs w:val="24"/>
        </w:rPr>
        <w:t xml:space="preserve">, </w:t>
      </w:r>
      <w:r w:rsidR="00977922" w:rsidRPr="00351AB1">
        <w:rPr>
          <w:rFonts w:ascii="Arial" w:hAnsi="Arial" w:cs="Arial"/>
          <w:sz w:val="24"/>
          <w:szCs w:val="24"/>
        </w:rPr>
        <w:lastRenderedPageBreak/>
        <w:t>2024)</w:t>
      </w:r>
      <w:r w:rsidRPr="00351AB1">
        <w:rPr>
          <w:rFonts w:ascii="Arial" w:hAnsi="Arial" w:cs="Arial"/>
          <w:sz w:val="24"/>
          <w:szCs w:val="24"/>
        </w:rPr>
        <w:t>. It must be noted that as per Malta's government, the oil and gas supply is entitled to pay a VAT of up to 18%.</w:t>
      </w:r>
    </w:p>
    <w:p w14:paraId="1C861BCE" w14:textId="77777777" w:rsidR="00351AB1" w:rsidRPr="00351AB1" w:rsidRDefault="00351AB1" w:rsidP="00D53D11">
      <w:pPr>
        <w:spacing w:line="360" w:lineRule="auto"/>
        <w:jc w:val="both"/>
        <w:rPr>
          <w:rFonts w:ascii="Arial" w:hAnsi="Arial" w:cs="Arial"/>
          <w:b/>
          <w:bCs/>
          <w:sz w:val="28"/>
          <w:szCs w:val="28"/>
        </w:rPr>
      </w:pPr>
    </w:p>
    <w:p w14:paraId="39D5323D" w14:textId="04E1C449" w:rsidR="00764C5C" w:rsidRPr="00351AB1" w:rsidRDefault="00764C5C" w:rsidP="00D53D11">
      <w:pPr>
        <w:spacing w:line="360" w:lineRule="auto"/>
        <w:jc w:val="both"/>
        <w:rPr>
          <w:rFonts w:ascii="Arial" w:hAnsi="Arial" w:cs="Arial"/>
          <w:b/>
          <w:bCs/>
          <w:sz w:val="28"/>
          <w:szCs w:val="28"/>
        </w:rPr>
      </w:pPr>
      <w:bookmarkStart w:id="2" w:name="_Toc161448082"/>
      <w:r w:rsidRPr="00351AB1">
        <w:rPr>
          <w:rFonts w:ascii="Arial" w:hAnsi="Arial" w:cs="Arial"/>
          <w:b/>
          <w:bCs/>
          <w:sz w:val="28"/>
          <w:szCs w:val="28"/>
        </w:rPr>
        <w:t>Republic of Cyprus</w:t>
      </w:r>
      <w:bookmarkEnd w:id="2"/>
      <w:r w:rsidR="00D53D11" w:rsidRPr="00351AB1">
        <w:rPr>
          <w:rFonts w:ascii="Arial" w:hAnsi="Arial" w:cs="Arial"/>
          <w:b/>
          <w:bCs/>
          <w:sz w:val="28"/>
          <w:szCs w:val="28"/>
        </w:rPr>
        <w:t xml:space="preserve">: </w:t>
      </w:r>
      <w:r w:rsidRPr="00351AB1">
        <w:rPr>
          <w:rFonts w:ascii="Arial" w:hAnsi="Arial" w:cs="Arial"/>
          <w:sz w:val="24"/>
          <w:szCs w:val="24"/>
        </w:rPr>
        <w:t>The Republic of Cyprus is also an EU island country in the Mediterranean Sea. The current population of Cyprus in 2024 is 1,268,467, a 0.66% increase from 2023</w:t>
      </w:r>
      <w:r w:rsidR="00977922" w:rsidRPr="00351AB1">
        <w:rPr>
          <w:rFonts w:ascii="Arial" w:hAnsi="Arial" w:cs="Arial"/>
          <w:sz w:val="24"/>
          <w:szCs w:val="24"/>
        </w:rPr>
        <w:t xml:space="preserve"> (</w:t>
      </w:r>
      <w:proofErr w:type="spellStart"/>
      <w:r w:rsidR="00977922" w:rsidRPr="00351AB1">
        <w:rPr>
          <w:rFonts w:ascii="Arial" w:hAnsi="Arial" w:cs="Arial"/>
          <w:sz w:val="24"/>
          <w:szCs w:val="24"/>
        </w:rPr>
        <w:t>Worldometer</w:t>
      </w:r>
      <w:proofErr w:type="spellEnd"/>
      <w:r w:rsidR="00977922" w:rsidRPr="00351AB1">
        <w:rPr>
          <w:rFonts w:ascii="Arial" w:hAnsi="Arial" w:cs="Arial"/>
          <w:sz w:val="24"/>
          <w:szCs w:val="24"/>
        </w:rPr>
        <w:t>, 2024)</w:t>
      </w:r>
      <w:r w:rsidRPr="00351AB1">
        <w:rPr>
          <w:rFonts w:ascii="Arial" w:hAnsi="Arial" w:cs="Arial"/>
          <w:sz w:val="24"/>
          <w:szCs w:val="24"/>
        </w:rPr>
        <w:t>. Its per capita GDP is $34,7911 as of 2023</w:t>
      </w:r>
      <w:r w:rsidR="00DA4BF5" w:rsidRPr="00351AB1">
        <w:rPr>
          <w:rFonts w:ascii="Arial" w:hAnsi="Arial" w:cs="Arial"/>
          <w:sz w:val="24"/>
          <w:szCs w:val="24"/>
        </w:rPr>
        <w:t xml:space="preserve"> (IMF, 2024)</w:t>
      </w:r>
      <w:r w:rsidRPr="00351AB1">
        <w:rPr>
          <w:rFonts w:ascii="Arial" w:hAnsi="Arial" w:cs="Arial"/>
          <w:sz w:val="24"/>
          <w:szCs w:val="24"/>
        </w:rPr>
        <w:t>. Cyprus's fuel imports are above 50%, depending on Greece and the UK</w:t>
      </w:r>
      <w:r w:rsidR="00C71213" w:rsidRPr="00351AB1">
        <w:rPr>
          <w:rFonts w:ascii="Arial" w:hAnsi="Arial" w:cs="Arial"/>
          <w:sz w:val="24"/>
          <w:szCs w:val="24"/>
        </w:rPr>
        <w:t xml:space="preserve"> (</w:t>
      </w:r>
      <w:proofErr w:type="spellStart"/>
      <w:r w:rsidR="00C71213" w:rsidRPr="00351AB1">
        <w:rPr>
          <w:rFonts w:ascii="Arial" w:hAnsi="Arial" w:cs="Arial"/>
          <w:sz w:val="24"/>
          <w:szCs w:val="24"/>
        </w:rPr>
        <w:t>Koroneos</w:t>
      </w:r>
      <w:proofErr w:type="spellEnd"/>
      <w:r w:rsidR="00C71213" w:rsidRPr="00351AB1">
        <w:rPr>
          <w:rFonts w:ascii="Arial" w:hAnsi="Arial" w:cs="Arial"/>
          <w:sz w:val="24"/>
          <w:szCs w:val="24"/>
        </w:rPr>
        <w:t>, 2005)</w:t>
      </w:r>
      <w:r w:rsidRPr="00351AB1">
        <w:rPr>
          <w:rFonts w:ascii="Arial" w:hAnsi="Arial" w:cs="Arial"/>
          <w:sz w:val="24"/>
          <w:szCs w:val="24"/>
        </w:rPr>
        <w:t>. Most importantly, surveys suggest more than 100 trillion cubic feet of natural gas reserves are left untapped in the eastern Mediterranean basin between Cyprus and Israel</w:t>
      </w:r>
      <w:r w:rsidR="00C71213" w:rsidRPr="00351AB1">
        <w:rPr>
          <w:rFonts w:ascii="Arial" w:hAnsi="Arial" w:cs="Arial"/>
          <w:sz w:val="24"/>
          <w:szCs w:val="24"/>
        </w:rPr>
        <w:t xml:space="preserve"> </w:t>
      </w:r>
      <w:r w:rsidR="00431A20" w:rsidRPr="00351AB1">
        <w:rPr>
          <w:rFonts w:ascii="Arial" w:hAnsi="Arial" w:cs="Arial"/>
          <w:sz w:val="24"/>
          <w:szCs w:val="24"/>
        </w:rPr>
        <w:t>(</w:t>
      </w:r>
      <w:proofErr w:type="spellStart"/>
      <w:r w:rsidR="00C71213" w:rsidRPr="00351AB1">
        <w:rPr>
          <w:rFonts w:ascii="Arial" w:hAnsi="Arial" w:cs="Arial"/>
          <w:sz w:val="24"/>
          <w:szCs w:val="24"/>
        </w:rPr>
        <w:t>A</w:t>
      </w:r>
      <w:r w:rsidR="00431A20" w:rsidRPr="00351AB1">
        <w:rPr>
          <w:rFonts w:ascii="Arial" w:hAnsi="Arial" w:cs="Arial"/>
          <w:sz w:val="24"/>
          <w:szCs w:val="24"/>
        </w:rPr>
        <w:t>I</w:t>
      </w:r>
      <w:r w:rsidR="00C71213" w:rsidRPr="00351AB1">
        <w:rPr>
          <w:rFonts w:ascii="Arial" w:hAnsi="Arial" w:cs="Arial"/>
          <w:sz w:val="24"/>
          <w:szCs w:val="24"/>
        </w:rPr>
        <w:t>Joud</w:t>
      </w:r>
      <w:proofErr w:type="spellEnd"/>
      <w:r w:rsidR="00C71213" w:rsidRPr="00351AB1">
        <w:rPr>
          <w:rFonts w:ascii="Arial" w:hAnsi="Arial" w:cs="Arial"/>
          <w:sz w:val="24"/>
          <w:szCs w:val="24"/>
        </w:rPr>
        <w:t>, 20</w:t>
      </w:r>
      <w:r w:rsidR="00431A20" w:rsidRPr="00351AB1">
        <w:rPr>
          <w:rFonts w:ascii="Arial" w:hAnsi="Arial" w:cs="Arial"/>
          <w:sz w:val="24"/>
          <w:szCs w:val="24"/>
        </w:rPr>
        <w:t>23)</w:t>
      </w:r>
      <w:r w:rsidRPr="00351AB1">
        <w:rPr>
          <w:rFonts w:ascii="Arial" w:hAnsi="Arial" w:cs="Arial"/>
          <w:sz w:val="24"/>
          <w:szCs w:val="24"/>
        </w:rPr>
        <w:t xml:space="preserve">. This amount is vital for the world's total natural gas consumption. Like Malta, Cyprus was also under the UK administration per the Cyprus Convention </w:t>
      </w:r>
      <w:r w:rsidR="00D53D11" w:rsidRPr="00351AB1">
        <w:rPr>
          <w:rFonts w:ascii="Arial" w:hAnsi="Arial" w:cs="Arial"/>
          <w:sz w:val="24"/>
          <w:szCs w:val="24"/>
        </w:rPr>
        <w:t xml:space="preserve">of </w:t>
      </w:r>
      <w:r w:rsidRPr="00351AB1">
        <w:rPr>
          <w:rFonts w:ascii="Arial" w:hAnsi="Arial" w:cs="Arial"/>
          <w:sz w:val="24"/>
          <w:szCs w:val="24"/>
        </w:rPr>
        <w:t>1878. However, it joined the European Union on January 1st, 2008</w:t>
      </w:r>
      <w:r w:rsidR="00431A20" w:rsidRPr="00351AB1">
        <w:rPr>
          <w:rFonts w:ascii="Arial" w:hAnsi="Arial" w:cs="Arial"/>
          <w:sz w:val="24"/>
          <w:szCs w:val="24"/>
        </w:rPr>
        <w:t xml:space="preserve"> (European Union, 2024)</w:t>
      </w:r>
      <w:r w:rsidRPr="00351AB1">
        <w:rPr>
          <w:rFonts w:ascii="Arial" w:hAnsi="Arial" w:cs="Arial"/>
          <w:sz w:val="24"/>
          <w:szCs w:val="24"/>
        </w:rPr>
        <w:t>. In the case of oil consumption, this country requires 48,000 barrels per day as of December 2022. Surprisingly, the requirement for per-day gas is totally zero.</w:t>
      </w:r>
    </w:p>
    <w:p w14:paraId="132E9D14" w14:textId="77777777" w:rsidR="00DB425F" w:rsidRDefault="00764C5C" w:rsidP="00D53D11">
      <w:pPr>
        <w:spacing w:line="360" w:lineRule="auto"/>
        <w:jc w:val="both"/>
        <w:rPr>
          <w:rFonts w:ascii="Arial" w:hAnsi="Arial" w:cs="Arial"/>
          <w:sz w:val="24"/>
          <w:szCs w:val="24"/>
        </w:rPr>
      </w:pPr>
      <w:r w:rsidRPr="00351AB1">
        <w:rPr>
          <w:rFonts w:ascii="Arial" w:hAnsi="Arial" w:cs="Arial"/>
          <w:sz w:val="24"/>
          <w:szCs w:val="24"/>
        </w:rPr>
        <w:t>Hofstede's Cultural Dimensions model is a globally accepted model for understanding cultural differences between nations. Psychologist Dr. Geert Hofstede founded it at the end of the 1970s, and it is based on a decade of research by the professor</w:t>
      </w:r>
      <w:r w:rsidR="00DB2C36" w:rsidRPr="00351AB1">
        <w:rPr>
          <w:rFonts w:ascii="Arial" w:hAnsi="Arial" w:cs="Arial"/>
          <w:sz w:val="24"/>
          <w:szCs w:val="24"/>
        </w:rPr>
        <w:t xml:space="preserve"> (MindTools, 2024)</w:t>
      </w:r>
      <w:r w:rsidRPr="00351AB1">
        <w:rPr>
          <w:rFonts w:ascii="Arial" w:hAnsi="Arial" w:cs="Arial"/>
          <w:sz w:val="24"/>
          <w:szCs w:val="24"/>
        </w:rPr>
        <w:t>. This paper uses Hofstede's Cultural Dimensions to conduct a more in-depth comparison between Malta and the Republic of Cyprus. The findings are as</w:t>
      </w:r>
      <w:r w:rsidR="001902E8" w:rsidRPr="00351AB1">
        <w:rPr>
          <w:rFonts w:ascii="Arial" w:hAnsi="Arial" w:cs="Arial"/>
          <w:sz w:val="24"/>
          <w:szCs w:val="24"/>
        </w:rPr>
        <w:t xml:space="preserve"> follows</w:t>
      </w:r>
      <w:r w:rsidRPr="00351AB1">
        <w:rPr>
          <w:rFonts w:ascii="Arial" w:hAnsi="Arial" w:cs="Arial"/>
          <w:sz w:val="24"/>
          <w:szCs w:val="24"/>
        </w:rPr>
        <w:t>.</w:t>
      </w:r>
      <w:bookmarkStart w:id="3" w:name="_Toc161448084"/>
      <w:r w:rsidR="001902E8" w:rsidRPr="00351AB1">
        <w:rPr>
          <w:rFonts w:ascii="Arial" w:hAnsi="Arial" w:cs="Arial"/>
          <w:sz w:val="24"/>
          <w:szCs w:val="24"/>
        </w:rPr>
        <w:t xml:space="preserve"> </w:t>
      </w:r>
    </w:p>
    <w:p w14:paraId="2ABF55C0" w14:textId="3BD91CB2" w:rsidR="00DB425F" w:rsidRDefault="00764C5C" w:rsidP="00D53D11">
      <w:pPr>
        <w:spacing w:line="360" w:lineRule="auto"/>
        <w:jc w:val="both"/>
        <w:rPr>
          <w:rFonts w:ascii="Arial" w:hAnsi="Arial" w:cs="Arial"/>
          <w:sz w:val="24"/>
          <w:szCs w:val="24"/>
        </w:rPr>
      </w:pPr>
      <w:r w:rsidRPr="00351AB1">
        <w:rPr>
          <w:rFonts w:ascii="Arial" w:hAnsi="Arial" w:cs="Arial"/>
          <w:b/>
          <w:bCs/>
          <w:sz w:val="24"/>
          <w:szCs w:val="24"/>
        </w:rPr>
        <w:t>Power Distance Index</w:t>
      </w:r>
      <w:bookmarkEnd w:id="3"/>
      <w:r w:rsidR="00D53D11" w:rsidRPr="00351AB1">
        <w:rPr>
          <w:rFonts w:ascii="Arial" w:hAnsi="Arial" w:cs="Arial"/>
          <w:b/>
          <w:bCs/>
          <w:sz w:val="24"/>
          <w:szCs w:val="24"/>
        </w:rPr>
        <w:t>:</w:t>
      </w:r>
      <w:r w:rsidR="00D53D11" w:rsidRPr="00351AB1">
        <w:rPr>
          <w:rFonts w:ascii="Arial" w:hAnsi="Arial" w:cs="Arial"/>
          <w:sz w:val="24"/>
          <w:szCs w:val="24"/>
        </w:rPr>
        <w:t xml:space="preserve"> </w:t>
      </w:r>
      <w:r w:rsidRPr="00351AB1">
        <w:rPr>
          <w:rFonts w:ascii="Arial" w:hAnsi="Arial" w:cs="Arial"/>
          <w:sz w:val="24"/>
          <w:szCs w:val="24"/>
        </w:rPr>
        <w:t>Malta scored 56 in the power distance dimension</w:t>
      </w:r>
      <w:r w:rsidR="00E829C5" w:rsidRPr="00351AB1">
        <w:rPr>
          <w:rFonts w:ascii="Arial" w:hAnsi="Arial" w:cs="Arial"/>
          <w:sz w:val="24"/>
          <w:szCs w:val="24"/>
        </w:rPr>
        <w:t xml:space="preserve"> (Hofstede-insights, 2024)</w:t>
      </w:r>
      <w:r w:rsidRPr="00351AB1">
        <w:rPr>
          <w:rFonts w:ascii="Arial" w:hAnsi="Arial" w:cs="Arial"/>
          <w:sz w:val="24"/>
          <w:szCs w:val="24"/>
        </w:rPr>
        <w:t>. It indicates that the people of Malta have accepted a hierarchical order in which everybody has a place, and it does not require any further justification. On the other hand, Cyprus did not participate in the initial survey. Later, a survey was conducted in the country, showing that its power distance score was 75</w:t>
      </w:r>
      <w:r w:rsidR="0094378B" w:rsidRPr="00351AB1">
        <w:rPr>
          <w:rFonts w:ascii="Arial" w:hAnsi="Arial" w:cs="Arial"/>
        </w:rPr>
        <w:t xml:space="preserve"> (</w:t>
      </w:r>
      <w:r w:rsidR="0094378B" w:rsidRPr="00351AB1">
        <w:rPr>
          <w:rFonts w:ascii="Arial" w:hAnsi="Arial" w:cs="Arial"/>
          <w:sz w:val="24"/>
          <w:szCs w:val="24"/>
        </w:rPr>
        <w:t>Epaminonda, 2016)</w:t>
      </w:r>
      <w:r w:rsidRPr="00351AB1">
        <w:rPr>
          <w:rFonts w:ascii="Arial" w:hAnsi="Arial" w:cs="Arial"/>
          <w:sz w:val="24"/>
          <w:szCs w:val="24"/>
        </w:rPr>
        <w:t xml:space="preserve">. It means Cyprus follows a </w:t>
      </w:r>
      <w:proofErr w:type="gramStart"/>
      <w:r w:rsidRPr="00351AB1">
        <w:rPr>
          <w:rFonts w:ascii="Arial" w:hAnsi="Arial" w:cs="Arial"/>
          <w:sz w:val="24"/>
          <w:szCs w:val="24"/>
        </w:rPr>
        <w:t>more strict</w:t>
      </w:r>
      <w:proofErr w:type="gramEnd"/>
      <w:r w:rsidRPr="00351AB1">
        <w:rPr>
          <w:rFonts w:ascii="Arial" w:hAnsi="Arial" w:cs="Arial"/>
          <w:sz w:val="24"/>
          <w:szCs w:val="24"/>
        </w:rPr>
        <w:t xml:space="preserve"> hierarchical order than Malta.</w:t>
      </w:r>
      <w:bookmarkStart w:id="4" w:name="_Toc161448085"/>
      <w:r w:rsidR="00D53D11" w:rsidRPr="00351AB1">
        <w:rPr>
          <w:rFonts w:ascii="Arial" w:hAnsi="Arial" w:cs="Arial"/>
          <w:sz w:val="24"/>
          <w:szCs w:val="24"/>
        </w:rPr>
        <w:t xml:space="preserve"> </w:t>
      </w:r>
    </w:p>
    <w:p w14:paraId="1CB449C9" w14:textId="4B202EC1" w:rsidR="00DB425F" w:rsidRDefault="00764C5C" w:rsidP="00D53D11">
      <w:pPr>
        <w:spacing w:line="360" w:lineRule="auto"/>
        <w:jc w:val="both"/>
        <w:rPr>
          <w:rFonts w:ascii="Arial" w:hAnsi="Arial" w:cs="Arial"/>
          <w:sz w:val="24"/>
          <w:szCs w:val="24"/>
        </w:rPr>
      </w:pPr>
      <w:r w:rsidRPr="00351AB1">
        <w:rPr>
          <w:rFonts w:ascii="Arial" w:hAnsi="Arial" w:cs="Arial"/>
          <w:b/>
          <w:bCs/>
          <w:sz w:val="24"/>
          <w:szCs w:val="24"/>
        </w:rPr>
        <w:t>Individualism Versus Collectivism</w:t>
      </w:r>
      <w:bookmarkEnd w:id="4"/>
      <w:r w:rsidR="00D53D11" w:rsidRPr="00351AB1">
        <w:rPr>
          <w:rFonts w:ascii="Arial" w:hAnsi="Arial" w:cs="Arial"/>
          <w:b/>
          <w:bCs/>
          <w:sz w:val="24"/>
          <w:szCs w:val="24"/>
        </w:rPr>
        <w:t xml:space="preserve">: </w:t>
      </w:r>
      <w:r w:rsidRPr="00351AB1">
        <w:rPr>
          <w:rFonts w:ascii="Arial" w:hAnsi="Arial" w:cs="Arial"/>
          <w:sz w:val="24"/>
          <w:szCs w:val="24"/>
        </w:rPr>
        <w:t>In this criterion, Malta scored 59, indicating that individualism is higher than collectivism</w:t>
      </w:r>
      <w:r w:rsidR="0094378B" w:rsidRPr="00351AB1">
        <w:rPr>
          <w:rFonts w:ascii="Arial" w:hAnsi="Arial" w:cs="Arial"/>
          <w:sz w:val="24"/>
          <w:szCs w:val="24"/>
        </w:rPr>
        <w:t xml:space="preserve"> (Hofstede-insights, 2024)</w:t>
      </w:r>
      <w:r w:rsidRPr="00351AB1">
        <w:rPr>
          <w:rFonts w:ascii="Arial" w:hAnsi="Arial" w:cs="Arial"/>
          <w:sz w:val="24"/>
          <w:szCs w:val="24"/>
        </w:rPr>
        <w:t xml:space="preserve">. Following this, Malta's society highly accepts that individuals take care of themselves and only the close ones. It also shows that Malta people are highly inclined towards living in better </w:t>
      </w:r>
      <w:r w:rsidRPr="00351AB1">
        <w:rPr>
          <w:rFonts w:ascii="Arial" w:hAnsi="Arial" w:cs="Arial"/>
          <w:sz w:val="24"/>
          <w:szCs w:val="24"/>
        </w:rPr>
        <w:lastRenderedPageBreak/>
        <w:t>conditions, cooperating with others on the job, and having a healthy organisational culture. In this case, Cyprus's score is 42, which positions it lower than Malta's</w:t>
      </w:r>
      <w:r w:rsidR="007F25FA" w:rsidRPr="00351AB1">
        <w:rPr>
          <w:rFonts w:ascii="Arial" w:hAnsi="Arial" w:cs="Arial"/>
          <w:sz w:val="24"/>
          <w:szCs w:val="24"/>
        </w:rPr>
        <w:t xml:space="preserve"> </w:t>
      </w:r>
      <w:r w:rsidR="007F25FA" w:rsidRPr="00351AB1">
        <w:rPr>
          <w:rFonts w:ascii="Arial" w:hAnsi="Arial" w:cs="Arial"/>
        </w:rPr>
        <w:t>(</w:t>
      </w:r>
      <w:r w:rsidR="007F25FA" w:rsidRPr="00351AB1">
        <w:rPr>
          <w:rFonts w:ascii="Arial" w:hAnsi="Arial" w:cs="Arial"/>
          <w:sz w:val="24"/>
          <w:szCs w:val="24"/>
        </w:rPr>
        <w:t>Epaminonda, 2016)</w:t>
      </w:r>
      <w:r w:rsidRPr="00351AB1">
        <w:rPr>
          <w:rFonts w:ascii="Arial" w:hAnsi="Arial" w:cs="Arial"/>
          <w:sz w:val="24"/>
          <w:szCs w:val="24"/>
        </w:rPr>
        <w:t>. Cyprus people retain less value regarding rights and personal concerns than Malta.</w:t>
      </w:r>
      <w:bookmarkStart w:id="5" w:name="_Toc161448086"/>
    </w:p>
    <w:p w14:paraId="71BF189D" w14:textId="77777777" w:rsidR="00DB425F" w:rsidRDefault="00D53D11" w:rsidP="00D53D11">
      <w:pPr>
        <w:spacing w:line="360" w:lineRule="auto"/>
        <w:jc w:val="both"/>
        <w:rPr>
          <w:rFonts w:ascii="Arial" w:hAnsi="Arial" w:cs="Arial"/>
          <w:sz w:val="24"/>
          <w:szCs w:val="24"/>
        </w:rPr>
      </w:pPr>
      <w:r w:rsidRPr="00351AB1">
        <w:rPr>
          <w:rFonts w:ascii="Arial" w:hAnsi="Arial" w:cs="Arial"/>
          <w:sz w:val="24"/>
          <w:szCs w:val="24"/>
        </w:rPr>
        <w:t xml:space="preserve"> </w:t>
      </w:r>
      <w:r w:rsidR="00764C5C" w:rsidRPr="00351AB1">
        <w:rPr>
          <w:rFonts w:ascii="Arial" w:hAnsi="Arial" w:cs="Arial"/>
          <w:b/>
          <w:bCs/>
          <w:sz w:val="24"/>
          <w:szCs w:val="24"/>
        </w:rPr>
        <w:t>Masculinity Vs. Femininity</w:t>
      </w:r>
      <w:bookmarkEnd w:id="5"/>
      <w:r w:rsidRPr="00351AB1">
        <w:rPr>
          <w:rFonts w:ascii="Arial" w:hAnsi="Arial" w:cs="Arial"/>
          <w:b/>
          <w:bCs/>
          <w:sz w:val="24"/>
          <w:szCs w:val="24"/>
        </w:rPr>
        <w:t xml:space="preserve">: </w:t>
      </w:r>
      <w:r w:rsidR="00764C5C" w:rsidRPr="00351AB1">
        <w:rPr>
          <w:rFonts w:ascii="Arial" w:hAnsi="Arial" w:cs="Arial"/>
          <w:sz w:val="24"/>
          <w:szCs w:val="24"/>
        </w:rPr>
        <w:t>Cyprus' masculinity score was 58, which is considered a position between medium and high in the case of the Masculinity vs. femininity index</w:t>
      </w:r>
      <w:r w:rsidR="007F25FA" w:rsidRPr="00351AB1">
        <w:rPr>
          <w:rFonts w:ascii="Arial" w:hAnsi="Arial" w:cs="Arial"/>
          <w:sz w:val="24"/>
          <w:szCs w:val="24"/>
        </w:rPr>
        <w:t xml:space="preserve"> </w:t>
      </w:r>
      <w:r w:rsidR="007F25FA" w:rsidRPr="00351AB1">
        <w:rPr>
          <w:rFonts w:ascii="Arial" w:hAnsi="Arial" w:cs="Arial"/>
        </w:rPr>
        <w:t>(</w:t>
      </w:r>
      <w:r w:rsidR="007F25FA" w:rsidRPr="00351AB1">
        <w:rPr>
          <w:rFonts w:ascii="Arial" w:hAnsi="Arial" w:cs="Arial"/>
          <w:sz w:val="24"/>
          <w:szCs w:val="24"/>
        </w:rPr>
        <w:t>Epaminonda, 2016)</w:t>
      </w:r>
      <w:r w:rsidR="00764C5C" w:rsidRPr="00351AB1">
        <w:rPr>
          <w:rFonts w:ascii="Arial" w:hAnsi="Arial" w:cs="Arial"/>
          <w:sz w:val="24"/>
          <w:szCs w:val="24"/>
        </w:rPr>
        <w:t xml:space="preserve">. On the contrary, Malta scored 47 in </w:t>
      </w:r>
      <w:proofErr w:type="gramStart"/>
      <w:r w:rsidR="00764C5C" w:rsidRPr="00351AB1">
        <w:rPr>
          <w:rFonts w:ascii="Arial" w:hAnsi="Arial" w:cs="Arial"/>
          <w:sz w:val="24"/>
          <w:szCs w:val="24"/>
        </w:rPr>
        <w:t>this criteria</w:t>
      </w:r>
      <w:r w:rsidR="0094378B" w:rsidRPr="00351AB1">
        <w:rPr>
          <w:rFonts w:ascii="Arial" w:hAnsi="Arial" w:cs="Arial"/>
          <w:sz w:val="24"/>
          <w:szCs w:val="24"/>
        </w:rPr>
        <w:t xml:space="preserve"> (Hofstede-insights, 2024)</w:t>
      </w:r>
      <w:proofErr w:type="gramEnd"/>
      <w:r w:rsidR="00764C5C" w:rsidRPr="00351AB1">
        <w:rPr>
          <w:rFonts w:ascii="Arial" w:hAnsi="Arial" w:cs="Arial"/>
          <w:sz w:val="24"/>
          <w:szCs w:val="24"/>
        </w:rPr>
        <w:t>. So, for this country, it is tough to decide the people of Malta's attitude towards </w:t>
      </w:r>
      <w:r w:rsidR="00764C5C" w:rsidRPr="00351AB1">
        <w:rPr>
          <w:rFonts w:ascii="Arial" w:hAnsi="Arial" w:cs="Arial"/>
          <w:bCs/>
          <w:iCs/>
          <w:sz w:val="24"/>
          <w:szCs w:val="24"/>
        </w:rPr>
        <w:t>caring and nurturing behaviours, sexuality equality, environmental awareness, and more fluid</w:t>
      </w:r>
      <w:r w:rsidR="00764C5C" w:rsidRPr="00351AB1">
        <w:rPr>
          <w:rFonts w:ascii="Arial" w:hAnsi="Arial" w:cs="Arial"/>
          <w:sz w:val="24"/>
          <w:szCs w:val="24"/>
        </w:rPr>
        <w:t> gender roles. However, as per the law and social practices, Malta is a gender-equality country.</w:t>
      </w:r>
      <w:bookmarkStart w:id="6" w:name="_Toc161448087"/>
      <w:r w:rsidRPr="00351AB1">
        <w:rPr>
          <w:rFonts w:ascii="Arial" w:hAnsi="Arial" w:cs="Arial"/>
          <w:sz w:val="24"/>
          <w:szCs w:val="24"/>
        </w:rPr>
        <w:t xml:space="preserve"> </w:t>
      </w:r>
    </w:p>
    <w:p w14:paraId="5FDCA46D" w14:textId="77777777" w:rsidR="00DB425F" w:rsidRDefault="00764C5C" w:rsidP="00D53D11">
      <w:pPr>
        <w:spacing w:line="360" w:lineRule="auto"/>
        <w:jc w:val="both"/>
        <w:rPr>
          <w:rFonts w:ascii="Arial" w:hAnsi="Arial" w:cs="Arial"/>
          <w:sz w:val="24"/>
          <w:szCs w:val="24"/>
        </w:rPr>
      </w:pPr>
      <w:r w:rsidRPr="00351AB1">
        <w:rPr>
          <w:rFonts w:ascii="Arial" w:hAnsi="Arial" w:cs="Arial"/>
          <w:b/>
          <w:bCs/>
          <w:sz w:val="24"/>
          <w:szCs w:val="24"/>
        </w:rPr>
        <w:t>Uncertainty Avoidance Index</w:t>
      </w:r>
      <w:bookmarkEnd w:id="6"/>
      <w:r w:rsidR="00D53D11" w:rsidRPr="00351AB1">
        <w:rPr>
          <w:rFonts w:ascii="Arial" w:hAnsi="Arial" w:cs="Arial"/>
          <w:b/>
          <w:bCs/>
          <w:sz w:val="24"/>
          <w:szCs w:val="24"/>
        </w:rPr>
        <w:t xml:space="preserve">: </w:t>
      </w:r>
      <w:r w:rsidRPr="00351AB1">
        <w:rPr>
          <w:rFonts w:ascii="Arial" w:hAnsi="Arial" w:cs="Arial"/>
          <w:sz w:val="24"/>
          <w:szCs w:val="24"/>
        </w:rPr>
        <w:t>In this case, Cyprus's score is 115, the highest in the world</w:t>
      </w:r>
      <w:r w:rsidR="007F25FA" w:rsidRPr="00351AB1">
        <w:rPr>
          <w:rFonts w:ascii="Arial" w:hAnsi="Arial" w:cs="Arial"/>
          <w:sz w:val="24"/>
          <w:szCs w:val="24"/>
        </w:rPr>
        <w:t xml:space="preserve"> </w:t>
      </w:r>
      <w:r w:rsidR="007F25FA" w:rsidRPr="00351AB1">
        <w:rPr>
          <w:rFonts w:ascii="Arial" w:hAnsi="Arial" w:cs="Arial"/>
        </w:rPr>
        <w:t>(</w:t>
      </w:r>
      <w:r w:rsidR="007F25FA" w:rsidRPr="00351AB1">
        <w:rPr>
          <w:rFonts w:ascii="Arial" w:hAnsi="Arial" w:cs="Arial"/>
          <w:sz w:val="24"/>
          <w:szCs w:val="24"/>
        </w:rPr>
        <w:t>Epaminonda, 2016)</w:t>
      </w:r>
      <w:r w:rsidRPr="00351AB1">
        <w:rPr>
          <w:rFonts w:ascii="Arial" w:hAnsi="Arial" w:cs="Arial"/>
          <w:sz w:val="24"/>
          <w:szCs w:val="24"/>
        </w:rPr>
        <w:t xml:space="preserve">. It indicates that employees are not willing to take personal risks in business communications and activities. They are highly unavoidable to unorthodox decisions. </w:t>
      </w:r>
      <w:proofErr w:type="gramStart"/>
      <w:r w:rsidRPr="00351AB1">
        <w:rPr>
          <w:rFonts w:ascii="Arial" w:hAnsi="Arial" w:cs="Arial"/>
          <w:sz w:val="24"/>
          <w:szCs w:val="24"/>
        </w:rPr>
        <w:t>Whereas,</w:t>
      </w:r>
      <w:proofErr w:type="gramEnd"/>
      <w:r w:rsidRPr="00351AB1">
        <w:rPr>
          <w:rFonts w:ascii="Arial" w:hAnsi="Arial" w:cs="Arial"/>
          <w:sz w:val="24"/>
          <w:szCs w:val="24"/>
        </w:rPr>
        <w:t xml:space="preserve"> Malta's uncertainty avoidance index is 96</w:t>
      </w:r>
      <w:r w:rsidR="0094378B" w:rsidRPr="00351AB1">
        <w:rPr>
          <w:rFonts w:ascii="Arial" w:hAnsi="Arial" w:cs="Arial"/>
          <w:sz w:val="24"/>
          <w:szCs w:val="24"/>
        </w:rPr>
        <w:t xml:space="preserve"> (Hofstede-insights, 2024)</w:t>
      </w:r>
      <w:r w:rsidRPr="00351AB1">
        <w:rPr>
          <w:rFonts w:ascii="Arial" w:hAnsi="Arial" w:cs="Arial"/>
          <w:sz w:val="24"/>
          <w:szCs w:val="24"/>
        </w:rPr>
        <w:t>. Following this, it can be said that employees of Malta are also not willing to take personal risks and want to function within the organisation's rules and governances.</w:t>
      </w:r>
      <w:bookmarkStart w:id="7" w:name="_Toc161448088"/>
      <w:r w:rsidR="00D53D11" w:rsidRPr="00351AB1">
        <w:rPr>
          <w:rFonts w:ascii="Arial" w:hAnsi="Arial" w:cs="Arial"/>
          <w:sz w:val="24"/>
          <w:szCs w:val="24"/>
        </w:rPr>
        <w:t xml:space="preserve"> </w:t>
      </w:r>
    </w:p>
    <w:p w14:paraId="1ACA5AA6" w14:textId="7E4CB585" w:rsidR="00764C5C" w:rsidRPr="00351AB1" w:rsidRDefault="00764C5C" w:rsidP="00D53D11">
      <w:pPr>
        <w:spacing w:line="360" w:lineRule="auto"/>
        <w:jc w:val="both"/>
        <w:rPr>
          <w:rFonts w:ascii="Arial" w:hAnsi="Arial" w:cs="Arial"/>
          <w:sz w:val="24"/>
          <w:szCs w:val="24"/>
        </w:rPr>
      </w:pPr>
      <w:r w:rsidRPr="00351AB1">
        <w:rPr>
          <w:rFonts w:ascii="Arial" w:hAnsi="Arial" w:cs="Arial"/>
          <w:b/>
          <w:bCs/>
          <w:sz w:val="24"/>
          <w:szCs w:val="24"/>
        </w:rPr>
        <w:t>Long- Versus Short-Term Orientation</w:t>
      </w:r>
      <w:bookmarkEnd w:id="7"/>
      <w:r w:rsidR="00D53D11" w:rsidRPr="00351AB1">
        <w:rPr>
          <w:rFonts w:ascii="Arial" w:hAnsi="Arial" w:cs="Arial"/>
          <w:b/>
          <w:bCs/>
          <w:sz w:val="24"/>
          <w:szCs w:val="24"/>
        </w:rPr>
        <w:t xml:space="preserve">: </w:t>
      </w:r>
      <w:r w:rsidRPr="00351AB1">
        <w:rPr>
          <w:rFonts w:ascii="Arial" w:hAnsi="Arial" w:cs="Arial"/>
          <w:sz w:val="24"/>
          <w:szCs w:val="24"/>
        </w:rPr>
        <w:t>Long-term orientation focuses on the future, and the associated cultural emphasis on persistence, perseverance, and adaptability is highly beneficial for an organisation. In this dimension, Cyprus's score is 59 and Malta's is 47</w:t>
      </w:r>
      <w:r w:rsidR="0094378B" w:rsidRPr="00351AB1">
        <w:rPr>
          <w:rFonts w:ascii="Arial" w:hAnsi="Arial" w:cs="Arial"/>
          <w:sz w:val="24"/>
          <w:szCs w:val="24"/>
        </w:rPr>
        <w:t xml:space="preserve"> (Hofstede-insights, 2024)</w:t>
      </w:r>
      <w:r w:rsidRPr="00351AB1">
        <w:rPr>
          <w:rFonts w:ascii="Arial" w:hAnsi="Arial" w:cs="Arial"/>
          <w:sz w:val="24"/>
          <w:szCs w:val="24"/>
        </w:rPr>
        <w:t>. So, it can be said that Cyprus is a good choice for an organisation's long-term objectives. However, in this case, the average score is 46</w:t>
      </w:r>
      <w:r w:rsidR="007F25FA" w:rsidRPr="00351AB1">
        <w:rPr>
          <w:rFonts w:ascii="Arial" w:hAnsi="Arial" w:cs="Arial"/>
          <w:sz w:val="24"/>
          <w:szCs w:val="24"/>
        </w:rPr>
        <w:t xml:space="preserve"> </w:t>
      </w:r>
      <w:r w:rsidR="007F25FA" w:rsidRPr="00351AB1">
        <w:rPr>
          <w:rFonts w:ascii="Arial" w:hAnsi="Arial" w:cs="Arial"/>
        </w:rPr>
        <w:t>(</w:t>
      </w:r>
      <w:r w:rsidR="007F25FA" w:rsidRPr="00351AB1">
        <w:rPr>
          <w:rFonts w:ascii="Arial" w:hAnsi="Arial" w:cs="Arial"/>
          <w:sz w:val="24"/>
          <w:szCs w:val="24"/>
        </w:rPr>
        <w:t>Epaminonda, 2016)</w:t>
      </w:r>
      <w:r w:rsidRPr="00351AB1">
        <w:rPr>
          <w:rFonts w:ascii="Arial" w:hAnsi="Arial" w:cs="Arial"/>
          <w:sz w:val="24"/>
          <w:szCs w:val="24"/>
        </w:rPr>
        <w:t>.</w:t>
      </w:r>
    </w:p>
    <w:p w14:paraId="5438355A" w14:textId="77777777" w:rsidR="00DB425F" w:rsidRDefault="00764C5C" w:rsidP="00D32C51">
      <w:pPr>
        <w:spacing w:line="360" w:lineRule="auto"/>
        <w:jc w:val="both"/>
        <w:rPr>
          <w:rFonts w:ascii="Arial" w:hAnsi="Arial" w:cs="Arial"/>
          <w:sz w:val="24"/>
          <w:szCs w:val="24"/>
        </w:rPr>
      </w:pPr>
      <w:r w:rsidRPr="00351AB1">
        <w:rPr>
          <w:rFonts w:ascii="Arial" w:hAnsi="Arial" w:cs="Arial"/>
          <w:sz w:val="24"/>
          <w:szCs w:val="24"/>
        </w:rPr>
        <w:t xml:space="preserve">In this comparison between Malta and the Republic of Cyprus </w:t>
      </w:r>
      <w:r w:rsidR="00D53D11" w:rsidRPr="00351AB1">
        <w:rPr>
          <w:rFonts w:ascii="Arial" w:hAnsi="Arial" w:cs="Arial"/>
          <w:sz w:val="24"/>
          <w:szCs w:val="24"/>
        </w:rPr>
        <w:t>regarding</w:t>
      </w:r>
      <w:r w:rsidRPr="00351AB1">
        <w:rPr>
          <w:rFonts w:ascii="Arial" w:hAnsi="Arial" w:cs="Arial"/>
          <w:sz w:val="24"/>
          <w:szCs w:val="24"/>
        </w:rPr>
        <w:t xml:space="preserve"> communication barriers, four parameters have been considered: language, cultural norms, political context, and legal procedures. The following side-by-side comparisons of these four criteria assist in finding how suitable each country will be in the case of internal and external communication for Shell's business and operation.</w:t>
      </w:r>
      <w:bookmarkStart w:id="8" w:name="_Toc161448090"/>
      <w:r w:rsidR="00D32C51" w:rsidRPr="00351AB1">
        <w:rPr>
          <w:rFonts w:ascii="Arial" w:hAnsi="Arial" w:cs="Arial"/>
          <w:sz w:val="24"/>
          <w:szCs w:val="24"/>
        </w:rPr>
        <w:t xml:space="preserve"> </w:t>
      </w:r>
      <w:r w:rsidRPr="00351AB1">
        <w:rPr>
          <w:rFonts w:ascii="Arial" w:hAnsi="Arial" w:cs="Arial"/>
          <w:b/>
          <w:bCs/>
          <w:sz w:val="24"/>
          <w:szCs w:val="24"/>
        </w:rPr>
        <w:t>Language</w:t>
      </w:r>
      <w:bookmarkEnd w:id="8"/>
      <w:r w:rsidR="00D53D11" w:rsidRPr="00351AB1">
        <w:rPr>
          <w:rFonts w:ascii="Arial" w:hAnsi="Arial" w:cs="Arial"/>
          <w:b/>
          <w:bCs/>
          <w:sz w:val="24"/>
          <w:szCs w:val="24"/>
        </w:rPr>
        <w:t xml:space="preserve">: </w:t>
      </w:r>
      <w:r w:rsidRPr="00351AB1">
        <w:rPr>
          <w:rFonts w:ascii="Arial" w:hAnsi="Arial" w:cs="Arial"/>
          <w:sz w:val="24"/>
          <w:szCs w:val="24"/>
        </w:rPr>
        <w:t xml:space="preserve">English is widely used in both countries as both are </w:t>
      </w:r>
      <w:r w:rsidR="00D32C51" w:rsidRPr="00351AB1">
        <w:rPr>
          <w:rFonts w:ascii="Arial" w:hAnsi="Arial" w:cs="Arial"/>
          <w:sz w:val="24"/>
          <w:szCs w:val="24"/>
        </w:rPr>
        <w:t>tourist</w:t>
      </w:r>
      <w:r w:rsidRPr="00351AB1">
        <w:rPr>
          <w:rFonts w:ascii="Arial" w:hAnsi="Arial" w:cs="Arial"/>
          <w:sz w:val="24"/>
          <w:szCs w:val="24"/>
        </w:rPr>
        <w:t xml:space="preserve"> countries. However, the people of Malta also use Maltese and English officially</w:t>
      </w:r>
      <w:r w:rsidR="007F25FA" w:rsidRPr="00351AB1">
        <w:rPr>
          <w:rFonts w:ascii="Arial" w:hAnsi="Arial" w:cs="Arial"/>
          <w:sz w:val="24"/>
          <w:szCs w:val="24"/>
        </w:rPr>
        <w:t xml:space="preserve"> (</w:t>
      </w:r>
      <w:proofErr w:type="spellStart"/>
      <w:r w:rsidR="007F25FA" w:rsidRPr="00351AB1">
        <w:rPr>
          <w:rFonts w:ascii="Arial" w:hAnsi="Arial" w:cs="Arial"/>
          <w:sz w:val="24"/>
          <w:szCs w:val="24"/>
        </w:rPr>
        <w:t>Vcmsmaltarentals</w:t>
      </w:r>
      <w:proofErr w:type="spellEnd"/>
      <w:r w:rsidR="007F25FA" w:rsidRPr="00351AB1">
        <w:rPr>
          <w:rFonts w:ascii="Arial" w:hAnsi="Arial" w:cs="Arial"/>
          <w:sz w:val="24"/>
          <w:szCs w:val="24"/>
        </w:rPr>
        <w:t>, 2024)</w:t>
      </w:r>
      <w:r w:rsidRPr="00351AB1">
        <w:rPr>
          <w:rFonts w:ascii="Arial" w:hAnsi="Arial" w:cs="Arial"/>
          <w:sz w:val="24"/>
          <w:szCs w:val="24"/>
        </w:rPr>
        <w:t>. On the other hand, in Cyprus, Greek and Turkish are the official languages.</w:t>
      </w:r>
      <w:bookmarkStart w:id="9" w:name="_Toc161448091"/>
      <w:r w:rsidR="00D32C51" w:rsidRPr="00351AB1">
        <w:rPr>
          <w:rFonts w:ascii="Arial" w:hAnsi="Arial" w:cs="Arial"/>
          <w:sz w:val="24"/>
          <w:szCs w:val="24"/>
        </w:rPr>
        <w:t xml:space="preserve"> </w:t>
      </w:r>
    </w:p>
    <w:p w14:paraId="078DEAE0" w14:textId="77777777" w:rsidR="00DB425F" w:rsidRDefault="00764C5C" w:rsidP="00D32C51">
      <w:pPr>
        <w:spacing w:line="360" w:lineRule="auto"/>
        <w:jc w:val="both"/>
        <w:rPr>
          <w:rFonts w:ascii="Arial" w:hAnsi="Arial" w:cs="Arial"/>
          <w:sz w:val="24"/>
          <w:szCs w:val="24"/>
        </w:rPr>
      </w:pPr>
      <w:r w:rsidRPr="00351AB1">
        <w:rPr>
          <w:rFonts w:ascii="Arial" w:hAnsi="Arial" w:cs="Arial"/>
          <w:b/>
          <w:bCs/>
          <w:sz w:val="24"/>
          <w:szCs w:val="24"/>
        </w:rPr>
        <w:lastRenderedPageBreak/>
        <w:t>Cultural Norms</w:t>
      </w:r>
      <w:bookmarkEnd w:id="9"/>
      <w:r w:rsidR="00D53D11" w:rsidRPr="00351AB1">
        <w:rPr>
          <w:rFonts w:ascii="Arial" w:hAnsi="Arial" w:cs="Arial"/>
          <w:b/>
          <w:bCs/>
          <w:sz w:val="24"/>
          <w:szCs w:val="24"/>
        </w:rPr>
        <w:t xml:space="preserve">: </w:t>
      </w:r>
      <w:r w:rsidRPr="00351AB1">
        <w:rPr>
          <w:rFonts w:ascii="Arial" w:hAnsi="Arial" w:cs="Arial"/>
          <w:sz w:val="24"/>
          <w:szCs w:val="24"/>
        </w:rPr>
        <w:t>Malta and Cyprus, both countries were ruled by multiple kingdoms, including the British. In particular, Malta's culture is highly influenced by the Indian subcontinent, Arabic, Italian, and British. On the other hand, Cyprus's cultural norms are influenced by British, Turkish, and Greek</w:t>
      </w:r>
      <w:r w:rsidR="001C3F33" w:rsidRPr="00351AB1">
        <w:rPr>
          <w:rFonts w:ascii="Arial" w:hAnsi="Arial" w:cs="Arial"/>
          <w:sz w:val="24"/>
          <w:szCs w:val="24"/>
        </w:rPr>
        <w:t xml:space="preserve"> (Evason, 2018)</w:t>
      </w:r>
      <w:r w:rsidRPr="00351AB1">
        <w:rPr>
          <w:rFonts w:ascii="Arial" w:hAnsi="Arial" w:cs="Arial"/>
          <w:sz w:val="24"/>
          <w:szCs w:val="24"/>
        </w:rPr>
        <w:t>. So, it can be said that Malta's people live in a more diversified society and possess a more adaptable mindset than the Cyprus people.</w:t>
      </w:r>
      <w:bookmarkStart w:id="10" w:name="_Toc161448092"/>
      <w:r w:rsidR="00D32C51" w:rsidRPr="00351AB1">
        <w:rPr>
          <w:rFonts w:ascii="Arial" w:hAnsi="Arial" w:cs="Arial"/>
          <w:sz w:val="24"/>
          <w:szCs w:val="24"/>
        </w:rPr>
        <w:t xml:space="preserve"> </w:t>
      </w:r>
    </w:p>
    <w:p w14:paraId="237C6848" w14:textId="77777777" w:rsidR="00DB425F" w:rsidRDefault="00764C5C" w:rsidP="00D32C51">
      <w:pPr>
        <w:spacing w:line="360" w:lineRule="auto"/>
        <w:jc w:val="both"/>
        <w:rPr>
          <w:rFonts w:ascii="Arial" w:hAnsi="Arial" w:cs="Arial"/>
          <w:sz w:val="24"/>
          <w:szCs w:val="24"/>
        </w:rPr>
      </w:pPr>
      <w:r w:rsidRPr="00351AB1">
        <w:rPr>
          <w:rFonts w:ascii="Arial" w:hAnsi="Arial" w:cs="Arial"/>
          <w:b/>
          <w:bCs/>
          <w:sz w:val="24"/>
          <w:szCs w:val="24"/>
        </w:rPr>
        <w:t>Political Context</w:t>
      </w:r>
      <w:bookmarkEnd w:id="10"/>
      <w:r w:rsidR="00D32C51" w:rsidRPr="00351AB1">
        <w:rPr>
          <w:rFonts w:ascii="Arial" w:hAnsi="Arial" w:cs="Arial"/>
          <w:b/>
          <w:bCs/>
          <w:sz w:val="24"/>
          <w:szCs w:val="24"/>
        </w:rPr>
        <w:t xml:space="preserve">: </w:t>
      </w:r>
      <w:r w:rsidRPr="00351AB1">
        <w:rPr>
          <w:rFonts w:ascii="Arial" w:hAnsi="Arial" w:cs="Arial"/>
          <w:sz w:val="24"/>
          <w:szCs w:val="24"/>
        </w:rPr>
        <w:t>The Greek Cypriot community runs Cyprus. Historically, its society has been divided into two parts: Greek Cypriots and Turkish Cypriots. This differential context critically influences the political situation and stability of the country</w:t>
      </w:r>
      <w:r w:rsidR="007A0A9F" w:rsidRPr="00351AB1">
        <w:rPr>
          <w:rFonts w:ascii="Arial" w:hAnsi="Arial" w:cs="Arial"/>
          <w:sz w:val="24"/>
          <w:szCs w:val="24"/>
        </w:rPr>
        <w:t xml:space="preserve"> (</w:t>
      </w:r>
      <w:proofErr w:type="spellStart"/>
      <w:r w:rsidR="007A0A9F" w:rsidRPr="00351AB1">
        <w:rPr>
          <w:rFonts w:ascii="Arial" w:hAnsi="Arial" w:cs="Arial"/>
          <w:sz w:val="24"/>
          <w:szCs w:val="24"/>
        </w:rPr>
        <w:t>Crisisgroup</w:t>
      </w:r>
      <w:proofErr w:type="spellEnd"/>
      <w:r w:rsidR="007A0A9F" w:rsidRPr="00351AB1">
        <w:rPr>
          <w:rFonts w:ascii="Arial" w:hAnsi="Arial" w:cs="Arial"/>
          <w:sz w:val="24"/>
          <w:szCs w:val="24"/>
        </w:rPr>
        <w:t>, 2023)</w:t>
      </w:r>
      <w:r w:rsidRPr="00351AB1">
        <w:rPr>
          <w:rFonts w:ascii="Arial" w:hAnsi="Arial" w:cs="Arial"/>
          <w:sz w:val="24"/>
          <w:szCs w:val="24"/>
        </w:rPr>
        <w:t>. On the other hand, Malta is a politically peaceful country compared to Cyprus.</w:t>
      </w:r>
      <w:bookmarkStart w:id="11" w:name="_Toc161448093"/>
      <w:r w:rsidR="00D32C51" w:rsidRPr="00351AB1">
        <w:rPr>
          <w:rFonts w:ascii="Arial" w:hAnsi="Arial" w:cs="Arial"/>
          <w:sz w:val="24"/>
          <w:szCs w:val="24"/>
        </w:rPr>
        <w:t xml:space="preserve"> </w:t>
      </w:r>
    </w:p>
    <w:p w14:paraId="10E3B19F" w14:textId="6A784859" w:rsidR="00764C5C" w:rsidRPr="00351AB1" w:rsidRDefault="00764C5C" w:rsidP="00D32C51">
      <w:pPr>
        <w:spacing w:line="360" w:lineRule="auto"/>
        <w:jc w:val="both"/>
        <w:rPr>
          <w:rFonts w:ascii="Arial" w:hAnsi="Arial" w:cs="Arial"/>
          <w:sz w:val="24"/>
          <w:szCs w:val="24"/>
        </w:rPr>
      </w:pPr>
      <w:r w:rsidRPr="00351AB1">
        <w:rPr>
          <w:rFonts w:ascii="Arial" w:hAnsi="Arial" w:cs="Arial"/>
          <w:b/>
          <w:bCs/>
          <w:sz w:val="24"/>
          <w:szCs w:val="24"/>
        </w:rPr>
        <w:t>Legal Issues</w:t>
      </w:r>
      <w:bookmarkEnd w:id="11"/>
      <w:r w:rsidR="00D32C51" w:rsidRPr="00351AB1">
        <w:rPr>
          <w:rFonts w:ascii="Arial" w:hAnsi="Arial" w:cs="Arial"/>
          <w:b/>
          <w:bCs/>
          <w:sz w:val="24"/>
          <w:szCs w:val="24"/>
        </w:rPr>
        <w:t xml:space="preserve">: </w:t>
      </w:r>
      <w:r w:rsidRPr="00351AB1">
        <w:rPr>
          <w:rFonts w:ascii="Arial" w:hAnsi="Arial" w:cs="Arial"/>
          <w:sz w:val="24"/>
          <w:szCs w:val="24"/>
        </w:rPr>
        <w:t xml:space="preserve">In this case, both considered countries fall into the same criteria. Both countries welcome foreign investments while offering competitive taxations. However, to import oil in Cyprus, a company need to pay 19% VAT, and in </w:t>
      </w:r>
      <w:proofErr w:type="spellStart"/>
      <w:r w:rsidRPr="00351AB1">
        <w:rPr>
          <w:rFonts w:ascii="Arial" w:hAnsi="Arial" w:cs="Arial"/>
          <w:sz w:val="24"/>
          <w:szCs w:val="24"/>
        </w:rPr>
        <w:t>Maltal</w:t>
      </w:r>
      <w:proofErr w:type="spellEnd"/>
      <w:r w:rsidRPr="00351AB1">
        <w:rPr>
          <w:rFonts w:ascii="Arial" w:hAnsi="Arial" w:cs="Arial"/>
          <w:sz w:val="24"/>
          <w:szCs w:val="24"/>
        </w:rPr>
        <w:t xml:space="preserve"> this VAT is 18%</w:t>
      </w:r>
      <w:r w:rsidR="00A65357" w:rsidRPr="00351AB1">
        <w:rPr>
          <w:rFonts w:ascii="Arial" w:hAnsi="Arial" w:cs="Arial"/>
          <w:sz w:val="24"/>
          <w:szCs w:val="24"/>
        </w:rPr>
        <w:t xml:space="preserve"> </w:t>
      </w:r>
      <w:r w:rsidR="00CC6050" w:rsidRPr="00351AB1">
        <w:rPr>
          <w:rFonts w:ascii="Arial" w:hAnsi="Arial" w:cs="Arial"/>
          <w:sz w:val="24"/>
          <w:szCs w:val="24"/>
        </w:rPr>
        <w:t>(</w:t>
      </w:r>
      <w:r w:rsidR="00A65357" w:rsidRPr="00351AB1">
        <w:rPr>
          <w:rFonts w:ascii="Arial" w:hAnsi="Arial" w:cs="Arial"/>
          <w:sz w:val="24"/>
          <w:szCs w:val="24"/>
        </w:rPr>
        <w:t>Global VAT Compliance, 2021)</w:t>
      </w:r>
      <w:r w:rsidRPr="00351AB1">
        <w:rPr>
          <w:rFonts w:ascii="Arial" w:hAnsi="Arial" w:cs="Arial"/>
          <w:sz w:val="24"/>
          <w:szCs w:val="24"/>
        </w:rPr>
        <w:t>.</w:t>
      </w:r>
    </w:p>
    <w:p w14:paraId="418531EA" w14:textId="77777777" w:rsidR="00DB425F" w:rsidRDefault="00764C5C" w:rsidP="00D32C51">
      <w:pPr>
        <w:spacing w:line="360" w:lineRule="auto"/>
        <w:jc w:val="both"/>
        <w:rPr>
          <w:rFonts w:ascii="Arial" w:hAnsi="Arial" w:cs="Arial"/>
          <w:b/>
          <w:bCs/>
          <w:sz w:val="28"/>
          <w:szCs w:val="28"/>
        </w:rPr>
      </w:pPr>
      <w:r w:rsidRPr="00351AB1">
        <w:rPr>
          <w:rFonts w:ascii="Arial" w:hAnsi="Arial" w:cs="Arial"/>
          <w:sz w:val="24"/>
          <w:szCs w:val="24"/>
        </w:rPr>
        <w:t xml:space="preserve">In consideration of all the factors discussed, the recommendation </w:t>
      </w:r>
      <w:proofErr w:type="spellStart"/>
      <w:r w:rsidRPr="00351AB1">
        <w:rPr>
          <w:rFonts w:ascii="Arial" w:hAnsi="Arial" w:cs="Arial"/>
          <w:sz w:val="24"/>
          <w:szCs w:val="24"/>
        </w:rPr>
        <w:t>favours</w:t>
      </w:r>
      <w:proofErr w:type="spellEnd"/>
      <w:r w:rsidRPr="00351AB1">
        <w:rPr>
          <w:rFonts w:ascii="Arial" w:hAnsi="Arial" w:cs="Arial"/>
          <w:sz w:val="24"/>
          <w:szCs w:val="24"/>
        </w:rPr>
        <w:t xml:space="preserve"> the expansion of Shell Plc in Malta. The reasons are listed </w:t>
      </w:r>
      <w:r w:rsidR="00D32C51" w:rsidRPr="00351AB1">
        <w:rPr>
          <w:rFonts w:ascii="Arial" w:hAnsi="Arial" w:cs="Arial"/>
          <w:sz w:val="24"/>
          <w:szCs w:val="24"/>
        </w:rPr>
        <w:t>here</w:t>
      </w:r>
      <w:r w:rsidRPr="00351AB1">
        <w:rPr>
          <w:rFonts w:ascii="Arial" w:hAnsi="Arial" w:cs="Arial"/>
          <w:sz w:val="24"/>
          <w:szCs w:val="24"/>
        </w:rPr>
        <w:t>.</w:t>
      </w:r>
      <w:bookmarkStart w:id="12" w:name="_Toc161448095"/>
      <w:r w:rsidR="00D32C51" w:rsidRPr="00351AB1">
        <w:rPr>
          <w:rFonts w:ascii="Arial" w:hAnsi="Arial" w:cs="Arial"/>
          <w:b/>
          <w:bCs/>
          <w:sz w:val="28"/>
          <w:szCs w:val="28"/>
        </w:rPr>
        <w:t xml:space="preserve"> </w:t>
      </w:r>
    </w:p>
    <w:p w14:paraId="7DCD7995" w14:textId="76B965D9" w:rsidR="00764C5C" w:rsidRPr="00351AB1" w:rsidRDefault="00764C5C" w:rsidP="00D32C51">
      <w:pPr>
        <w:spacing w:line="360" w:lineRule="auto"/>
        <w:jc w:val="both"/>
        <w:rPr>
          <w:rFonts w:ascii="Arial" w:hAnsi="Arial" w:cs="Arial"/>
          <w:b/>
          <w:bCs/>
          <w:sz w:val="28"/>
          <w:szCs w:val="28"/>
        </w:rPr>
      </w:pPr>
      <w:r w:rsidRPr="00351AB1">
        <w:rPr>
          <w:rFonts w:ascii="Arial" w:hAnsi="Arial" w:cs="Arial"/>
          <w:b/>
          <w:bCs/>
          <w:sz w:val="24"/>
          <w:szCs w:val="24"/>
        </w:rPr>
        <w:t>Business Opportunities</w:t>
      </w:r>
      <w:bookmarkEnd w:id="12"/>
      <w:r w:rsidR="00D32C51" w:rsidRPr="00351AB1">
        <w:rPr>
          <w:rFonts w:ascii="Arial" w:hAnsi="Arial" w:cs="Arial"/>
          <w:b/>
          <w:bCs/>
          <w:sz w:val="24"/>
          <w:szCs w:val="24"/>
        </w:rPr>
        <w:t xml:space="preserve">: </w:t>
      </w:r>
      <w:r w:rsidRPr="00351AB1">
        <w:rPr>
          <w:rFonts w:ascii="Arial" w:hAnsi="Arial" w:cs="Arial"/>
          <w:sz w:val="24"/>
          <w:szCs w:val="24"/>
        </w:rPr>
        <w:t xml:space="preserve">Malta has greater requirements for oil and gas than Cyprus. Most importantly, Cyprus does not even allow the use of natural gas at all. Also, by being islands, both are looking for renewable power solutions more and more. Considering the higher population of </w:t>
      </w:r>
      <w:proofErr w:type="spellStart"/>
      <w:r w:rsidRPr="00351AB1">
        <w:rPr>
          <w:rFonts w:ascii="Arial" w:hAnsi="Arial" w:cs="Arial"/>
          <w:sz w:val="24"/>
          <w:szCs w:val="24"/>
        </w:rPr>
        <w:t>Maltal</w:t>
      </w:r>
      <w:proofErr w:type="spellEnd"/>
      <w:r w:rsidRPr="00351AB1">
        <w:rPr>
          <w:rFonts w:ascii="Arial" w:hAnsi="Arial" w:cs="Arial"/>
          <w:sz w:val="24"/>
          <w:szCs w:val="24"/>
        </w:rPr>
        <w:t>, the demand will also be higher. Here, if Shell considers selling renewable power in the future in these two countries, Malta is the best choice. Lastly, Malta is positioned higher than Cyprus in revenue generation.</w:t>
      </w:r>
      <w:r w:rsidR="00D32C51" w:rsidRPr="00351AB1">
        <w:rPr>
          <w:rFonts w:ascii="Arial" w:hAnsi="Arial" w:cs="Arial"/>
          <w:b/>
          <w:bCs/>
          <w:sz w:val="28"/>
          <w:szCs w:val="28"/>
        </w:rPr>
        <w:t xml:space="preserve"> </w:t>
      </w:r>
      <w:r w:rsidRPr="00351AB1">
        <w:rPr>
          <w:rFonts w:ascii="Arial" w:hAnsi="Arial" w:cs="Arial"/>
          <w:sz w:val="24"/>
          <w:szCs w:val="24"/>
        </w:rPr>
        <w:t xml:space="preserve">Still, considering Shell's long-term business goals, the vast natural gas deposition within the Cyprus-controlled area provides a green signal for expansion in this country. Nevertheless, getting the exploration and production work is highly complex as all major businesses and leading countries are keeping an eye on this matter. Everyone is interested in </w:t>
      </w:r>
      <w:proofErr w:type="spellStart"/>
      <w:r w:rsidRPr="00351AB1">
        <w:rPr>
          <w:rFonts w:ascii="Arial" w:hAnsi="Arial" w:cs="Arial"/>
          <w:sz w:val="24"/>
          <w:szCs w:val="24"/>
        </w:rPr>
        <w:t>utilising</w:t>
      </w:r>
      <w:proofErr w:type="spellEnd"/>
      <w:r w:rsidRPr="00351AB1">
        <w:rPr>
          <w:rFonts w:ascii="Arial" w:hAnsi="Arial" w:cs="Arial"/>
          <w:sz w:val="24"/>
          <w:szCs w:val="24"/>
        </w:rPr>
        <w:t xml:space="preserve"> this business opportunity. It is clear that the selection of the winner(s) will depend on the area's geo-political situation. Except for the long-term Orientation dimension, in other dimensions, Malta </w:t>
      </w:r>
      <w:proofErr w:type="spellStart"/>
      <w:r w:rsidRPr="00351AB1">
        <w:rPr>
          <w:rFonts w:ascii="Arial" w:hAnsi="Arial" w:cs="Arial"/>
          <w:sz w:val="24"/>
          <w:szCs w:val="24"/>
        </w:rPr>
        <w:t>wins.In</w:t>
      </w:r>
      <w:proofErr w:type="spellEnd"/>
      <w:r w:rsidRPr="00351AB1">
        <w:rPr>
          <w:rFonts w:ascii="Arial" w:hAnsi="Arial" w:cs="Arial"/>
          <w:sz w:val="24"/>
          <w:szCs w:val="24"/>
        </w:rPr>
        <w:t xml:space="preserve"> the case of the power distance index, Malta's flexibility will benefit Shell's operation. The high score in the individualism of Malta supports Shell's expansion as it </w:t>
      </w:r>
      <w:proofErr w:type="spellStart"/>
      <w:r w:rsidRPr="00351AB1">
        <w:rPr>
          <w:rFonts w:ascii="Arial" w:hAnsi="Arial" w:cs="Arial"/>
          <w:sz w:val="24"/>
          <w:szCs w:val="24"/>
        </w:rPr>
        <w:t>favours</w:t>
      </w:r>
      <w:proofErr w:type="spellEnd"/>
      <w:r w:rsidRPr="00351AB1">
        <w:rPr>
          <w:rFonts w:ascii="Arial" w:hAnsi="Arial" w:cs="Arial"/>
          <w:sz w:val="24"/>
          <w:szCs w:val="24"/>
        </w:rPr>
        <w:t xml:space="preserve"> personal rights and </w:t>
      </w:r>
      <w:r w:rsidRPr="00351AB1">
        <w:rPr>
          <w:rFonts w:ascii="Arial" w:hAnsi="Arial" w:cs="Arial"/>
          <w:sz w:val="24"/>
          <w:szCs w:val="24"/>
        </w:rPr>
        <w:lastRenderedPageBreak/>
        <w:t>concerns, which is also a core ethic of UK society. Malta's society and businesses believe in gender equality</w:t>
      </w:r>
      <w:r w:rsidR="00CC6050" w:rsidRPr="00351AB1">
        <w:rPr>
          <w:rFonts w:ascii="Arial" w:hAnsi="Arial" w:cs="Arial"/>
          <w:sz w:val="24"/>
          <w:szCs w:val="24"/>
        </w:rPr>
        <w:t xml:space="preserve"> (Times of Malta, 2016)</w:t>
      </w:r>
      <w:r w:rsidRPr="00351AB1">
        <w:rPr>
          <w:rFonts w:ascii="Arial" w:hAnsi="Arial" w:cs="Arial"/>
          <w:sz w:val="24"/>
          <w:szCs w:val="24"/>
        </w:rPr>
        <w:t>.</w:t>
      </w:r>
      <w:r w:rsidR="00D32C51" w:rsidRPr="00351AB1">
        <w:rPr>
          <w:rFonts w:ascii="Arial" w:hAnsi="Arial" w:cs="Arial"/>
          <w:sz w:val="24"/>
          <w:szCs w:val="24"/>
        </w:rPr>
        <w:t xml:space="preserve"> </w:t>
      </w:r>
      <w:r w:rsidRPr="00351AB1">
        <w:rPr>
          <w:rFonts w:ascii="Arial" w:hAnsi="Arial" w:cs="Arial"/>
          <w:sz w:val="24"/>
          <w:szCs w:val="24"/>
        </w:rPr>
        <w:t>In the case of the uncertainty avoidance index, it is a tie, though Cyprus scored better than Malta. The reason is that making decisions on their own responsibility applies to key company personnel. At the same time, Malta's uncertainty avoidance index says general employees will wholly follow the organisational rules and regulations.</w:t>
      </w:r>
      <w:bookmarkStart w:id="13" w:name="_Toc161448097"/>
      <w:r w:rsidR="00D32C51" w:rsidRPr="00351AB1">
        <w:rPr>
          <w:rFonts w:ascii="Arial" w:hAnsi="Arial" w:cs="Arial"/>
          <w:sz w:val="24"/>
          <w:szCs w:val="24"/>
        </w:rPr>
        <w:t xml:space="preserve"> </w:t>
      </w:r>
      <w:bookmarkEnd w:id="13"/>
      <w:r w:rsidRPr="00351AB1">
        <w:rPr>
          <w:rFonts w:ascii="Arial" w:hAnsi="Arial" w:cs="Arial"/>
          <w:sz w:val="24"/>
          <w:szCs w:val="24"/>
        </w:rPr>
        <w:t xml:space="preserve">In this case, also, Malta wins. English is its official language, and the population </w:t>
      </w:r>
      <w:proofErr w:type="spellStart"/>
      <w:r w:rsidRPr="00351AB1">
        <w:rPr>
          <w:rFonts w:ascii="Arial" w:hAnsi="Arial" w:cs="Arial"/>
          <w:sz w:val="24"/>
          <w:szCs w:val="24"/>
        </w:rPr>
        <w:t>favours</w:t>
      </w:r>
      <w:proofErr w:type="spellEnd"/>
      <w:r w:rsidRPr="00351AB1">
        <w:rPr>
          <w:rFonts w:ascii="Arial" w:hAnsi="Arial" w:cs="Arial"/>
          <w:sz w:val="24"/>
          <w:szCs w:val="24"/>
        </w:rPr>
        <w:t xml:space="preserve"> diversity, which is good for a UK-based company. Additionally, Malta's political situation is far better than Cyprus. The hidden racial conflict within the political and social endeavours in the Republic of Cyprus is a threat to Shell's future business in this country. Finally, in consideration of VAT, Malta also wins by 1% less VAT requirement.</w:t>
      </w:r>
    </w:p>
    <w:p w14:paraId="73FEFFD5" w14:textId="53809249" w:rsidR="00764C5C" w:rsidRPr="00351AB1" w:rsidRDefault="00764C5C" w:rsidP="00D32C51">
      <w:pPr>
        <w:spacing w:line="360" w:lineRule="auto"/>
        <w:jc w:val="both"/>
        <w:rPr>
          <w:rFonts w:ascii="Arial" w:hAnsi="Arial" w:cs="Arial"/>
          <w:b/>
          <w:bCs/>
          <w:sz w:val="28"/>
          <w:szCs w:val="28"/>
        </w:rPr>
      </w:pPr>
      <w:r w:rsidRPr="00351AB1">
        <w:rPr>
          <w:rFonts w:ascii="Arial" w:hAnsi="Arial" w:cs="Arial"/>
          <w:sz w:val="24"/>
          <w:szCs w:val="24"/>
        </w:rPr>
        <w:t>This examination paper for Shell Plc's expansion in the EU can be considered ideal and fair as both countries are islands and have UK-governing histories. This paper justified Shell's need to go for Malta for sustainable business gains. However, the substantial natural gas disposition under the Cyprus-governing area is undoubtedly critical and beneficial. Shell should work with the UK and Cyprus governments to gain access to exploration, production, and distribution. Also, the close tie between the USA, EU, and UK shows that Shell will have an opportunity in this case in the future if the management consistently keeps an eye on this matter while conducting internal negotiations with other leading and competing companies worldwide.</w:t>
      </w:r>
    </w:p>
    <w:p w14:paraId="3C5DE5EB" w14:textId="77777777" w:rsidR="00D32C51" w:rsidRPr="00351AB1" w:rsidRDefault="00D32C51" w:rsidP="00D32C51">
      <w:pPr>
        <w:spacing w:line="360" w:lineRule="auto"/>
        <w:jc w:val="both"/>
        <w:rPr>
          <w:rFonts w:ascii="Arial" w:hAnsi="Arial" w:cs="Arial"/>
          <w:b/>
          <w:bCs/>
          <w:sz w:val="28"/>
          <w:szCs w:val="28"/>
        </w:rPr>
      </w:pPr>
      <w:bookmarkStart w:id="14" w:name="_Toc161448099"/>
    </w:p>
    <w:p w14:paraId="701D0B15" w14:textId="77777777" w:rsidR="001902E8" w:rsidRPr="00351AB1" w:rsidRDefault="001902E8" w:rsidP="00D32C51">
      <w:pPr>
        <w:spacing w:line="360" w:lineRule="auto"/>
        <w:jc w:val="both"/>
        <w:rPr>
          <w:rFonts w:ascii="Arial" w:hAnsi="Arial" w:cs="Arial"/>
          <w:b/>
          <w:bCs/>
          <w:sz w:val="28"/>
          <w:szCs w:val="28"/>
        </w:rPr>
      </w:pPr>
      <w:r w:rsidRPr="00351AB1">
        <w:rPr>
          <w:rFonts w:ascii="Arial" w:hAnsi="Arial" w:cs="Arial"/>
          <w:b/>
          <w:bCs/>
          <w:sz w:val="28"/>
          <w:szCs w:val="28"/>
        </w:rPr>
        <w:br w:type="page"/>
      </w:r>
    </w:p>
    <w:p w14:paraId="3CEF9AD9" w14:textId="1421CF5E" w:rsidR="00084DCB" w:rsidRPr="00351AB1" w:rsidRDefault="00084DCB" w:rsidP="00D32C51">
      <w:pPr>
        <w:spacing w:line="360" w:lineRule="auto"/>
        <w:jc w:val="both"/>
        <w:rPr>
          <w:rFonts w:ascii="Arial" w:hAnsi="Arial" w:cs="Arial"/>
          <w:b/>
          <w:bCs/>
          <w:sz w:val="28"/>
          <w:szCs w:val="28"/>
        </w:rPr>
      </w:pPr>
      <w:r w:rsidRPr="00351AB1">
        <w:rPr>
          <w:rFonts w:ascii="Arial" w:hAnsi="Arial" w:cs="Arial"/>
          <w:b/>
          <w:bCs/>
          <w:sz w:val="28"/>
          <w:szCs w:val="28"/>
        </w:rPr>
        <w:lastRenderedPageBreak/>
        <w:t>Reference</w:t>
      </w:r>
      <w:r w:rsidR="00632584" w:rsidRPr="00351AB1">
        <w:rPr>
          <w:rFonts w:ascii="Arial" w:hAnsi="Arial" w:cs="Arial"/>
          <w:b/>
          <w:bCs/>
          <w:sz w:val="28"/>
          <w:szCs w:val="28"/>
        </w:rPr>
        <w:t>s</w:t>
      </w:r>
      <w:bookmarkEnd w:id="14"/>
    </w:p>
    <w:p w14:paraId="4F144A3A" w14:textId="77777777" w:rsidR="00CC6050" w:rsidRPr="00CC6050" w:rsidRDefault="00CC6050" w:rsidP="00727881">
      <w:pPr>
        <w:spacing w:line="360" w:lineRule="auto"/>
        <w:rPr>
          <w:rFonts w:ascii="Times New Roman" w:hAnsi="Times New Roman" w:cs="Times New Roman"/>
          <w:sz w:val="24"/>
          <w:szCs w:val="24"/>
        </w:rPr>
      </w:pPr>
      <w:proofErr w:type="spellStart"/>
      <w:r w:rsidRPr="00CC6050">
        <w:rPr>
          <w:rFonts w:ascii="Times New Roman" w:hAnsi="Times New Roman" w:cs="Times New Roman"/>
          <w:sz w:val="24"/>
          <w:szCs w:val="24"/>
        </w:rPr>
        <w:t>AlJoud</w:t>
      </w:r>
      <w:proofErr w:type="spellEnd"/>
      <w:r w:rsidRPr="00CC6050">
        <w:rPr>
          <w:rFonts w:ascii="Times New Roman" w:hAnsi="Times New Roman" w:cs="Times New Roman"/>
          <w:sz w:val="24"/>
          <w:szCs w:val="24"/>
        </w:rPr>
        <w:t>, S. A. (2023) </w:t>
      </w:r>
      <w:r w:rsidRPr="00CC6050">
        <w:rPr>
          <w:rFonts w:ascii="Times New Roman" w:hAnsi="Times New Roman" w:cs="Times New Roman"/>
          <w:i/>
          <w:iCs/>
          <w:sz w:val="24"/>
          <w:szCs w:val="24"/>
        </w:rPr>
        <w:t>Rethinking gas diplomacy in the Eastern Mediterranean</w:t>
      </w:r>
      <w:r w:rsidRPr="00CC6050">
        <w:rPr>
          <w:rFonts w:ascii="Times New Roman" w:hAnsi="Times New Roman" w:cs="Times New Roman"/>
          <w:sz w:val="24"/>
          <w:szCs w:val="24"/>
        </w:rPr>
        <w:t>, </w:t>
      </w:r>
      <w:r w:rsidRPr="00CC6050">
        <w:rPr>
          <w:rFonts w:ascii="Times New Roman" w:hAnsi="Times New Roman" w:cs="Times New Roman"/>
          <w:i/>
          <w:iCs/>
          <w:sz w:val="24"/>
          <w:szCs w:val="24"/>
        </w:rPr>
        <w:t>Crisisgroup.org</w:t>
      </w:r>
      <w:r w:rsidRPr="00CC6050">
        <w:rPr>
          <w:rFonts w:ascii="Times New Roman" w:hAnsi="Times New Roman" w:cs="Times New Roman"/>
          <w:sz w:val="24"/>
          <w:szCs w:val="24"/>
        </w:rPr>
        <w:t>. Available at: https://www.crisisgroup.org/middle-east-north-africa/east-mediterranean-mena-turkiye/240-rethinking-gas-diplomacy-eastern (Accessed: March 16, 2024).</w:t>
      </w:r>
    </w:p>
    <w:p w14:paraId="58707347"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British Council (2024) </w:t>
      </w:r>
      <w:r w:rsidRPr="00CC6050">
        <w:rPr>
          <w:rFonts w:ascii="Times New Roman" w:hAnsi="Times New Roman" w:cs="Times New Roman"/>
          <w:i/>
          <w:iCs/>
          <w:sz w:val="24"/>
          <w:szCs w:val="24"/>
        </w:rPr>
        <w:t>Britishcouncil.org</w:t>
      </w:r>
      <w:r w:rsidRPr="00CC6050">
        <w:rPr>
          <w:rFonts w:ascii="Times New Roman" w:hAnsi="Times New Roman" w:cs="Times New Roman"/>
          <w:sz w:val="24"/>
          <w:szCs w:val="24"/>
        </w:rPr>
        <w:t>. Available at: https://learnenglish.britishcouncil.org/skills/reading/c1-reading/cultural-behaviour-business (Accessed: March 16, 2024).</w:t>
      </w:r>
    </w:p>
    <w:p w14:paraId="6D034D52"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Chen, M. (2019) “The impact of expatriates’ cross-cultural adjustment on work stress and job involvement in the high-tech industry,” </w:t>
      </w:r>
      <w:r w:rsidRPr="00CC6050">
        <w:rPr>
          <w:rFonts w:ascii="Times New Roman" w:hAnsi="Times New Roman" w:cs="Times New Roman"/>
          <w:i/>
          <w:iCs/>
          <w:sz w:val="24"/>
          <w:szCs w:val="24"/>
        </w:rPr>
        <w:t>Frontiers in psychology</w:t>
      </w:r>
      <w:r w:rsidRPr="00CC6050">
        <w:rPr>
          <w:rFonts w:ascii="Times New Roman" w:hAnsi="Times New Roman" w:cs="Times New Roman"/>
          <w:sz w:val="24"/>
          <w:szCs w:val="24"/>
        </w:rPr>
        <w:t>, 10. doi: 10.3389/fpsyg.2019.02228.</w:t>
      </w:r>
    </w:p>
    <w:p w14:paraId="32BA3D86"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Corbin, A. (2021) </w:t>
      </w:r>
      <w:r w:rsidRPr="00CC6050">
        <w:rPr>
          <w:rFonts w:ascii="Times New Roman" w:hAnsi="Times New Roman" w:cs="Times New Roman"/>
          <w:i/>
          <w:iCs/>
          <w:sz w:val="24"/>
          <w:szCs w:val="24"/>
        </w:rPr>
        <w:t>A quick guide to business etiquette in the United Kingdom</w:t>
      </w:r>
      <w:r w:rsidRPr="00CC6050">
        <w:rPr>
          <w:rFonts w:ascii="Times New Roman" w:hAnsi="Times New Roman" w:cs="Times New Roman"/>
          <w:sz w:val="24"/>
          <w:szCs w:val="24"/>
        </w:rPr>
        <w:t>, </w:t>
      </w:r>
      <w:proofErr w:type="spellStart"/>
      <w:r w:rsidRPr="00CC6050">
        <w:rPr>
          <w:rFonts w:ascii="Times New Roman" w:hAnsi="Times New Roman" w:cs="Times New Roman"/>
          <w:i/>
          <w:iCs/>
          <w:sz w:val="24"/>
          <w:szCs w:val="24"/>
        </w:rPr>
        <w:t>Globig</w:t>
      </w:r>
      <w:proofErr w:type="spellEnd"/>
      <w:r w:rsidRPr="00CC6050">
        <w:rPr>
          <w:rFonts w:ascii="Times New Roman" w:hAnsi="Times New Roman" w:cs="Times New Roman"/>
          <w:i/>
          <w:iCs/>
          <w:sz w:val="24"/>
          <w:szCs w:val="24"/>
        </w:rPr>
        <w:t xml:space="preserve"> |</w:t>
      </w:r>
      <w:r w:rsidRPr="00CC6050">
        <w:rPr>
          <w:rFonts w:ascii="Times New Roman" w:hAnsi="Times New Roman" w:cs="Times New Roman"/>
          <w:sz w:val="24"/>
          <w:szCs w:val="24"/>
        </w:rPr>
        <w:t xml:space="preserve">. </w:t>
      </w:r>
      <w:proofErr w:type="spellStart"/>
      <w:r w:rsidRPr="00CC6050">
        <w:rPr>
          <w:rFonts w:ascii="Times New Roman" w:hAnsi="Times New Roman" w:cs="Times New Roman"/>
          <w:sz w:val="24"/>
          <w:szCs w:val="24"/>
        </w:rPr>
        <w:t>Globig</w:t>
      </w:r>
      <w:proofErr w:type="spellEnd"/>
      <w:r w:rsidRPr="00CC6050">
        <w:rPr>
          <w:rFonts w:ascii="Times New Roman" w:hAnsi="Times New Roman" w:cs="Times New Roman"/>
          <w:sz w:val="24"/>
          <w:szCs w:val="24"/>
        </w:rPr>
        <w:t>. Available at: https://globig.co/blog/a-quick-guide-to-business-etiquette-in-the-united-kingdom/ (Accessed: March 16, 2024).</w:t>
      </w:r>
    </w:p>
    <w:p w14:paraId="2DD7058A"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i/>
          <w:iCs/>
          <w:sz w:val="24"/>
          <w:szCs w:val="24"/>
        </w:rPr>
        <w:t>Country comparison tool</w:t>
      </w:r>
      <w:r w:rsidRPr="00CC6050">
        <w:rPr>
          <w:rFonts w:ascii="Times New Roman" w:hAnsi="Times New Roman" w:cs="Times New Roman"/>
          <w:sz w:val="24"/>
          <w:szCs w:val="24"/>
        </w:rPr>
        <w:t> (2024) </w:t>
      </w:r>
      <w:r w:rsidRPr="00CC6050">
        <w:rPr>
          <w:rFonts w:ascii="Times New Roman" w:hAnsi="Times New Roman" w:cs="Times New Roman"/>
          <w:i/>
          <w:iCs/>
          <w:sz w:val="24"/>
          <w:szCs w:val="24"/>
        </w:rPr>
        <w:t>Hofstede-insights.com</w:t>
      </w:r>
      <w:r w:rsidRPr="00CC6050">
        <w:rPr>
          <w:rFonts w:ascii="Times New Roman" w:hAnsi="Times New Roman" w:cs="Times New Roman"/>
          <w:sz w:val="24"/>
          <w:szCs w:val="24"/>
        </w:rPr>
        <w:t>. Available at: https://www.hofstede-insights.com/country-comparison-tool (Accessed: March 16, 2024).</w:t>
      </w:r>
    </w:p>
    <w:p w14:paraId="2CFC3A07" w14:textId="77777777" w:rsidR="00CC6050" w:rsidRPr="00CC6050" w:rsidRDefault="00CC6050" w:rsidP="00727881">
      <w:pPr>
        <w:spacing w:line="360" w:lineRule="auto"/>
        <w:rPr>
          <w:rFonts w:ascii="Times New Roman" w:hAnsi="Times New Roman" w:cs="Times New Roman"/>
          <w:sz w:val="24"/>
          <w:szCs w:val="24"/>
        </w:rPr>
      </w:pPr>
      <w:proofErr w:type="spellStart"/>
      <w:r w:rsidRPr="00CC6050">
        <w:rPr>
          <w:rFonts w:ascii="Times New Roman" w:hAnsi="Times New Roman" w:cs="Times New Roman"/>
          <w:sz w:val="24"/>
          <w:szCs w:val="24"/>
        </w:rPr>
        <w:t>Crisisgroup</w:t>
      </w:r>
      <w:proofErr w:type="spellEnd"/>
      <w:r w:rsidRPr="00CC6050">
        <w:rPr>
          <w:rFonts w:ascii="Times New Roman" w:hAnsi="Times New Roman" w:cs="Times New Roman"/>
          <w:sz w:val="24"/>
          <w:szCs w:val="24"/>
        </w:rPr>
        <w:t xml:space="preserve"> (2023) </w:t>
      </w:r>
      <w:r w:rsidRPr="00CC6050">
        <w:rPr>
          <w:rFonts w:ascii="Times New Roman" w:hAnsi="Times New Roman" w:cs="Times New Roman"/>
          <w:i/>
          <w:iCs/>
          <w:sz w:val="24"/>
          <w:szCs w:val="24"/>
        </w:rPr>
        <w:t>An island divided: Next steps for troubled Cyprus</w:t>
      </w:r>
      <w:r w:rsidRPr="00CC6050">
        <w:rPr>
          <w:rFonts w:ascii="Times New Roman" w:hAnsi="Times New Roman" w:cs="Times New Roman"/>
          <w:sz w:val="24"/>
          <w:szCs w:val="24"/>
        </w:rPr>
        <w:t>, </w:t>
      </w:r>
      <w:r w:rsidRPr="00CC6050">
        <w:rPr>
          <w:rFonts w:ascii="Times New Roman" w:hAnsi="Times New Roman" w:cs="Times New Roman"/>
          <w:i/>
          <w:iCs/>
          <w:sz w:val="24"/>
          <w:szCs w:val="24"/>
        </w:rPr>
        <w:t>Crisisgroup.org</w:t>
      </w:r>
      <w:r w:rsidRPr="00CC6050">
        <w:rPr>
          <w:rFonts w:ascii="Times New Roman" w:hAnsi="Times New Roman" w:cs="Times New Roman"/>
          <w:sz w:val="24"/>
          <w:szCs w:val="24"/>
        </w:rPr>
        <w:t>. Available at: https://www.crisisgroup.org/europe-central-asia/western-europemediterranean/cyprus/268-island-divided-next-steps-troubled-cyprus (Accessed: March 16, 2024).</w:t>
      </w:r>
    </w:p>
    <w:p w14:paraId="634AEF8A"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i/>
          <w:iCs/>
          <w:sz w:val="24"/>
          <w:szCs w:val="24"/>
        </w:rPr>
        <w:t>Cyprus – EU member country profile</w:t>
      </w:r>
      <w:r w:rsidRPr="00CC6050">
        <w:rPr>
          <w:rFonts w:ascii="Times New Roman" w:hAnsi="Times New Roman" w:cs="Times New Roman"/>
          <w:sz w:val="24"/>
          <w:szCs w:val="24"/>
        </w:rPr>
        <w:t> (2024) </w:t>
      </w:r>
      <w:r w:rsidRPr="00CC6050">
        <w:rPr>
          <w:rFonts w:ascii="Times New Roman" w:hAnsi="Times New Roman" w:cs="Times New Roman"/>
          <w:i/>
          <w:iCs/>
          <w:sz w:val="24"/>
          <w:szCs w:val="24"/>
        </w:rPr>
        <w:t>European Union</w:t>
      </w:r>
      <w:r w:rsidRPr="00CC6050">
        <w:rPr>
          <w:rFonts w:ascii="Times New Roman" w:hAnsi="Times New Roman" w:cs="Times New Roman"/>
          <w:sz w:val="24"/>
          <w:szCs w:val="24"/>
        </w:rPr>
        <w:t>. Available at: https://european-union.europa.eu/principles-countries-history/country-profiles/cyprus_en (Accessed: March 16, 2024).</w:t>
      </w:r>
    </w:p>
    <w:p w14:paraId="4CD46889"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i/>
          <w:iCs/>
          <w:sz w:val="24"/>
          <w:szCs w:val="24"/>
        </w:rPr>
        <w:t xml:space="preserve">Cyprus population (2024) - </w:t>
      </w:r>
      <w:proofErr w:type="spellStart"/>
      <w:r w:rsidRPr="00CC6050">
        <w:rPr>
          <w:rFonts w:ascii="Times New Roman" w:hAnsi="Times New Roman" w:cs="Times New Roman"/>
          <w:i/>
          <w:iCs/>
          <w:sz w:val="24"/>
          <w:szCs w:val="24"/>
        </w:rPr>
        <w:t>worldometer</w:t>
      </w:r>
      <w:proofErr w:type="spellEnd"/>
      <w:r w:rsidRPr="00CC6050">
        <w:rPr>
          <w:rFonts w:ascii="Times New Roman" w:hAnsi="Times New Roman" w:cs="Times New Roman"/>
          <w:sz w:val="24"/>
          <w:szCs w:val="24"/>
        </w:rPr>
        <w:t> (no date) </w:t>
      </w:r>
      <w:r w:rsidRPr="00CC6050">
        <w:rPr>
          <w:rFonts w:ascii="Times New Roman" w:hAnsi="Times New Roman" w:cs="Times New Roman"/>
          <w:i/>
          <w:iCs/>
          <w:sz w:val="24"/>
          <w:szCs w:val="24"/>
        </w:rPr>
        <w:t>Worldometers.info</w:t>
      </w:r>
      <w:r w:rsidRPr="00CC6050">
        <w:rPr>
          <w:rFonts w:ascii="Times New Roman" w:hAnsi="Times New Roman" w:cs="Times New Roman"/>
          <w:sz w:val="24"/>
          <w:szCs w:val="24"/>
        </w:rPr>
        <w:t>. Available at: https://www.worldometers.info/world-population/cyprus-population/ (Accessed: March 16, 2024).</w:t>
      </w:r>
    </w:p>
    <w:p w14:paraId="0BBB1CB9"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Epaminonda, E. (2016) </w:t>
      </w:r>
      <w:r w:rsidRPr="00CC6050">
        <w:rPr>
          <w:rFonts w:ascii="Times New Roman" w:hAnsi="Times New Roman" w:cs="Times New Roman"/>
          <w:i/>
          <w:iCs/>
          <w:sz w:val="24"/>
          <w:szCs w:val="24"/>
        </w:rPr>
        <w:t>View of drawing a sociocultural profile of Cyprus by reviewing some key findings and discussing change and diversity</w:t>
      </w:r>
      <w:r w:rsidRPr="00CC6050">
        <w:rPr>
          <w:rFonts w:ascii="Times New Roman" w:hAnsi="Times New Roman" w:cs="Times New Roman"/>
          <w:sz w:val="24"/>
          <w:szCs w:val="24"/>
        </w:rPr>
        <w:t>, </w:t>
      </w:r>
      <w:r w:rsidRPr="00CC6050">
        <w:rPr>
          <w:rFonts w:ascii="Times New Roman" w:hAnsi="Times New Roman" w:cs="Times New Roman"/>
          <w:i/>
          <w:iCs/>
          <w:sz w:val="24"/>
          <w:szCs w:val="24"/>
        </w:rPr>
        <w:t>Cyprusreview.org</w:t>
      </w:r>
      <w:r w:rsidRPr="00CC6050">
        <w:rPr>
          <w:rFonts w:ascii="Times New Roman" w:hAnsi="Times New Roman" w:cs="Times New Roman"/>
          <w:sz w:val="24"/>
          <w:szCs w:val="24"/>
        </w:rPr>
        <w:t>. Available at: https://cyprusreview.org/index.php/cr/article/view/795/640 (Accessed: March 16, 2024).</w:t>
      </w:r>
    </w:p>
    <w:p w14:paraId="2449AD97"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lastRenderedPageBreak/>
        <w:t>Evason, N. (2018) </w:t>
      </w:r>
      <w:r w:rsidRPr="00CC6050">
        <w:rPr>
          <w:rFonts w:ascii="Times New Roman" w:hAnsi="Times New Roman" w:cs="Times New Roman"/>
          <w:i/>
          <w:iCs/>
          <w:sz w:val="24"/>
          <w:szCs w:val="24"/>
        </w:rPr>
        <w:t>Cypriot Culture</w:t>
      </w:r>
      <w:r w:rsidRPr="00CC6050">
        <w:rPr>
          <w:rFonts w:ascii="Times New Roman" w:hAnsi="Times New Roman" w:cs="Times New Roman"/>
          <w:sz w:val="24"/>
          <w:szCs w:val="24"/>
        </w:rPr>
        <w:t>, </w:t>
      </w:r>
      <w:r w:rsidRPr="00CC6050">
        <w:rPr>
          <w:rFonts w:ascii="Times New Roman" w:hAnsi="Times New Roman" w:cs="Times New Roman"/>
          <w:i/>
          <w:iCs/>
          <w:sz w:val="24"/>
          <w:szCs w:val="24"/>
        </w:rPr>
        <w:t>Cultural Atlas</w:t>
      </w:r>
      <w:r w:rsidRPr="00CC6050">
        <w:rPr>
          <w:rFonts w:ascii="Times New Roman" w:hAnsi="Times New Roman" w:cs="Times New Roman"/>
          <w:sz w:val="24"/>
          <w:szCs w:val="24"/>
        </w:rPr>
        <w:t>. Available at: https://culturalatlas.sbs.com.au/cypriot-culture/cypriot-culture-core-concepts (Accessed: March 16, 2024).</w:t>
      </w:r>
    </w:p>
    <w:p w14:paraId="39953F2A"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Fox, J. (2015) </w:t>
      </w:r>
      <w:r w:rsidRPr="00CC6050">
        <w:rPr>
          <w:rFonts w:ascii="Times New Roman" w:hAnsi="Times New Roman" w:cs="Times New Roman"/>
          <w:i/>
          <w:iCs/>
          <w:sz w:val="24"/>
          <w:szCs w:val="24"/>
        </w:rPr>
        <w:t>Archive.org</w:t>
      </w:r>
      <w:r w:rsidRPr="00CC6050">
        <w:rPr>
          <w:rFonts w:ascii="Times New Roman" w:hAnsi="Times New Roman" w:cs="Times New Roman"/>
          <w:sz w:val="24"/>
          <w:szCs w:val="24"/>
        </w:rPr>
        <w:t>. Available at: https://web.archive.org/web/20161030081338/https://www.bloomberg.com/view/articles/2015-04-08/maybe-it-s-time-to-stop-calling-shell-an-oil-company (Accessed: March 16, 2024).</w:t>
      </w:r>
    </w:p>
    <w:p w14:paraId="2DA508C6"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Grodzka, K. (2023) </w:t>
      </w:r>
      <w:r w:rsidRPr="00CC6050">
        <w:rPr>
          <w:rFonts w:ascii="Times New Roman" w:hAnsi="Times New Roman" w:cs="Times New Roman"/>
          <w:i/>
          <w:iCs/>
          <w:sz w:val="24"/>
          <w:szCs w:val="24"/>
        </w:rPr>
        <w:t>Mastering business communication in the UK: a guide to cultural appropriateness</w:t>
      </w:r>
      <w:r w:rsidRPr="00CC6050">
        <w:rPr>
          <w:rFonts w:ascii="Times New Roman" w:hAnsi="Times New Roman" w:cs="Times New Roman"/>
          <w:sz w:val="24"/>
          <w:szCs w:val="24"/>
        </w:rPr>
        <w:t>, </w:t>
      </w:r>
      <w:r w:rsidRPr="00CC6050">
        <w:rPr>
          <w:rFonts w:ascii="Times New Roman" w:hAnsi="Times New Roman" w:cs="Times New Roman"/>
          <w:i/>
          <w:iCs/>
          <w:sz w:val="24"/>
          <w:szCs w:val="24"/>
        </w:rPr>
        <w:t>Focus Language Audit</w:t>
      </w:r>
      <w:r w:rsidRPr="00CC6050">
        <w:rPr>
          <w:rFonts w:ascii="Times New Roman" w:hAnsi="Times New Roman" w:cs="Times New Roman"/>
          <w:sz w:val="24"/>
          <w:szCs w:val="24"/>
        </w:rPr>
        <w:t>. Available at: https://focusaudits.eu/mastering-business-communication-in-the-uk-a-guide-to-cultural-appropriateness/ (Accessed: March 16, 2024).</w:t>
      </w:r>
    </w:p>
    <w:p w14:paraId="2F4E5797"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IMF (2024) </w:t>
      </w:r>
      <w:r w:rsidRPr="00CC6050">
        <w:rPr>
          <w:rFonts w:ascii="Times New Roman" w:hAnsi="Times New Roman" w:cs="Times New Roman"/>
          <w:i/>
          <w:iCs/>
          <w:sz w:val="24"/>
          <w:szCs w:val="24"/>
        </w:rPr>
        <w:t>Malta PPGDP</w:t>
      </w:r>
      <w:r w:rsidRPr="00CC6050">
        <w:rPr>
          <w:rFonts w:ascii="Times New Roman" w:hAnsi="Times New Roman" w:cs="Times New Roman"/>
          <w:sz w:val="24"/>
          <w:szCs w:val="24"/>
        </w:rPr>
        <w:t>, </w:t>
      </w:r>
      <w:r w:rsidRPr="00CC6050">
        <w:rPr>
          <w:rFonts w:ascii="Times New Roman" w:hAnsi="Times New Roman" w:cs="Times New Roman"/>
          <w:i/>
          <w:iCs/>
          <w:sz w:val="24"/>
          <w:szCs w:val="24"/>
        </w:rPr>
        <w:t>Imf.org</w:t>
      </w:r>
      <w:r w:rsidRPr="00CC6050">
        <w:rPr>
          <w:rFonts w:ascii="Times New Roman" w:hAnsi="Times New Roman" w:cs="Times New Roman"/>
          <w:sz w:val="24"/>
          <w:szCs w:val="24"/>
        </w:rPr>
        <w:t>. Available at: https://www.imf.org/external/datamapper/profile/MLT (Accessed: March 16, 2024).</w:t>
      </w:r>
    </w:p>
    <w:p w14:paraId="6B831684" w14:textId="77777777" w:rsidR="00CC6050" w:rsidRPr="00CC6050" w:rsidRDefault="00CC6050" w:rsidP="00727881">
      <w:pPr>
        <w:spacing w:line="360" w:lineRule="auto"/>
        <w:rPr>
          <w:rFonts w:ascii="Times New Roman" w:hAnsi="Times New Roman" w:cs="Times New Roman"/>
          <w:sz w:val="24"/>
          <w:szCs w:val="24"/>
        </w:rPr>
      </w:pPr>
      <w:proofErr w:type="spellStart"/>
      <w:r w:rsidRPr="00CC6050">
        <w:rPr>
          <w:rFonts w:ascii="Times New Roman" w:hAnsi="Times New Roman" w:cs="Times New Roman"/>
          <w:sz w:val="24"/>
          <w:szCs w:val="24"/>
        </w:rPr>
        <w:t>Knoema</w:t>
      </w:r>
      <w:proofErr w:type="spellEnd"/>
      <w:r w:rsidRPr="00CC6050">
        <w:rPr>
          <w:rFonts w:ascii="Times New Roman" w:hAnsi="Times New Roman" w:cs="Times New Roman"/>
          <w:sz w:val="24"/>
          <w:szCs w:val="24"/>
        </w:rPr>
        <w:t xml:space="preserve"> (2024) “Malta Petroleum consumption.”</w:t>
      </w:r>
    </w:p>
    <w:p w14:paraId="1F03BDEA" w14:textId="77777777" w:rsidR="00CC6050" w:rsidRPr="00CC6050" w:rsidRDefault="00CC6050" w:rsidP="00727881">
      <w:pPr>
        <w:spacing w:line="360" w:lineRule="auto"/>
        <w:rPr>
          <w:rFonts w:ascii="Times New Roman" w:hAnsi="Times New Roman" w:cs="Times New Roman"/>
          <w:sz w:val="24"/>
          <w:szCs w:val="24"/>
        </w:rPr>
      </w:pPr>
      <w:proofErr w:type="spellStart"/>
      <w:r w:rsidRPr="00CC6050">
        <w:rPr>
          <w:rFonts w:ascii="Times New Roman" w:hAnsi="Times New Roman" w:cs="Times New Roman"/>
          <w:sz w:val="24"/>
          <w:szCs w:val="24"/>
        </w:rPr>
        <w:t>Koroneos</w:t>
      </w:r>
      <w:proofErr w:type="spellEnd"/>
      <w:r w:rsidRPr="00CC6050">
        <w:rPr>
          <w:rFonts w:ascii="Times New Roman" w:hAnsi="Times New Roman" w:cs="Times New Roman"/>
          <w:sz w:val="24"/>
          <w:szCs w:val="24"/>
        </w:rPr>
        <w:t xml:space="preserve">, C., </w:t>
      </w:r>
      <w:proofErr w:type="spellStart"/>
      <w:r w:rsidRPr="00CC6050">
        <w:rPr>
          <w:rFonts w:ascii="Times New Roman" w:hAnsi="Times New Roman" w:cs="Times New Roman"/>
          <w:sz w:val="24"/>
          <w:szCs w:val="24"/>
        </w:rPr>
        <w:t>Fokaidis</w:t>
      </w:r>
      <w:proofErr w:type="spellEnd"/>
      <w:r w:rsidRPr="00CC6050">
        <w:rPr>
          <w:rFonts w:ascii="Times New Roman" w:hAnsi="Times New Roman" w:cs="Times New Roman"/>
          <w:sz w:val="24"/>
          <w:szCs w:val="24"/>
        </w:rPr>
        <w:t xml:space="preserve">, P. and </w:t>
      </w:r>
      <w:proofErr w:type="spellStart"/>
      <w:r w:rsidRPr="00CC6050">
        <w:rPr>
          <w:rFonts w:ascii="Times New Roman" w:hAnsi="Times New Roman" w:cs="Times New Roman"/>
          <w:sz w:val="24"/>
          <w:szCs w:val="24"/>
        </w:rPr>
        <w:t>Moussiopoulos</w:t>
      </w:r>
      <w:proofErr w:type="spellEnd"/>
      <w:r w:rsidRPr="00CC6050">
        <w:rPr>
          <w:rFonts w:ascii="Times New Roman" w:hAnsi="Times New Roman" w:cs="Times New Roman"/>
          <w:sz w:val="24"/>
          <w:szCs w:val="24"/>
        </w:rPr>
        <w:t>, N. (2005) “Cyprus energy system and the use of renewable energy sources,” </w:t>
      </w:r>
      <w:r w:rsidRPr="00CC6050">
        <w:rPr>
          <w:rFonts w:ascii="Times New Roman" w:hAnsi="Times New Roman" w:cs="Times New Roman"/>
          <w:i/>
          <w:iCs/>
          <w:sz w:val="24"/>
          <w:szCs w:val="24"/>
        </w:rPr>
        <w:t>Energy (Oxford, England)</w:t>
      </w:r>
      <w:r w:rsidRPr="00CC6050">
        <w:rPr>
          <w:rFonts w:ascii="Times New Roman" w:hAnsi="Times New Roman" w:cs="Times New Roman"/>
          <w:sz w:val="24"/>
          <w:szCs w:val="24"/>
        </w:rPr>
        <w:t>, 30(10), pp. 1889–1901. doi: 10.1016/j.energy.2004.11.011.</w:t>
      </w:r>
    </w:p>
    <w:p w14:paraId="6D998C80"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i/>
          <w:iCs/>
          <w:sz w:val="24"/>
          <w:szCs w:val="24"/>
        </w:rPr>
        <w:t xml:space="preserve">Malta population (2024) - </w:t>
      </w:r>
      <w:proofErr w:type="spellStart"/>
      <w:r w:rsidRPr="00CC6050">
        <w:rPr>
          <w:rFonts w:ascii="Times New Roman" w:hAnsi="Times New Roman" w:cs="Times New Roman"/>
          <w:i/>
          <w:iCs/>
          <w:sz w:val="24"/>
          <w:szCs w:val="24"/>
        </w:rPr>
        <w:t>worldometer</w:t>
      </w:r>
      <w:proofErr w:type="spellEnd"/>
      <w:r w:rsidRPr="00CC6050">
        <w:rPr>
          <w:rFonts w:ascii="Times New Roman" w:hAnsi="Times New Roman" w:cs="Times New Roman"/>
          <w:sz w:val="24"/>
          <w:szCs w:val="24"/>
        </w:rPr>
        <w:t> (no date) </w:t>
      </w:r>
      <w:r w:rsidRPr="00CC6050">
        <w:rPr>
          <w:rFonts w:ascii="Times New Roman" w:hAnsi="Times New Roman" w:cs="Times New Roman"/>
          <w:i/>
          <w:iCs/>
          <w:sz w:val="24"/>
          <w:szCs w:val="24"/>
        </w:rPr>
        <w:t>Worldometers.info</w:t>
      </w:r>
      <w:r w:rsidRPr="00CC6050">
        <w:rPr>
          <w:rFonts w:ascii="Times New Roman" w:hAnsi="Times New Roman" w:cs="Times New Roman"/>
          <w:sz w:val="24"/>
          <w:szCs w:val="24"/>
        </w:rPr>
        <w:t>. Available at: https://www.worldometers.info/world-population/malta-population/ (Accessed: March 16, 2024).</w:t>
      </w:r>
    </w:p>
    <w:p w14:paraId="36B00A2E"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Meyer, E. (2015) “When Culture Doesn’t Translate,” </w:t>
      </w:r>
      <w:r w:rsidRPr="00CC6050">
        <w:rPr>
          <w:rFonts w:ascii="Times New Roman" w:hAnsi="Times New Roman" w:cs="Times New Roman"/>
          <w:i/>
          <w:iCs/>
          <w:sz w:val="24"/>
          <w:szCs w:val="24"/>
        </w:rPr>
        <w:t>Harvard business review</w:t>
      </w:r>
      <w:r w:rsidRPr="00CC6050">
        <w:rPr>
          <w:rFonts w:ascii="Times New Roman" w:hAnsi="Times New Roman" w:cs="Times New Roman"/>
          <w:sz w:val="24"/>
          <w:szCs w:val="24"/>
        </w:rPr>
        <w:t>, 1 October. Available at: https://hbr.org/2015/10/when-culture-doesnt-translate (Accessed: March 16, 2024).</w:t>
      </w:r>
    </w:p>
    <w:p w14:paraId="1A834DF8"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Milne, S. (2024) </w:t>
      </w:r>
      <w:r w:rsidRPr="00CC6050">
        <w:rPr>
          <w:rFonts w:ascii="Times New Roman" w:hAnsi="Times New Roman" w:cs="Times New Roman"/>
          <w:i/>
          <w:iCs/>
          <w:sz w:val="24"/>
          <w:szCs w:val="24"/>
        </w:rPr>
        <w:t>Business culture in the UK</w:t>
      </w:r>
      <w:r w:rsidRPr="00CC6050">
        <w:rPr>
          <w:rFonts w:ascii="Times New Roman" w:hAnsi="Times New Roman" w:cs="Times New Roman"/>
          <w:sz w:val="24"/>
          <w:szCs w:val="24"/>
        </w:rPr>
        <w:t>, </w:t>
      </w:r>
      <w:r w:rsidRPr="00CC6050">
        <w:rPr>
          <w:rFonts w:ascii="Times New Roman" w:hAnsi="Times New Roman" w:cs="Times New Roman"/>
          <w:i/>
          <w:iCs/>
          <w:sz w:val="24"/>
          <w:szCs w:val="24"/>
        </w:rPr>
        <w:t>Expatica United Kingdom</w:t>
      </w:r>
      <w:r w:rsidRPr="00CC6050">
        <w:rPr>
          <w:rFonts w:ascii="Times New Roman" w:hAnsi="Times New Roman" w:cs="Times New Roman"/>
          <w:sz w:val="24"/>
          <w:szCs w:val="24"/>
        </w:rPr>
        <w:t>. Available at: https://www.expatica.com/uk/working/employment-basics/uk-business-culture-103182/ (Accessed: March 16, 2024).</w:t>
      </w:r>
    </w:p>
    <w:p w14:paraId="3A52F2F8"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i/>
          <w:iCs/>
          <w:sz w:val="24"/>
          <w:szCs w:val="24"/>
        </w:rPr>
        <w:t>MindTools</w:t>
      </w:r>
      <w:r w:rsidRPr="00CC6050">
        <w:rPr>
          <w:rFonts w:ascii="Times New Roman" w:hAnsi="Times New Roman" w:cs="Times New Roman"/>
          <w:sz w:val="24"/>
          <w:szCs w:val="24"/>
        </w:rPr>
        <w:t> (2024) </w:t>
      </w:r>
      <w:r w:rsidRPr="00CC6050">
        <w:rPr>
          <w:rFonts w:ascii="Times New Roman" w:hAnsi="Times New Roman" w:cs="Times New Roman"/>
          <w:i/>
          <w:iCs/>
          <w:sz w:val="24"/>
          <w:szCs w:val="24"/>
        </w:rPr>
        <w:t>Mindtools.com</w:t>
      </w:r>
      <w:r w:rsidRPr="00CC6050">
        <w:rPr>
          <w:rFonts w:ascii="Times New Roman" w:hAnsi="Times New Roman" w:cs="Times New Roman"/>
          <w:sz w:val="24"/>
          <w:szCs w:val="24"/>
        </w:rPr>
        <w:t>. Available at: https://www.mindtools.com/a1ecvyx/hofstedes-cultural-dimensions (Accessed: March 16, 2024).</w:t>
      </w:r>
    </w:p>
    <w:p w14:paraId="1B3FDFB3"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lastRenderedPageBreak/>
        <w:t>Morales, I. (2018) </w:t>
      </w:r>
      <w:r w:rsidRPr="00CC6050">
        <w:rPr>
          <w:rFonts w:ascii="Times New Roman" w:hAnsi="Times New Roman" w:cs="Times New Roman"/>
          <w:i/>
          <w:iCs/>
          <w:sz w:val="24"/>
          <w:szCs w:val="24"/>
        </w:rPr>
        <w:t>Oxfordre.com</w:t>
      </w:r>
      <w:r w:rsidRPr="00CC6050">
        <w:rPr>
          <w:rFonts w:ascii="Times New Roman" w:hAnsi="Times New Roman" w:cs="Times New Roman"/>
          <w:sz w:val="24"/>
          <w:szCs w:val="24"/>
        </w:rPr>
        <w:t>. Available at: https://oxfordre.com/politics/display/10.1093/acrefore/9780190228637.001.0001/acrefore-9780190228637-e-259 (Accessed: March 16, 2024).</w:t>
      </w:r>
    </w:p>
    <w:p w14:paraId="7C759411"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Osl</w:t>
      </w:r>
      <w:r w:rsidR="00C45222">
        <w:rPr>
          <w:rFonts w:ascii="Times New Roman" w:hAnsi="Times New Roman" w:cs="Times New Roman"/>
          <w:sz w:val="24"/>
          <w:szCs w:val="24"/>
        </w:rPr>
        <w:t>and, et al</w:t>
      </w:r>
      <w:r w:rsidRPr="00CC6050">
        <w:rPr>
          <w:rFonts w:ascii="Times New Roman" w:hAnsi="Times New Roman" w:cs="Times New Roman"/>
          <w:sz w:val="24"/>
          <w:szCs w:val="24"/>
        </w:rPr>
        <w:t>. (2020) </w:t>
      </w:r>
      <w:r w:rsidRPr="00CC6050">
        <w:rPr>
          <w:rFonts w:ascii="Times New Roman" w:hAnsi="Times New Roman" w:cs="Times New Roman"/>
          <w:i/>
          <w:iCs/>
          <w:sz w:val="24"/>
          <w:szCs w:val="24"/>
        </w:rPr>
        <w:t>Researchgate.net</w:t>
      </w:r>
      <w:r w:rsidRPr="00CC6050">
        <w:rPr>
          <w:rFonts w:ascii="Times New Roman" w:hAnsi="Times New Roman" w:cs="Times New Roman"/>
          <w:sz w:val="24"/>
          <w:szCs w:val="24"/>
        </w:rPr>
        <w:t>. Available at: https://www.researchgate.net/publication/343194981_Communication_and_culture_in_international_business_-_Moving_the_field_forward (Accessed: March 16, 2024).</w:t>
      </w:r>
    </w:p>
    <w:p w14:paraId="45BE394D"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Rudolf, U. J. and Berg, W. G. (2010) </w:t>
      </w:r>
      <w:r w:rsidRPr="00CC6050">
        <w:rPr>
          <w:rFonts w:ascii="Times New Roman" w:hAnsi="Times New Roman" w:cs="Times New Roman"/>
          <w:i/>
          <w:iCs/>
          <w:sz w:val="24"/>
          <w:szCs w:val="24"/>
        </w:rPr>
        <w:t>Historical dictionary of Malta 2e</w:t>
      </w:r>
      <w:r w:rsidRPr="00CC6050">
        <w:rPr>
          <w:rFonts w:ascii="Times New Roman" w:hAnsi="Times New Roman" w:cs="Times New Roman"/>
          <w:sz w:val="24"/>
          <w:szCs w:val="24"/>
        </w:rPr>
        <w:t>. 2nd ed. Scarecrow Press. Available at: https://books.google.at/books?id=nwuUOVkaMB0C.</w:t>
      </w:r>
    </w:p>
    <w:p w14:paraId="2DA912D2"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Shell</w:t>
      </w:r>
      <w:r w:rsidR="00727881">
        <w:rPr>
          <w:rFonts w:ascii="Times New Roman" w:hAnsi="Times New Roman" w:cs="Times New Roman"/>
          <w:sz w:val="24"/>
          <w:szCs w:val="24"/>
        </w:rPr>
        <w:t xml:space="preserve"> Global</w:t>
      </w:r>
      <w:r w:rsidRPr="00CC6050">
        <w:rPr>
          <w:rFonts w:ascii="Times New Roman" w:hAnsi="Times New Roman" w:cs="Times New Roman"/>
          <w:sz w:val="24"/>
          <w:szCs w:val="24"/>
        </w:rPr>
        <w:t xml:space="preserve"> (2024) </w:t>
      </w:r>
      <w:r w:rsidRPr="00CC6050">
        <w:rPr>
          <w:rFonts w:ascii="Times New Roman" w:hAnsi="Times New Roman" w:cs="Times New Roman"/>
          <w:i/>
          <w:iCs/>
          <w:sz w:val="24"/>
          <w:szCs w:val="24"/>
        </w:rPr>
        <w:t>Our company history</w:t>
      </w:r>
      <w:r w:rsidRPr="00CC6050">
        <w:rPr>
          <w:rFonts w:ascii="Times New Roman" w:hAnsi="Times New Roman" w:cs="Times New Roman"/>
          <w:sz w:val="24"/>
          <w:szCs w:val="24"/>
        </w:rPr>
        <w:t>, </w:t>
      </w:r>
      <w:r w:rsidRPr="00CC6050">
        <w:rPr>
          <w:rFonts w:ascii="Times New Roman" w:hAnsi="Times New Roman" w:cs="Times New Roman"/>
          <w:i/>
          <w:iCs/>
          <w:sz w:val="24"/>
          <w:szCs w:val="24"/>
        </w:rPr>
        <w:t>Shell.com</w:t>
      </w:r>
      <w:r w:rsidRPr="00CC6050">
        <w:rPr>
          <w:rFonts w:ascii="Times New Roman" w:hAnsi="Times New Roman" w:cs="Times New Roman"/>
          <w:sz w:val="24"/>
          <w:szCs w:val="24"/>
        </w:rPr>
        <w:t>. Available at: https://www.shell.com/who-we-are/our-history/our-company-history.html (Accessed: March 16, 2024).</w:t>
      </w:r>
    </w:p>
    <w:p w14:paraId="4A43BF95"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Thomas, O. (2016) </w:t>
      </w:r>
      <w:r w:rsidRPr="00CC6050">
        <w:rPr>
          <w:rFonts w:ascii="Times New Roman" w:hAnsi="Times New Roman" w:cs="Times New Roman"/>
          <w:i/>
          <w:iCs/>
          <w:sz w:val="24"/>
          <w:szCs w:val="24"/>
        </w:rPr>
        <w:t>How and why Shell recalibrated its leadership development</w:t>
      </w:r>
      <w:r w:rsidRPr="00CC6050">
        <w:rPr>
          <w:rFonts w:ascii="Times New Roman" w:hAnsi="Times New Roman" w:cs="Times New Roman"/>
          <w:sz w:val="24"/>
          <w:szCs w:val="24"/>
        </w:rPr>
        <w:t>, </w:t>
      </w:r>
      <w:r w:rsidRPr="00CC6050">
        <w:rPr>
          <w:rFonts w:ascii="Times New Roman" w:hAnsi="Times New Roman" w:cs="Times New Roman"/>
          <w:i/>
          <w:iCs/>
          <w:sz w:val="24"/>
          <w:szCs w:val="24"/>
        </w:rPr>
        <w:t>HRD</w:t>
      </w:r>
      <w:r w:rsidRPr="00CC6050">
        <w:rPr>
          <w:rFonts w:ascii="Times New Roman" w:hAnsi="Times New Roman" w:cs="Times New Roman"/>
          <w:sz w:val="24"/>
          <w:szCs w:val="24"/>
        </w:rPr>
        <w:t>. Available at: https://www.hrdconnect.com/2016/04/04/how-and-why-shell-recalibrated-its-leadership-development/ (Accessed: March 16, 2024).</w:t>
      </w:r>
    </w:p>
    <w:p w14:paraId="241980EF"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Times of Malta (2016) </w:t>
      </w:r>
      <w:r w:rsidRPr="00CC6050">
        <w:rPr>
          <w:rFonts w:ascii="Times New Roman" w:hAnsi="Times New Roman" w:cs="Times New Roman"/>
          <w:i/>
          <w:iCs/>
          <w:sz w:val="24"/>
          <w:szCs w:val="24"/>
        </w:rPr>
        <w:t>Gender equality in business</w:t>
      </w:r>
      <w:r w:rsidRPr="00CC6050">
        <w:rPr>
          <w:rFonts w:ascii="Times New Roman" w:hAnsi="Times New Roman" w:cs="Times New Roman"/>
          <w:sz w:val="24"/>
          <w:szCs w:val="24"/>
        </w:rPr>
        <w:t>, </w:t>
      </w:r>
      <w:r w:rsidRPr="00CC6050">
        <w:rPr>
          <w:rFonts w:ascii="Times New Roman" w:hAnsi="Times New Roman" w:cs="Times New Roman"/>
          <w:i/>
          <w:iCs/>
          <w:sz w:val="24"/>
          <w:szCs w:val="24"/>
        </w:rPr>
        <w:t>Times of Malta</w:t>
      </w:r>
      <w:r w:rsidRPr="00CC6050">
        <w:rPr>
          <w:rFonts w:ascii="Times New Roman" w:hAnsi="Times New Roman" w:cs="Times New Roman"/>
          <w:sz w:val="24"/>
          <w:szCs w:val="24"/>
        </w:rPr>
        <w:t>. Available at: https://timesofmalta.com/article/Gender-equality-in-business.621754 (Accessed: March 16, 2024).</w:t>
      </w:r>
    </w:p>
    <w:p w14:paraId="01742772"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i/>
          <w:iCs/>
          <w:sz w:val="24"/>
          <w:szCs w:val="24"/>
        </w:rPr>
        <w:t>VAT rates in Europe 2024</w:t>
      </w:r>
      <w:r w:rsidRPr="00CC6050">
        <w:rPr>
          <w:rFonts w:ascii="Times New Roman" w:hAnsi="Times New Roman" w:cs="Times New Roman"/>
          <w:sz w:val="24"/>
          <w:szCs w:val="24"/>
        </w:rPr>
        <w:t> (2021) </w:t>
      </w:r>
      <w:r w:rsidRPr="00CC6050">
        <w:rPr>
          <w:rFonts w:ascii="Times New Roman" w:hAnsi="Times New Roman" w:cs="Times New Roman"/>
          <w:i/>
          <w:iCs/>
          <w:sz w:val="24"/>
          <w:szCs w:val="24"/>
        </w:rPr>
        <w:t>Global VAT Compliance</w:t>
      </w:r>
      <w:r w:rsidRPr="00CC6050">
        <w:rPr>
          <w:rFonts w:ascii="Times New Roman" w:hAnsi="Times New Roman" w:cs="Times New Roman"/>
          <w:sz w:val="24"/>
          <w:szCs w:val="24"/>
        </w:rPr>
        <w:t>. Available at: https://www.globalvatcompliance.com/globalvatnews/vat-rates-in-europe-2021/ (Accessed: March 16, 2024).</w:t>
      </w:r>
    </w:p>
    <w:p w14:paraId="6019F2FD"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sz w:val="24"/>
          <w:szCs w:val="24"/>
        </w:rPr>
        <w:t>Warburton, K. (2017) </w:t>
      </w:r>
      <w:r w:rsidRPr="00CC6050">
        <w:rPr>
          <w:rFonts w:ascii="Times New Roman" w:hAnsi="Times New Roman" w:cs="Times New Roman"/>
          <w:i/>
          <w:iCs/>
          <w:sz w:val="24"/>
          <w:szCs w:val="24"/>
        </w:rPr>
        <w:t>British Communication Styles</w:t>
      </w:r>
      <w:r w:rsidRPr="00CC6050">
        <w:rPr>
          <w:rFonts w:ascii="Times New Roman" w:hAnsi="Times New Roman" w:cs="Times New Roman"/>
          <w:sz w:val="24"/>
          <w:szCs w:val="24"/>
        </w:rPr>
        <w:t>, </w:t>
      </w:r>
      <w:r w:rsidRPr="00CC6050">
        <w:rPr>
          <w:rFonts w:ascii="Times New Roman" w:hAnsi="Times New Roman" w:cs="Times New Roman"/>
          <w:i/>
          <w:iCs/>
          <w:sz w:val="24"/>
          <w:szCs w:val="24"/>
        </w:rPr>
        <w:t>World Business Culture</w:t>
      </w:r>
      <w:r w:rsidRPr="00CC6050">
        <w:rPr>
          <w:rFonts w:ascii="Times New Roman" w:hAnsi="Times New Roman" w:cs="Times New Roman"/>
          <w:sz w:val="24"/>
          <w:szCs w:val="24"/>
        </w:rPr>
        <w:t>. Available at: https://www.worldbusinessculture.com/country-profiles/great-britain/business-communication-style/ (Accessed: March 16, 2024).</w:t>
      </w:r>
    </w:p>
    <w:p w14:paraId="5E8BC50D" w14:textId="77777777" w:rsidR="00CC6050" w:rsidRPr="00CC6050" w:rsidRDefault="00CC6050" w:rsidP="00727881">
      <w:pPr>
        <w:spacing w:line="360" w:lineRule="auto"/>
        <w:rPr>
          <w:rFonts w:ascii="Times New Roman" w:hAnsi="Times New Roman" w:cs="Times New Roman"/>
          <w:sz w:val="24"/>
          <w:szCs w:val="24"/>
        </w:rPr>
      </w:pPr>
      <w:r w:rsidRPr="00CC6050">
        <w:rPr>
          <w:rFonts w:ascii="Times New Roman" w:hAnsi="Times New Roman" w:cs="Times New Roman"/>
          <w:i/>
          <w:iCs/>
          <w:sz w:val="24"/>
          <w:szCs w:val="24"/>
        </w:rPr>
        <w:t>What two official languages do people speak in Malta?</w:t>
      </w:r>
      <w:r w:rsidRPr="00CC6050">
        <w:rPr>
          <w:rFonts w:ascii="Times New Roman" w:hAnsi="Times New Roman" w:cs="Times New Roman"/>
          <w:sz w:val="24"/>
          <w:szCs w:val="24"/>
        </w:rPr>
        <w:t> (2021) </w:t>
      </w:r>
      <w:r w:rsidRPr="00CC6050">
        <w:rPr>
          <w:rFonts w:ascii="Times New Roman" w:hAnsi="Times New Roman" w:cs="Times New Roman"/>
          <w:i/>
          <w:iCs/>
          <w:sz w:val="24"/>
          <w:szCs w:val="24"/>
        </w:rPr>
        <w:t>Vcmsmaltarentals.com</w:t>
      </w:r>
      <w:r w:rsidRPr="00CC6050">
        <w:rPr>
          <w:rFonts w:ascii="Times New Roman" w:hAnsi="Times New Roman" w:cs="Times New Roman"/>
          <w:sz w:val="24"/>
          <w:szCs w:val="24"/>
        </w:rPr>
        <w:t>. Available at: https://www.vcmsmaltarentals.com/blog/what-language-do-they-speak-in-malta/ (Accessed: March 16, 2024).</w:t>
      </w:r>
    </w:p>
    <w:p w14:paraId="331373AB" w14:textId="77777777" w:rsidR="00CC6050" w:rsidRPr="00CC6050" w:rsidRDefault="00727881" w:rsidP="00727881">
      <w:pPr>
        <w:spacing w:line="360" w:lineRule="auto"/>
        <w:rPr>
          <w:rFonts w:ascii="Times New Roman" w:hAnsi="Times New Roman" w:cs="Times New Roman"/>
          <w:sz w:val="24"/>
          <w:szCs w:val="24"/>
        </w:rPr>
      </w:pPr>
      <w:r>
        <w:rPr>
          <w:rFonts w:ascii="Times New Roman" w:hAnsi="Times New Roman" w:cs="Times New Roman"/>
          <w:sz w:val="24"/>
          <w:szCs w:val="24"/>
        </w:rPr>
        <w:t>Cyprus per capita GDP (2024)</w:t>
      </w:r>
      <w:r w:rsidR="00CC6050" w:rsidRPr="00CC6050">
        <w:rPr>
          <w:rFonts w:ascii="Times New Roman" w:hAnsi="Times New Roman" w:cs="Times New Roman"/>
          <w:sz w:val="24"/>
          <w:szCs w:val="24"/>
        </w:rPr>
        <w:t> </w:t>
      </w:r>
      <w:r w:rsidR="00CC6050" w:rsidRPr="00CC6050">
        <w:rPr>
          <w:rFonts w:ascii="Times New Roman" w:hAnsi="Times New Roman" w:cs="Times New Roman"/>
          <w:i/>
          <w:iCs/>
          <w:sz w:val="24"/>
          <w:szCs w:val="24"/>
        </w:rPr>
        <w:t>Imf.org</w:t>
      </w:r>
      <w:r w:rsidR="00CC6050" w:rsidRPr="00CC6050">
        <w:rPr>
          <w:rFonts w:ascii="Times New Roman" w:hAnsi="Times New Roman" w:cs="Times New Roman"/>
          <w:sz w:val="24"/>
          <w:szCs w:val="24"/>
        </w:rPr>
        <w:t>. Available at: https://www.imf.org/en/Publications/WEO/weo-database/2023/October/weo-report?c=423,&amp;s=NGDP_RPCH,NGDPD,PPPGDP,NGDPDPC,PPPPC,PCPIPCH,LUR,LP,</w:t>
      </w:r>
      <w:r w:rsidR="00CC6050" w:rsidRPr="00CC6050">
        <w:rPr>
          <w:rFonts w:ascii="Times New Roman" w:hAnsi="Times New Roman" w:cs="Times New Roman"/>
          <w:sz w:val="24"/>
          <w:szCs w:val="24"/>
        </w:rPr>
        <w:lastRenderedPageBreak/>
        <w:t>&amp;sy=2020&amp;ey=2024&amp;ssm=0&amp;scsm=1&amp;scc=0&amp;ssd=1&amp;ssc=0&amp;sic=0&amp;sort=country&amp;ds=.&amp;br=1 (Accessed: March 16, 2024).</w:t>
      </w:r>
    </w:p>
    <w:p w14:paraId="0C4928D6" w14:textId="77777777" w:rsidR="00CC6050" w:rsidRDefault="00CC6050" w:rsidP="00CC6050">
      <w:pPr>
        <w:spacing w:line="360" w:lineRule="auto"/>
        <w:rPr>
          <w:color w:val="000000" w:themeColor="text1"/>
          <w:sz w:val="32"/>
          <w:szCs w:val="32"/>
        </w:rPr>
      </w:pPr>
    </w:p>
    <w:sectPr w:rsidR="00CC6050" w:rsidSect="00DC46F0">
      <w:headerReference w:type="default" r:id="rId9"/>
      <w:footerReference w:type="default" r:id="rId10"/>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249F9" w14:textId="77777777" w:rsidR="00DC46F0" w:rsidRDefault="00DC46F0" w:rsidP="00AD741D">
      <w:pPr>
        <w:spacing w:after="0" w:line="240" w:lineRule="auto"/>
      </w:pPr>
      <w:r>
        <w:separator/>
      </w:r>
    </w:p>
  </w:endnote>
  <w:endnote w:type="continuationSeparator" w:id="0">
    <w:p w14:paraId="52B09DC0" w14:textId="77777777" w:rsidR="00DC46F0" w:rsidRDefault="00DC46F0" w:rsidP="00AD7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5528687"/>
      <w:docPartObj>
        <w:docPartGallery w:val="Page Numbers (Bottom of Page)"/>
        <w:docPartUnique/>
      </w:docPartObj>
    </w:sdtPr>
    <w:sdtEndPr>
      <w:rPr>
        <w:noProof/>
      </w:rPr>
    </w:sdtEndPr>
    <w:sdtContent>
      <w:p w14:paraId="6D86F870" w14:textId="77777777" w:rsidR="00CC6050" w:rsidRDefault="00000000">
        <w:pPr>
          <w:pStyle w:val="Footer"/>
          <w:jc w:val="center"/>
        </w:pPr>
        <w:r>
          <w:fldChar w:fldCharType="begin"/>
        </w:r>
        <w:r>
          <w:instrText xml:space="preserve"> PAGE   \* MERGEFORMAT </w:instrText>
        </w:r>
        <w:r>
          <w:fldChar w:fldCharType="separate"/>
        </w:r>
        <w:r w:rsidR="008B448F">
          <w:rPr>
            <w:noProof/>
          </w:rPr>
          <w:t>14</w:t>
        </w:r>
        <w:r>
          <w:rPr>
            <w:noProof/>
          </w:rPr>
          <w:fldChar w:fldCharType="end"/>
        </w:r>
      </w:p>
    </w:sdtContent>
  </w:sdt>
  <w:p w14:paraId="6DF5CBD5" w14:textId="77777777" w:rsidR="00CC6050" w:rsidRDefault="00CC6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65074" w14:textId="77777777" w:rsidR="00DC46F0" w:rsidRDefault="00DC46F0" w:rsidP="00AD741D">
      <w:pPr>
        <w:spacing w:after="0" w:line="240" w:lineRule="auto"/>
      </w:pPr>
      <w:r>
        <w:separator/>
      </w:r>
    </w:p>
  </w:footnote>
  <w:footnote w:type="continuationSeparator" w:id="0">
    <w:p w14:paraId="3D8458BC" w14:textId="77777777" w:rsidR="00DC46F0" w:rsidRDefault="00DC46F0" w:rsidP="00AD74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5E1EB" w14:textId="77777777" w:rsidR="00CC6050" w:rsidRDefault="00CC6050">
    <w:pPr>
      <w:pStyle w:val="Header"/>
      <w:jc w:val="right"/>
    </w:pPr>
  </w:p>
  <w:p w14:paraId="5138E357" w14:textId="77777777" w:rsidR="00CC6050" w:rsidRPr="00695EB0" w:rsidRDefault="00CC6050" w:rsidP="00454AA5">
    <w:pPr>
      <w:pStyle w:val="Header"/>
      <w:jc w:val="both"/>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E75AF"/>
    <w:multiLevelType w:val="hybridMultilevel"/>
    <w:tmpl w:val="E52A37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1C3BCC"/>
    <w:multiLevelType w:val="multilevel"/>
    <w:tmpl w:val="7A988316"/>
    <w:lvl w:ilvl="0">
      <w:start w:val="1"/>
      <w:numFmt w:val="lowerLetter"/>
      <w:lvlText w:val="%1."/>
      <w:lvlJc w:val="left"/>
      <w:pPr>
        <w:tabs>
          <w:tab w:val="num" w:pos="720"/>
        </w:tabs>
        <w:ind w:left="720" w:hanging="360"/>
      </w:pPr>
    </w:lvl>
    <w:lvl w:ilvl="1">
      <w:numFmt w:val="bullet"/>
      <w:lvlText w:val="-"/>
      <w:lvlJc w:val="left"/>
      <w:pPr>
        <w:ind w:left="1440" w:hanging="360"/>
      </w:pPr>
      <w:rPr>
        <w:rFonts w:ascii="Calibri" w:eastAsia="Times New Roman" w:hAnsi="Calibri" w:cs="Calibri"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5E556C2"/>
    <w:multiLevelType w:val="hybridMultilevel"/>
    <w:tmpl w:val="2CC27864"/>
    <w:lvl w:ilvl="0" w:tplc="2C6A4DC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3C6380"/>
    <w:multiLevelType w:val="hybridMultilevel"/>
    <w:tmpl w:val="72A81B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3660C9"/>
    <w:multiLevelType w:val="hybridMultilevel"/>
    <w:tmpl w:val="1E5873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F322D6"/>
    <w:multiLevelType w:val="hybridMultilevel"/>
    <w:tmpl w:val="C58C0F0C"/>
    <w:lvl w:ilvl="0" w:tplc="3A64693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1502DD"/>
    <w:multiLevelType w:val="hybridMultilevel"/>
    <w:tmpl w:val="2D2ECA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2684098"/>
    <w:multiLevelType w:val="hybridMultilevel"/>
    <w:tmpl w:val="2AFC52D2"/>
    <w:lvl w:ilvl="0" w:tplc="8FBEF6C2">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74115D"/>
    <w:multiLevelType w:val="hybridMultilevel"/>
    <w:tmpl w:val="AE98A874"/>
    <w:lvl w:ilvl="0" w:tplc="DFAE98D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3F54F0"/>
    <w:multiLevelType w:val="hybridMultilevel"/>
    <w:tmpl w:val="BC4E729E"/>
    <w:lvl w:ilvl="0" w:tplc="D154416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F17709"/>
    <w:multiLevelType w:val="hybridMultilevel"/>
    <w:tmpl w:val="EDB28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0AF15B4"/>
    <w:multiLevelType w:val="hybridMultilevel"/>
    <w:tmpl w:val="A00681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431290B"/>
    <w:multiLevelType w:val="hybridMultilevel"/>
    <w:tmpl w:val="C898F7CA"/>
    <w:lvl w:ilvl="0" w:tplc="A032295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B405FD9"/>
    <w:multiLevelType w:val="multilevel"/>
    <w:tmpl w:val="CA2E0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A347C2"/>
    <w:multiLevelType w:val="hybridMultilevel"/>
    <w:tmpl w:val="961EA748"/>
    <w:lvl w:ilvl="0" w:tplc="EF7856C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9E66F01"/>
    <w:multiLevelType w:val="hybridMultilevel"/>
    <w:tmpl w:val="771866E8"/>
    <w:lvl w:ilvl="0" w:tplc="32B6B6D2">
      <w:start w:val="1"/>
      <w:numFmt w:val="bullet"/>
      <w:lvlText w:val=""/>
      <w:lvlJc w:val="left"/>
      <w:pPr>
        <w:ind w:left="720" w:hanging="360"/>
      </w:pPr>
      <w:rPr>
        <w:rFonts w:ascii="Symbol" w:hAnsi="Symbol" w:hint="default"/>
      </w:rPr>
    </w:lvl>
    <w:lvl w:ilvl="1" w:tplc="0F546EF2" w:tentative="1">
      <w:start w:val="1"/>
      <w:numFmt w:val="bullet"/>
      <w:lvlText w:val="o"/>
      <w:lvlJc w:val="left"/>
      <w:pPr>
        <w:ind w:left="1440" w:hanging="360"/>
      </w:pPr>
      <w:rPr>
        <w:rFonts w:ascii="Courier New" w:hAnsi="Courier New" w:cs="Courier New" w:hint="default"/>
      </w:rPr>
    </w:lvl>
    <w:lvl w:ilvl="2" w:tplc="C4081B10" w:tentative="1">
      <w:start w:val="1"/>
      <w:numFmt w:val="bullet"/>
      <w:lvlText w:val=""/>
      <w:lvlJc w:val="left"/>
      <w:pPr>
        <w:ind w:left="2160" w:hanging="360"/>
      </w:pPr>
      <w:rPr>
        <w:rFonts w:ascii="Wingdings" w:hAnsi="Wingdings" w:hint="default"/>
      </w:rPr>
    </w:lvl>
    <w:lvl w:ilvl="3" w:tplc="BB58D146" w:tentative="1">
      <w:start w:val="1"/>
      <w:numFmt w:val="bullet"/>
      <w:lvlText w:val=""/>
      <w:lvlJc w:val="left"/>
      <w:pPr>
        <w:ind w:left="2880" w:hanging="360"/>
      </w:pPr>
      <w:rPr>
        <w:rFonts w:ascii="Symbol" w:hAnsi="Symbol" w:hint="default"/>
      </w:rPr>
    </w:lvl>
    <w:lvl w:ilvl="4" w:tplc="F2C4E9E2" w:tentative="1">
      <w:start w:val="1"/>
      <w:numFmt w:val="bullet"/>
      <w:lvlText w:val="o"/>
      <w:lvlJc w:val="left"/>
      <w:pPr>
        <w:ind w:left="3600" w:hanging="360"/>
      </w:pPr>
      <w:rPr>
        <w:rFonts w:ascii="Courier New" w:hAnsi="Courier New" w:cs="Courier New" w:hint="default"/>
      </w:rPr>
    </w:lvl>
    <w:lvl w:ilvl="5" w:tplc="2D52E9FC" w:tentative="1">
      <w:start w:val="1"/>
      <w:numFmt w:val="bullet"/>
      <w:lvlText w:val=""/>
      <w:lvlJc w:val="left"/>
      <w:pPr>
        <w:ind w:left="4320" w:hanging="360"/>
      </w:pPr>
      <w:rPr>
        <w:rFonts w:ascii="Wingdings" w:hAnsi="Wingdings" w:hint="default"/>
      </w:rPr>
    </w:lvl>
    <w:lvl w:ilvl="6" w:tplc="12802A5C" w:tentative="1">
      <w:start w:val="1"/>
      <w:numFmt w:val="bullet"/>
      <w:lvlText w:val=""/>
      <w:lvlJc w:val="left"/>
      <w:pPr>
        <w:ind w:left="5040" w:hanging="360"/>
      </w:pPr>
      <w:rPr>
        <w:rFonts w:ascii="Symbol" w:hAnsi="Symbol" w:hint="default"/>
      </w:rPr>
    </w:lvl>
    <w:lvl w:ilvl="7" w:tplc="5D10A682" w:tentative="1">
      <w:start w:val="1"/>
      <w:numFmt w:val="bullet"/>
      <w:lvlText w:val="o"/>
      <w:lvlJc w:val="left"/>
      <w:pPr>
        <w:ind w:left="5760" w:hanging="360"/>
      </w:pPr>
      <w:rPr>
        <w:rFonts w:ascii="Courier New" w:hAnsi="Courier New" w:cs="Courier New" w:hint="default"/>
      </w:rPr>
    </w:lvl>
    <w:lvl w:ilvl="8" w:tplc="7C461392" w:tentative="1">
      <w:start w:val="1"/>
      <w:numFmt w:val="bullet"/>
      <w:lvlText w:val=""/>
      <w:lvlJc w:val="left"/>
      <w:pPr>
        <w:ind w:left="6480" w:hanging="360"/>
      </w:pPr>
      <w:rPr>
        <w:rFonts w:ascii="Wingdings" w:hAnsi="Wingdings" w:hint="default"/>
      </w:rPr>
    </w:lvl>
  </w:abstractNum>
  <w:abstractNum w:abstractNumId="16" w15:restartNumberingAfterBreak="0">
    <w:nsid w:val="3B794B80"/>
    <w:multiLevelType w:val="hybridMultilevel"/>
    <w:tmpl w:val="DBDACC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C961490"/>
    <w:multiLevelType w:val="multilevel"/>
    <w:tmpl w:val="31F25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D7533D"/>
    <w:multiLevelType w:val="multilevel"/>
    <w:tmpl w:val="19EA75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FC49E6"/>
    <w:multiLevelType w:val="hybridMultilevel"/>
    <w:tmpl w:val="3AFAF63E"/>
    <w:lvl w:ilvl="0" w:tplc="9E3625D4">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8751BE"/>
    <w:multiLevelType w:val="multilevel"/>
    <w:tmpl w:val="6714C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A42FC2"/>
    <w:multiLevelType w:val="hybridMultilevel"/>
    <w:tmpl w:val="1214D556"/>
    <w:lvl w:ilvl="0" w:tplc="E116BC0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1382A00"/>
    <w:multiLevelType w:val="hybridMultilevel"/>
    <w:tmpl w:val="F4561D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52E568DC"/>
    <w:multiLevelType w:val="hybridMultilevel"/>
    <w:tmpl w:val="6C569E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8184A50"/>
    <w:multiLevelType w:val="hybridMultilevel"/>
    <w:tmpl w:val="ED5EF636"/>
    <w:lvl w:ilvl="0" w:tplc="422E3A1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835139"/>
    <w:multiLevelType w:val="hybridMultilevel"/>
    <w:tmpl w:val="D0DAFBC2"/>
    <w:lvl w:ilvl="0" w:tplc="9A703C04">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ACC0C42"/>
    <w:multiLevelType w:val="multilevel"/>
    <w:tmpl w:val="E618CCE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5BCE4042"/>
    <w:multiLevelType w:val="hybridMultilevel"/>
    <w:tmpl w:val="E3F2745C"/>
    <w:lvl w:ilvl="0" w:tplc="5B5092B8">
      <w:start w:val="1"/>
      <w:numFmt w:val="bullet"/>
      <w:lvlText w:val="-"/>
      <w:lvlJc w:val="left"/>
      <w:pPr>
        <w:tabs>
          <w:tab w:val="num" w:pos="720"/>
        </w:tabs>
        <w:ind w:left="720" w:hanging="360"/>
      </w:pPr>
      <w:rPr>
        <w:rFonts w:ascii="Times New Roman" w:hAnsi="Times New Roman" w:hint="default"/>
      </w:rPr>
    </w:lvl>
    <w:lvl w:ilvl="1" w:tplc="4392B84A" w:tentative="1">
      <w:start w:val="1"/>
      <w:numFmt w:val="bullet"/>
      <w:lvlText w:val="-"/>
      <w:lvlJc w:val="left"/>
      <w:pPr>
        <w:tabs>
          <w:tab w:val="num" w:pos="1440"/>
        </w:tabs>
        <w:ind w:left="1440" w:hanging="360"/>
      </w:pPr>
      <w:rPr>
        <w:rFonts w:ascii="Times New Roman" w:hAnsi="Times New Roman" w:hint="default"/>
      </w:rPr>
    </w:lvl>
    <w:lvl w:ilvl="2" w:tplc="5E3CBBF8" w:tentative="1">
      <w:start w:val="1"/>
      <w:numFmt w:val="bullet"/>
      <w:lvlText w:val="-"/>
      <w:lvlJc w:val="left"/>
      <w:pPr>
        <w:tabs>
          <w:tab w:val="num" w:pos="2160"/>
        </w:tabs>
        <w:ind w:left="2160" w:hanging="360"/>
      </w:pPr>
      <w:rPr>
        <w:rFonts w:ascii="Times New Roman" w:hAnsi="Times New Roman" w:hint="default"/>
      </w:rPr>
    </w:lvl>
    <w:lvl w:ilvl="3" w:tplc="8D9049A8" w:tentative="1">
      <w:start w:val="1"/>
      <w:numFmt w:val="bullet"/>
      <w:lvlText w:val="-"/>
      <w:lvlJc w:val="left"/>
      <w:pPr>
        <w:tabs>
          <w:tab w:val="num" w:pos="2880"/>
        </w:tabs>
        <w:ind w:left="2880" w:hanging="360"/>
      </w:pPr>
      <w:rPr>
        <w:rFonts w:ascii="Times New Roman" w:hAnsi="Times New Roman" w:hint="default"/>
      </w:rPr>
    </w:lvl>
    <w:lvl w:ilvl="4" w:tplc="1AEC4C86" w:tentative="1">
      <w:start w:val="1"/>
      <w:numFmt w:val="bullet"/>
      <w:lvlText w:val="-"/>
      <w:lvlJc w:val="left"/>
      <w:pPr>
        <w:tabs>
          <w:tab w:val="num" w:pos="3600"/>
        </w:tabs>
        <w:ind w:left="3600" w:hanging="360"/>
      </w:pPr>
      <w:rPr>
        <w:rFonts w:ascii="Times New Roman" w:hAnsi="Times New Roman" w:hint="default"/>
      </w:rPr>
    </w:lvl>
    <w:lvl w:ilvl="5" w:tplc="FFDEAD0A" w:tentative="1">
      <w:start w:val="1"/>
      <w:numFmt w:val="bullet"/>
      <w:lvlText w:val="-"/>
      <w:lvlJc w:val="left"/>
      <w:pPr>
        <w:tabs>
          <w:tab w:val="num" w:pos="4320"/>
        </w:tabs>
        <w:ind w:left="4320" w:hanging="360"/>
      </w:pPr>
      <w:rPr>
        <w:rFonts w:ascii="Times New Roman" w:hAnsi="Times New Roman" w:hint="default"/>
      </w:rPr>
    </w:lvl>
    <w:lvl w:ilvl="6" w:tplc="D9067E2A" w:tentative="1">
      <w:start w:val="1"/>
      <w:numFmt w:val="bullet"/>
      <w:lvlText w:val="-"/>
      <w:lvlJc w:val="left"/>
      <w:pPr>
        <w:tabs>
          <w:tab w:val="num" w:pos="5040"/>
        </w:tabs>
        <w:ind w:left="5040" w:hanging="360"/>
      </w:pPr>
      <w:rPr>
        <w:rFonts w:ascii="Times New Roman" w:hAnsi="Times New Roman" w:hint="default"/>
      </w:rPr>
    </w:lvl>
    <w:lvl w:ilvl="7" w:tplc="B6E88060" w:tentative="1">
      <w:start w:val="1"/>
      <w:numFmt w:val="bullet"/>
      <w:lvlText w:val="-"/>
      <w:lvlJc w:val="left"/>
      <w:pPr>
        <w:tabs>
          <w:tab w:val="num" w:pos="5760"/>
        </w:tabs>
        <w:ind w:left="5760" w:hanging="360"/>
      </w:pPr>
      <w:rPr>
        <w:rFonts w:ascii="Times New Roman" w:hAnsi="Times New Roman" w:hint="default"/>
      </w:rPr>
    </w:lvl>
    <w:lvl w:ilvl="8" w:tplc="40487096"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5D1C435C"/>
    <w:multiLevelType w:val="hybridMultilevel"/>
    <w:tmpl w:val="C908C57C"/>
    <w:lvl w:ilvl="0" w:tplc="422E3A10">
      <w:numFmt w:val="bullet"/>
      <w:lvlText w:val="-"/>
      <w:lvlJc w:val="left"/>
      <w:pPr>
        <w:ind w:left="720" w:hanging="360"/>
      </w:pPr>
      <w:rPr>
        <w:rFonts w:ascii="Times New Roman" w:eastAsia="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E6C32C7"/>
    <w:multiLevelType w:val="hybridMultilevel"/>
    <w:tmpl w:val="2DD467B4"/>
    <w:lvl w:ilvl="0" w:tplc="17E4EE1C">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4154524"/>
    <w:multiLevelType w:val="hybridMultilevel"/>
    <w:tmpl w:val="1FB23BC0"/>
    <w:lvl w:ilvl="0" w:tplc="E69A44F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5AA7B42"/>
    <w:multiLevelType w:val="hybridMultilevel"/>
    <w:tmpl w:val="BF4E979E"/>
    <w:lvl w:ilvl="0" w:tplc="9E3625D4">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5C5744B"/>
    <w:multiLevelType w:val="hybridMultilevel"/>
    <w:tmpl w:val="487AC43A"/>
    <w:lvl w:ilvl="0" w:tplc="230E3FA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79B05B2"/>
    <w:multiLevelType w:val="multilevel"/>
    <w:tmpl w:val="5736034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4" w15:restartNumberingAfterBreak="0">
    <w:nsid w:val="68E56A2E"/>
    <w:multiLevelType w:val="hybridMultilevel"/>
    <w:tmpl w:val="339EC51C"/>
    <w:lvl w:ilvl="0" w:tplc="CD5244E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B001E5D"/>
    <w:multiLevelType w:val="hybridMultilevel"/>
    <w:tmpl w:val="7F661502"/>
    <w:lvl w:ilvl="0" w:tplc="0D82AAF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03F73B8"/>
    <w:multiLevelType w:val="hybridMultilevel"/>
    <w:tmpl w:val="16A07AB2"/>
    <w:lvl w:ilvl="0" w:tplc="365AACF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6752C7A"/>
    <w:multiLevelType w:val="multilevel"/>
    <w:tmpl w:val="24228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E21CFC"/>
    <w:multiLevelType w:val="multilevel"/>
    <w:tmpl w:val="695E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2A6A70"/>
    <w:multiLevelType w:val="hybridMultilevel"/>
    <w:tmpl w:val="4C62A4B4"/>
    <w:lvl w:ilvl="0" w:tplc="2D5A1B6C">
      <w:start w:val="1"/>
      <w:numFmt w:val="decimal"/>
      <w:lvlText w:val="%1."/>
      <w:lvlJc w:val="left"/>
      <w:pPr>
        <w:ind w:left="720" w:hanging="360"/>
      </w:pPr>
      <w:rPr>
        <w:rFonts w:ascii="Arial" w:hAnsi="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9697342"/>
    <w:multiLevelType w:val="hybridMultilevel"/>
    <w:tmpl w:val="305807FC"/>
    <w:lvl w:ilvl="0" w:tplc="7D4ADDB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A032766"/>
    <w:multiLevelType w:val="hybridMultilevel"/>
    <w:tmpl w:val="432685EA"/>
    <w:lvl w:ilvl="0" w:tplc="D2605E28">
      <w:start w:val="1"/>
      <w:numFmt w:val="bullet"/>
      <w:lvlText w:val="•"/>
      <w:lvlJc w:val="left"/>
      <w:pPr>
        <w:tabs>
          <w:tab w:val="num" w:pos="720"/>
        </w:tabs>
        <w:ind w:left="720" w:hanging="360"/>
      </w:pPr>
      <w:rPr>
        <w:rFonts w:ascii="Arial" w:hAnsi="Arial" w:hint="default"/>
      </w:rPr>
    </w:lvl>
    <w:lvl w:ilvl="1" w:tplc="76ECB1C2" w:tentative="1">
      <w:start w:val="1"/>
      <w:numFmt w:val="bullet"/>
      <w:lvlText w:val="•"/>
      <w:lvlJc w:val="left"/>
      <w:pPr>
        <w:tabs>
          <w:tab w:val="num" w:pos="1440"/>
        </w:tabs>
        <w:ind w:left="1440" w:hanging="360"/>
      </w:pPr>
      <w:rPr>
        <w:rFonts w:ascii="Arial" w:hAnsi="Arial" w:hint="default"/>
      </w:rPr>
    </w:lvl>
    <w:lvl w:ilvl="2" w:tplc="E9A4BBA0" w:tentative="1">
      <w:start w:val="1"/>
      <w:numFmt w:val="bullet"/>
      <w:lvlText w:val="•"/>
      <w:lvlJc w:val="left"/>
      <w:pPr>
        <w:tabs>
          <w:tab w:val="num" w:pos="2160"/>
        </w:tabs>
        <w:ind w:left="2160" w:hanging="360"/>
      </w:pPr>
      <w:rPr>
        <w:rFonts w:ascii="Arial" w:hAnsi="Arial" w:hint="default"/>
      </w:rPr>
    </w:lvl>
    <w:lvl w:ilvl="3" w:tplc="9F82E94C" w:tentative="1">
      <w:start w:val="1"/>
      <w:numFmt w:val="bullet"/>
      <w:lvlText w:val="•"/>
      <w:lvlJc w:val="left"/>
      <w:pPr>
        <w:tabs>
          <w:tab w:val="num" w:pos="2880"/>
        </w:tabs>
        <w:ind w:left="2880" w:hanging="360"/>
      </w:pPr>
      <w:rPr>
        <w:rFonts w:ascii="Arial" w:hAnsi="Arial" w:hint="default"/>
      </w:rPr>
    </w:lvl>
    <w:lvl w:ilvl="4" w:tplc="960CB3F4" w:tentative="1">
      <w:start w:val="1"/>
      <w:numFmt w:val="bullet"/>
      <w:lvlText w:val="•"/>
      <w:lvlJc w:val="left"/>
      <w:pPr>
        <w:tabs>
          <w:tab w:val="num" w:pos="3600"/>
        </w:tabs>
        <w:ind w:left="3600" w:hanging="360"/>
      </w:pPr>
      <w:rPr>
        <w:rFonts w:ascii="Arial" w:hAnsi="Arial" w:hint="default"/>
      </w:rPr>
    </w:lvl>
    <w:lvl w:ilvl="5" w:tplc="31B675A0" w:tentative="1">
      <w:start w:val="1"/>
      <w:numFmt w:val="bullet"/>
      <w:lvlText w:val="•"/>
      <w:lvlJc w:val="left"/>
      <w:pPr>
        <w:tabs>
          <w:tab w:val="num" w:pos="4320"/>
        </w:tabs>
        <w:ind w:left="4320" w:hanging="360"/>
      </w:pPr>
      <w:rPr>
        <w:rFonts w:ascii="Arial" w:hAnsi="Arial" w:hint="default"/>
      </w:rPr>
    </w:lvl>
    <w:lvl w:ilvl="6" w:tplc="E34EA4B2" w:tentative="1">
      <w:start w:val="1"/>
      <w:numFmt w:val="bullet"/>
      <w:lvlText w:val="•"/>
      <w:lvlJc w:val="left"/>
      <w:pPr>
        <w:tabs>
          <w:tab w:val="num" w:pos="5040"/>
        </w:tabs>
        <w:ind w:left="5040" w:hanging="360"/>
      </w:pPr>
      <w:rPr>
        <w:rFonts w:ascii="Arial" w:hAnsi="Arial" w:hint="default"/>
      </w:rPr>
    </w:lvl>
    <w:lvl w:ilvl="7" w:tplc="C3DAF7A4" w:tentative="1">
      <w:start w:val="1"/>
      <w:numFmt w:val="bullet"/>
      <w:lvlText w:val="•"/>
      <w:lvlJc w:val="left"/>
      <w:pPr>
        <w:tabs>
          <w:tab w:val="num" w:pos="5760"/>
        </w:tabs>
        <w:ind w:left="5760" w:hanging="360"/>
      </w:pPr>
      <w:rPr>
        <w:rFonts w:ascii="Arial" w:hAnsi="Arial" w:hint="default"/>
      </w:rPr>
    </w:lvl>
    <w:lvl w:ilvl="8" w:tplc="D49E4CBA"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C4773A4"/>
    <w:multiLevelType w:val="multilevel"/>
    <w:tmpl w:val="6B1CA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725196">
    <w:abstractNumId w:val="4"/>
  </w:num>
  <w:num w:numId="2" w16cid:durableId="1166625851">
    <w:abstractNumId w:val="3"/>
  </w:num>
  <w:num w:numId="3" w16cid:durableId="669138820">
    <w:abstractNumId w:val="29"/>
  </w:num>
  <w:num w:numId="4" w16cid:durableId="402725050">
    <w:abstractNumId w:val="11"/>
  </w:num>
  <w:num w:numId="5" w16cid:durableId="384644063">
    <w:abstractNumId w:val="21"/>
  </w:num>
  <w:num w:numId="6" w16cid:durableId="570042703">
    <w:abstractNumId w:val="16"/>
  </w:num>
  <w:num w:numId="7" w16cid:durableId="674767731">
    <w:abstractNumId w:val="40"/>
  </w:num>
  <w:num w:numId="8" w16cid:durableId="16779327">
    <w:abstractNumId w:val="14"/>
  </w:num>
  <w:num w:numId="9" w16cid:durableId="661809070">
    <w:abstractNumId w:val="24"/>
  </w:num>
  <w:num w:numId="10" w16cid:durableId="325255510">
    <w:abstractNumId w:val="10"/>
  </w:num>
  <w:num w:numId="11" w16cid:durableId="448822642">
    <w:abstractNumId w:val="28"/>
  </w:num>
  <w:num w:numId="12" w16cid:durableId="2001426847">
    <w:abstractNumId w:val="39"/>
  </w:num>
  <w:num w:numId="13" w16cid:durableId="1594701569">
    <w:abstractNumId w:val="32"/>
  </w:num>
  <w:num w:numId="14" w16cid:durableId="1022902566">
    <w:abstractNumId w:val="35"/>
  </w:num>
  <w:num w:numId="15" w16cid:durableId="334499757">
    <w:abstractNumId w:val="2"/>
  </w:num>
  <w:num w:numId="16" w16cid:durableId="1545942649">
    <w:abstractNumId w:val="34"/>
  </w:num>
  <w:num w:numId="17" w16cid:durableId="25373021">
    <w:abstractNumId w:val="30"/>
  </w:num>
  <w:num w:numId="18" w16cid:durableId="1734154103">
    <w:abstractNumId w:val="17"/>
  </w:num>
  <w:num w:numId="19" w16cid:durableId="2044356467">
    <w:abstractNumId w:val="8"/>
  </w:num>
  <w:num w:numId="20" w16cid:durableId="631178809">
    <w:abstractNumId w:val="0"/>
  </w:num>
  <w:num w:numId="21" w16cid:durableId="1681007827">
    <w:abstractNumId w:val="12"/>
  </w:num>
  <w:num w:numId="22" w16cid:durableId="1271202876">
    <w:abstractNumId w:val="9"/>
  </w:num>
  <w:num w:numId="23" w16cid:durableId="1671062676">
    <w:abstractNumId w:val="6"/>
  </w:num>
  <w:num w:numId="24" w16cid:durableId="1752310635">
    <w:abstractNumId w:val="23"/>
  </w:num>
  <w:num w:numId="25" w16cid:durableId="1611162871">
    <w:abstractNumId w:val="36"/>
  </w:num>
  <w:num w:numId="26" w16cid:durableId="1416897868">
    <w:abstractNumId w:val="7"/>
  </w:num>
  <w:num w:numId="27" w16cid:durableId="604071713">
    <w:abstractNumId w:val="1"/>
  </w:num>
  <w:num w:numId="28" w16cid:durableId="94599253">
    <w:abstractNumId w:val="33"/>
  </w:num>
  <w:num w:numId="29" w16cid:durableId="1022169497">
    <w:abstractNumId w:val="26"/>
  </w:num>
  <w:num w:numId="30" w16cid:durableId="880626744">
    <w:abstractNumId w:val="41"/>
  </w:num>
  <w:num w:numId="31" w16cid:durableId="1125000990">
    <w:abstractNumId w:val="27"/>
  </w:num>
  <w:num w:numId="32" w16cid:durableId="1452942113">
    <w:abstractNumId w:val="5"/>
  </w:num>
  <w:num w:numId="33" w16cid:durableId="1456873049">
    <w:abstractNumId w:val="15"/>
  </w:num>
  <w:num w:numId="34" w16cid:durableId="1522082479">
    <w:abstractNumId w:val="25"/>
  </w:num>
  <w:num w:numId="35" w16cid:durableId="1395393712">
    <w:abstractNumId w:val="37"/>
  </w:num>
  <w:num w:numId="36" w16cid:durableId="297493871">
    <w:abstractNumId w:val="42"/>
  </w:num>
  <w:num w:numId="37" w16cid:durableId="2019841665">
    <w:abstractNumId w:val="20"/>
  </w:num>
  <w:num w:numId="38" w16cid:durableId="489292879">
    <w:abstractNumId w:val="18"/>
  </w:num>
  <w:num w:numId="39" w16cid:durableId="1043796197">
    <w:abstractNumId w:val="19"/>
  </w:num>
  <w:num w:numId="40" w16cid:durableId="529104554">
    <w:abstractNumId w:val="31"/>
  </w:num>
  <w:num w:numId="41" w16cid:durableId="664821703">
    <w:abstractNumId w:val="22"/>
  </w:num>
  <w:num w:numId="42" w16cid:durableId="1873767310">
    <w:abstractNumId w:val="13"/>
  </w:num>
  <w:num w:numId="43" w16cid:durableId="931013617">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xNTEwNrEEYjMLSyUdpeDU4uLM/DyQAkMLk1oA7xJZ8C4AAAA="/>
  </w:docVars>
  <w:rsids>
    <w:rsidRoot w:val="00104C19"/>
    <w:rsid w:val="00000B7A"/>
    <w:rsid w:val="0000462B"/>
    <w:rsid w:val="000061AD"/>
    <w:rsid w:val="00007120"/>
    <w:rsid w:val="000126B3"/>
    <w:rsid w:val="00017557"/>
    <w:rsid w:val="0001762B"/>
    <w:rsid w:val="0002020C"/>
    <w:rsid w:val="00020C5C"/>
    <w:rsid w:val="000210F1"/>
    <w:rsid w:val="000215C8"/>
    <w:rsid w:val="000239EA"/>
    <w:rsid w:val="00024E6C"/>
    <w:rsid w:val="000256AF"/>
    <w:rsid w:val="000273DA"/>
    <w:rsid w:val="000276BB"/>
    <w:rsid w:val="000276FA"/>
    <w:rsid w:val="00030DF1"/>
    <w:rsid w:val="0003325A"/>
    <w:rsid w:val="00033ED3"/>
    <w:rsid w:val="000340BB"/>
    <w:rsid w:val="00035E88"/>
    <w:rsid w:val="000416FB"/>
    <w:rsid w:val="00041C50"/>
    <w:rsid w:val="0004499E"/>
    <w:rsid w:val="00052073"/>
    <w:rsid w:val="00053752"/>
    <w:rsid w:val="00056515"/>
    <w:rsid w:val="00057249"/>
    <w:rsid w:val="00057674"/>
    <w:rsid w:val="00060224"/>
    <w:rsid w:val="00063B76"/>
    <w:rsid w:val="00063D98"/>
    <w:rsid w:val="000661DB"/>
    <w:rsid w:val="00067258"/>
    <w:rsid w:val="000674F9"/>
    <w:rsid w:val="000712FC"/>
    <w:rsid w:val="000720FF"/>
    <w:rsid w:val="00072437"/>
    <w:rsid w:val="00073606"/>
    <w:rsid w:val="00075F50"/>
    <w:rsid w:val="00077DA2"/>
    <w:rsid w:val="00082798"/>
    <w:rsid w:val="00082EB5"/>
    <w:rsid w:val="00083D50"/>
    <w:rsid w:val="00084393"/>
    <w:rsid w:val="00084C92"/>
    <w:rsid w:val="00084DCB"/>
    <w:rsid w:val="00090C82"/>
    <w:rsid w:val="00093D0E"/>
    <w:rsid w:val="00093D80"/>
    <w:rsid w:val="0009528B"/>
    <w:rsid w:val="00095720"/>
    <w:rsid w:val="00095D73"/>
    <w:rsid w:val="00097899"/>
    <w:rsid w:val="00097DCA"/>
    <w:rsid w:val="000A1976"/>
    <w:rsid w:val="000A37C7"/>
    <w:rsid w:val="000A4220"/>
    <w:rsid w:val="000A427B"/>
    <w:rsid w:val="000A4D7B"/>
    <w:rsid w:val="000A52F3"/>
    <w:rsid w:val="000A5AA6"/>
    <w:rsid w:val="000A61B9"/>
    <w:rsid w:val="000A6342"/>
    <w:rsid w:val="000A6E9E"/>
    <w:rsid w:val="000B0E41"/>
    <w:rsid w:val="000B1507"/>
    <w:rsid w:val="000B156F"/>
    <w:rsid w:val="000B2F60"/>
    <w:rsid w:val="000B605E"/>
    <w:rsid w:val="000B6388"/>
    <w:rsid w:val="000B696E"/>
    <w:rsid w:val="000C08A4"/>
    <w:rsid w:val="000C2666"/>
    <w:rsid w:val="000C49AD"/>
    <w:rsid w:val="000C79C6"/>
    <w:rsid w:val="000C7BE5"/>
    <w:rsid w:val="000D04C6"/>
    <w:rsid w:val="000D04E2"/>
    <w:rsid w:val="000D07A5"/>
    <w:rsid w:val="000D1864"/>
    <w:rsid w:val="000D32C4"/>
    <w:rsid w:val="000D465A"/>
    <w:rsid w:val="000D61CE"/>
    <w:rsid w:val="000E1D2B"/>
    <w:rsid w:val="000E25D0"/>
    <w:rsid w:val="000E319C"/>
    <w:rsid w:val="000E498F"/>
    <w:rsid w:val="000F0B9F"/>
    <w:rsid w:val="000F121C"/>
    <w:rsid w:val="000F15EC"/>
    <w:rsid w:val="000F4626"/>
    <w:rsid w:val="000F464C"/>
    <w:rsid w:val="001014E8"/>
    <w:rsid w:val="00102635"/>
    <w:rsid w:val="00102BF8"/>
    <w:rsid w:val="001032A1"/>
    <w:rsid w:val="00103901"/>
    <w:rsid w:val="00104C19"/>
    <w:rsid w:val="001063E0"/>
    <w:rsid w:val="00111605"/>
    <w:rsid w:val="001119A0"/>
    <w:rsid w:val="001160A0"/>
    <w:rsid w:val="00116833"/>
    <w:rsid w:val="001168C5"/>
    <w:rsid w:val="00116DFA"/>
    <w:rsid w:val="00117652"/>
    <w:rsid w:val="00120D62"/>
    <w:rsid w:val="00120DF0"/>
    <w:rsid w:val="0012216D"/>
    <w:rsid w:val="0012238C"/>
    <w:rsid w:val="00125BE7"/>
    <w:rsid w:val="00126E05"/>
    <w:rsid w:val="00127E1E"/>
    <w:rsid w:val="0013021D"/>
    <w:rsid w:val="00130292"/>
    <w:rsid w:val="0013050F"/>
    <w:rsid w:val="0013102A"/>
    <w:rsid w:val="001321AC"/>
    <w:rsid w:val="00136318"/>
    <w:rsid w:val="0013776B"/>
    <w:rsid w:val="00140C16"/>
    <w:rsid w:val="001415EF"/>
    <w:rsid w:val="00141A58"/>
    <w:rsid w:val="00143A48"/>
    <w:rsid w:val="00143D4F"/>
    <w:rsid w:val="00144978"/>
    <w:rsid w:val="00145A84"/>
    <w:rsid w:val="001509C5"/>
    <w:rsid w:val="00150F45"/>
    <w:rsid w:val="00151379"/>
    <w:rsid w:val="00152B69"/>
    <w:rsid w:val="00153E12"/>
    <w:rsid w:val="00155322"/>
    <w:rsid w:val="00160600"/>
    <w:rsid w:val="00164231"/>
    <w:rsid w:val="00164647"/>
    <w:rsid w:val="00164C77"/>
    <w:rsid w:val="0016500E"/>
    <w:rsid w:val="0016553A"/>
    <w:rsid w:val="0016589D"/>
    <w:rsid w:val="0016743E"/>
    <w:rsid w:val="0016763C"/>
    <w:rsid w:val="00167A7E"/>
    <w:rsid w:val="00172E67"/>
    <w:rsid w:val="0017349B"/>
    <w:rsid w:val="00174958"/>
    <w:rsid w:val="001756E5"/>
    <w:rsid w:val="00177D45"/>
    <w:rsid w:val="00180D1F"/>
    <w:rsid w:val="0018172C"/>
    <w:rsid w:val="001829D3"/>
    <w:rsid w:val="00182F3E"/>
    <w:rsid w:val="00183EAD"/>
    <w:rsid w:val="001847C2"/>
    <w:rsid w:val="00184B44"/>
    <w:rsid w:val="00186556"/>
    <w:rsid w:val="001866DF"/>
    <w:rsid w:val="00187B51"/>
    <w:rsid w:val="001902E8"/>
    <w:rsid w:val="00191CB2"/>
    <w:rsid w:val="00192317"/>
    <w:rsid w:val="00192D78"/>
    <w:rsid w:val="00193758"/>
    <w:rsid w:val="00193795"/>
    <w:rsid w:val="00195006"/>
    <w:rsid w:val="001964FA"/>
    <w:rsid w:val="00196E18"/>
    <w:rsid w:val="00197066"/>
    <w:rsid w:val="001971C4"/>
    <w:rsid w:val="001A2542"/>
    <w:rsid w:val="001A3E12"/>
    <w:rsid w:val="001A6B13"/>
    <w:rsid w:val="001A789F"/>
    <w:rsid w:val="001A7E73"/>
    <w:rsid w:val="001B0637"/>
    <w:rsid w:val="001B1D96"/>
    <w:rsid w:val="001B2801"/>
    <w:rsid w:val="001B3313"/>
    <w:rsid w:val="001B376F"/>
    <w:rsid w:val="001B3B7B"/>
    <w:rsid w:val="001B3BE3"/>
    <w:rsid w:val="001B5D3E"/>
    <w:rsid w:val="001B72E1"/>
    <w:rsid w:val="001B73EE"/>
    <w:rsid w:val="001C31AA"/>
    <w:rsid w:val="001C3B04"/>
    <w:rsid w:val="001C3F33"/>
    <w:rsid w:val="001C4F91"/>
    <w:rsid w:val="001C5A95"/>
    <w:rsid w:val="001C5DF6"/>
    <w:rsid w:val="001C6963"/>
    <w:rsid w:val="001C6B7E"/>
    <w:rsid w:val="001D2CB1"/>
    <w:rsid w:val="001D3486"/>
    <w:rsid w:val="001D389C"/>
    <w:rsid w:val="001D5501"/>
    <w:rsid w:val="001D67A9"/>
    <w:rsid w:val="001D71C4"/>
    <w:rsid w:val="001D75BA"/>
    <w:rsid w:val="001D7F43"/>
    <w:rsid w:val="001E1208"/>
    <w:rsid w:val="001E2B2A"/>
    <w:rsid w:val="001E4477"/>
    <w:rsid w:val="001E5579"/>
    <w:rsid w:val="001F058F"/>
    <w:rsid w:val="001F2811"/>
    <w:rsid w:val="001F4285"/>
    <w:rsid w:val="001F5338"/>
    <w:rsid w:val="001F5542"/>
    <w:rsid w:val="001F5FF6"/>
    <w:rsid w:val="001F65DE"/>
    <w:rsid w:val="0020060A"/>
    <w:rsid w:val="00201BDD"/>
    <w:rsid w:val="002049FC"/>
    <w:rsid w:val="002117DB"/>
    <w:rsid w:val="002126AC"/>
    <w:rsid w:val="00213F0E"/>
    <w:rsid w:val="002148AC"/>
    <w:rsid w:val="00216749"/>
    <w:rsid w:val="00217208"/>
    <w:rsid w:val="00217BA1"/>
    <w:rsid w:val="002207D6"/>
    <w:rsid w:val="00220A52"/>
    <w:rsid w:val="00222AAB"/>
    <w:rsid w:val="00224066"/>
    <w:rsid w:val="00225815"/>
    <w:rsid w:val="0022623B"/>
    <w:rsid w:val="00227B3D"/>
    <w:rsid w:val="002314E8"/>
    <w:rsid w:val="0023160A"/>
    <w:rsid w:val="00231C9A"/>
    <w:rsid w:val="00232BCB"/>
    <w:rsid w:val="002331EC"/>
    <w:rsid w:val="00236E66"/>
    <w:rsid w:val="00237E03"/>
    <w:rsid w:val="002411AF"/>
    <w:rsid w:val="002422FC"/>
    <w:rsid w:val="00242AFC"/>
    <w:rsid w:val="00243ECC"/>
    <w:rsid w:val="00245EE2"/>
    <w:rsid w:val="00250556"/>
    <w:rsid w:val="00251F54"/>
    <w:rsid w:val="0025208E"/>
    <w:rsid w:val="00254BAE"/>
    <w:rsid w:val="00257C98"/>
    <w:rsid w:val="00257FEF"/>
    <w:rsid w:val="00260AB8"/>
    <w:rsid w:val="00261173"/>
    <w:rsid w:val="002622E8"/>
    <w:rsid w:val="002625EB"/>
    <w:rsid w:val="00262921"/>
    <w:rsid w:val="0026385C"/>
    <w:rsid w:val="00267DC4"/>
    <w:rsid w:val="0027046A"/>
    <w:rsid w:val="002718E9"/>
    <w:rsid w:val="0027493C"/>
    <w:rsid w:val="00274A9E"/>
    <w:rsid w:val="002756E3"/>
    <w:rsid w:val="00275AB5"/>
    <w:rsid w:val="0027705B"/>
    <w:rsid w:val="00281E71"/>
    <w:rsid w:val="002828FE"/>
    <w:rsid w:val="002860BC"/>
    <w:rsid w:val="002863A3"/>
    <w:rsid w:val="002864A2"/>
    <w:rsid w:val="0028747F"/>
    <w:rsid w:val="00290FEC"/>
    <w:rsid w:val="002919A7"/>
    <w:rsid w:val="0029301A"/>
    <w:rsid w:val="002933A3"/>
    <w:rsid w:val="002942D1"/>
    <w:rsid w:val="00294C0D"/>
    <w:rsid w:val="00296097"/>
    <w:rsid w:val="0029798E"/>
    <w:rsid w:val="002A05B8"/>
    <w:rsid w:val="002A189C"/>
    <w:rsid w:val="002A23BD"/>
    <w:rsid w:val="002A2632"/>
    <w:rsid w:val="002A3E85"/>
    <w:rsid w:val="002A5319"/>
    <w:rsid w:val="002A7C35"/>
    <w:rsid w:val="002A7E26"/>
    <w:rsid w:val="002B249E"/>
    <w:rsid w:val="002B2AFE"/>
    <w:rsid w:val="002B2F52"/>
    <w:rsid w:val="002B302D"/>
    <w:rsid w:val="002B573D"/>
    <w:rsid w:val="002B5AAF"/>
    <w:rsid w:val="002B77F4"/>
    <w:rsid w:val="002C29C3"/>
    <w:rsid w:val="002C30FE"/>
    <w:rsid w:val="002C4109"/>
    <w:rsid w:val="002C66ED"/>
    <w:rsid w:val="002D1740"/>
    <w:rsid w:val="002D1799"/>
    <w:rsid w:val="002D1A63"/>
    <w:rsid w:val="002D619D"/>
    <w:rsid w:val="002D7DC8"/>
    <w:rsid w:val="002D7F35"/>
    <w:rsid w:val="002E1C56"/>
    <w:rsid w:val="002E3AC7"/>
    <w:rsid w:val="002E3E44"/>
    <w:rsid w:val="002E4638"/>
    <w:rsid w:val="002E61E6"/>
    <w:rsid w:val="002E6A8B"/>
    <w:rsid w:val="002F10EA"/>
    <w:rsid w:val="002F1454"/>
    <w:rsid w:val="002F1C1A"/>
    <w:rsid w:val="002F245A"/>
    <w:rsid w:val="002F25C5"/>
    <w:rsid w:val="002F2DED"/>
    <w:rsid w:val="00301DA2"/>
    <w:rsid w:val="00301F2C"/>
    <w:rsid w:val="00302807"/>
    <w:rsid w:val="00302980"/>
    <w:rsid w:val="00303286"/>
    <w:rsid w:val="00305BD1"/>
    <w:rsid w:val="00307EE1"/>
    <w:rsid w:val="00310AAB"/>
    <w:rsid w:val="00311CEC"/>
    <w:rsid w:val="00312728"/>
    <w:rsid w:val="003134AF"/>
    <w:rsid w:val="0031360B"/>
    <w:rsid w:val="00314121"/>
    <w:rsid w:val="00314B64"/>
    <w:rsid w:val="003156C5"/>
    <w:rsid w:val="00315880"/>
    <w:rsid w:val="0031762F"/>
    <w:rsid w:val="00317BDE"/>
    <w:rsid w:val="00322D85"/>
    <w:rsid w:val="00323157"/>
    <w:rsid w:val="00324BF2"/>
    <w:rsid w:val="0032792C"/>
    <w:rsid w:val="003301EA"/>
    <w:rsid w:val="003323BC"/>
    <w:rsid w:val="00332FB6"/>
    <w:rsid w:val="003332F5"/>
    <w:rsid w:val="003346AE"/>
    <w:rsid w:val="0033776A"/>
    <w:rsid w:val="00340EBD"/>
    <w:rsid w:val="0034211C"/>
    <w:rsid w:val="00345D3A"/>
    <w:rsid w:val="0034658E"/>
    <w:rsid w:val="003471E3"/>
    <w:rsid w:val="003515BF"/>
    <w:rsid w:val="00351AB1"/>
    <w:rsid w:val="00351B72"/>
    <w:rsid w:val="00352E75"/>
    <w:rsid w:val="00355AD3"/>
    <w:rsid w:val="00356CEB"/>
    <w:rsid w:val="0036035E"/>
    <w:rsid w:val="003605FC"/>
    <w:rsid w:val="00360EFB"/>
    <w:rsid w:val="003636B8"/>
    <w:rsid w:val="003636D7"/>
    <w:rsid w:val="0036527E"/>
    <w:rsid w:val="003663E9"/>
    <w:rsid w:val="00371140"/>
    <w:rsid w:val="00371754"/>
    <w:rsid w:val="00374303"/>
    <w:rsid w:val="0037430D"/>
    <w:rsid w:val="0037434E"/>
    <w:rsid w:val="003754D3"/>
    <w:rsid w:val="00381500"/>
    <w:rsid w:val="00381811"/>
    <w:rsid w:val="0038222E"/>
    <w:rsid w:val="003828AF"/>
    <w:rsid w:val="00383170"/>
    <w:rsid w:val="00386415"/>
    <w:rsid w:val="00391836"/>
    <w:rsid w:val="00391B48"/>
    <w:rsid w:val="00394027"/>
    <w:rsid w:val="00395615"/>
    <w:rsid w:val="003961E3"/>
    <w:rsid w:val="0039718B"/>
    <w:rsid w:val="003A072F"/>
    <w:rsid w:val="003A1BAE"/>
    <w:rsid w:val="003A1C87"/>
    <w:rsid w:val="003A3129"/>
    <w:rsid w:val="003A7D09"/>
    <w:rsid w:val="003B1304"/>
    <w:rsid w:val="003B2051"/>
    <w:rsid w:val="003B2BE5"/>
    <w:rsid w:val="003B390F"/>
    <w:rsid w:val="003B5864"/>
    <w:rsid w:val="003B76B4"/>
    <w:rsid w:val="003C0030"/>
    <w:rsid w:val="003C0CD9"/>
    <w:rsid w:val="003C2102"/>
    <w:rsid w:val="003C2488"/>
    <w:rsid w:val="003C2A7A"/>
    <w:rsid w:val="003C3768"/>
    <w:rsid w:val="003C42DB"/>
    <w:rsid w:val="003C473E"/>
    <w:rsid w:val="003C4C17"/>
    <w:rsid w:val="003C6840"/>
    <w:rsid w:val="003C6C84"/>
    <w:rsid w:val="003D1692"/>
    <w:rsid w:val="003D2688"/>
    <w:rsid w:val="003D2F60"/>
    <w:rsid w:val="003D381D"/>
    <w:rsid w:val="003D5D93"/>
    <w:rsid w:val="003D6E13"/>
    <w:rsid w:val="003D6FAC"/>
    <w:rsid w:val="003D7598"/>
    <w:rsid w:val="003E06DF"/>
    <w:rsid w:val="003E4E40"/>
    <w:rsid w:val="003E6540"/>
    <w:rsid w:val="003E791B"/>
    <w:rsid w:val="003F1064"/>
    <w:rsid w:val="003F1AAD"/>
    <w:rsid w:val="003F4185"/>
    <w:rsid w:val="003F56E7"/>
    <w:rsid w:val="003F5FB2"/>
    <w:rsid w:val="003F6695"/>
    <w:rsid w:val="003F6D32"/>
    <w:rsid w:val="0040128D"/>
    <w:rsid w:val="0040165F"/>
    <w:rsid w:val="004022C0"/>
    <w:rsid w:val="00402601"/>
    <w:rsid w:val="00403DB3"/>
    <w:rsid w:val="00403EAE"/>
    <w:rsid w:val="00404A0C"/>
    <w:rsid w:val="004059F5"/>
    <w:rsid w:val="00406488"/>
    <w:rsid w:val="00406D0B"/>
    <w:rsid w:val="00410AD9"/>
    <w:rsid w:val="00411A1A"/>
    <w:rsid w:val="00411BBE"/>
    <w:rsid w:val="00412136"/>
    <w:rsid w:val="0041285C"/>
    <w:rsid w:val="0041491E"/>
    <w:rsid w:val="004152F3"/>
    <w:rsid w:val="004214B1"/>
    <w:rsid w:val="00423666"/>
    <w:rsid w:val="00427680"/>
    <w:rsid w:val="004276EE"/>
    <w:rsid w:val="004318AA"/>
    <w:rsid w:val="00431A20"/>
    <w:rsid w:val="00431E4C"/>
    <w:rsid w:val="004328CE"/>
    <w:rsid w:val="00433435"/>
    <w:rsid w:val="00433B80"/>
    <w:rsid w:val="00433E92"/>
    <w:rsid w:val="004341BC"/>
    <w:rsid w:val="00435055"/>
    <w:rsid w:val="00435458"/>
    <w:rsid w:val="00436126"/>
    <w:rsid w:val="00436633"/>
    <w:rsid w:val="00436D97"/>
    <w:rsid w:val="0044036D"/>
    <w:rsid w:val="00440444"/>
    <w:rsid w:val="00440ADE"/>
    <w:rsid w:val="00441151"/>
    <w:rsid w:val="0044229D"/>
    <w:rsid w:val="00444813"/>
    <w:rsid w:val="00444A41"/>
    <w:rsid w:val="00445357"/>
    <w:rsid w:val="00445B4A"/>
    <w:rsid w:val="00450C57"/>
    <w:rsid w:val="00451B25"/>
    <w:rsid w:val="0045446F"/>
    <w:rsid w:val="0045457C"/>
    <w:rsid w:val="00454AA5"/>
    <w:rsid w:val="00454D04"/>
    <w:rsid w:val="004553E4"/>
    <w:rsid w:val="00455803"/>
    <w:rsid w:val="00456923"/>
    <w:rsid w:val="00460951"/>
    <w:rsid w:val="0046175B"/>
    <w:rsid w:val="004617C7"/>
    <w:rsid w:val="0046536F"/>
    <w:rsid w:val="00466249"/>
    <w:rsid w:val="0046656F"/>
    <w:rsid w:val="004670F2"/>
    <w:rsid w:val="00467BC2"/>
    <w:rsid w:val="004719B5"/>
    <w:rsid w:val="00473219"/>
    <w:rsid w:val="00475783"/>
    <w:rsid w:val="00480272"/>
    <w:rsid w:val="004803EA"/>
    <w:rsid w:val="00480A24"/>
    <w:rsid w:val="00483B88"/>
    <w:rsid w:val="00483BDE"/>
    <w:rsid w:val="00486FC3"/>
    <w:rsid w:val="00487AC5"/>
    <w:rsid w:val="00490525"/>
    <w:rsid w:val="00491A11"/>
    <w:rsid w:val="004922AF"/>
    <w:rsid w:val="00493797"/>
    <w:rsid w:val="00493D48"/>
    <w:rsid w:val="00493E58"/>
    <w:rsid w:val="00494082"/>
    <w:rsid w:val="00495789"/>
    <w:rsid w:val="00496CA7"/>
    <w:rsid w:val="0049790E"/>
    <w:rsid w:val="004A228D"/>
    <w:rsid w:val="004A27E8"/>
    <w:rsid w:val="004A5E0C"/>
    <w:rsid w:val="004B0570"/>
    <w:rsid w:val="004B0991"/>
    <w:rsid w:val="004B1D09"/>
    <w:rsid w:val="004B6784"/>
    <w:rsid w:val="004B68C8"/>
    <w:rsid w:val="004B6A6F"/>
    <w:rsid w:val="004B7C89"/>
    <w:rsid w:val="004C009B"/>
    <w:rsid w:val="004C0AF7"/>
    <w:rsid w:val="004C1F5B"/>
    <w:rsid w:val="004C3767"/>
    <w:rsid w:val="004C5CF2"/>
    <w:rsid w:val="004D0169"/>
    <w:rsid w:val="004D1244"/>
    <w:rsid w:val="004D25AB"/>
    <w:rsid w:val="004D6FEF"/>
    <w:rsid w:val="004D7959"/>
    <w:rsid w:val="004E27EF"/>
    <w:rsid w:val="004E2D65"/>
    <w:rsid w:val="004E40FE"/>
    <w:rsid w:val="004E756F"/>
    <w:rsid w:val="004F54D9"/>
    <w:rsid w:val="004F553C"/>
    <w:rsid w:val="004F5E2F"/>
    <w:rsid w:val="00500897"/>
    <w:rsid w:val="00504276"/>
    <w:rsid w:val="00505224"/>
    <w:rsid w:val="005060F5"/>
    <w:rsid w:val="00506416"/>
    <w:rsid w:val="00506582"/>
    <w:rsid w:val="00506780"/>
    <w:rsid w:val="00511685"/>
    <w:rsid w:val="005139A9"/>
    <w:rsid w:val="005156C8"/>
    <w:rsid w:val="00515A19"/>
    <w:rsid w:val="00515CED"/>
    <w:rsid w:val="0051735E"/>
    <w:rsid w:val="00517FEF"/>
    <w:rsid w:val="00520082"/>
    <w:rsid w:val="0052201E"/>
    <w:rsid w:val="005222F7"/>
    <w:rsid w:val="00524D49"/>
    <w:rsid w:val="005266D5"/>
    <w:rsid w:val="00526B19"/>
    <w:rsid w:val="0053303F"/>
    <w:rsid w:val="005363A3"/>
    <w:rsid w:val="005363B6"/>
    <w:rsid w:val="00537C82"/>
    <w:rsid w:val="00540E5D"/>
    <w:rsid w:val="00541D7D"/>
    <w:rsid w:val="00542D1F"/>
    <w:rsid w:val="0054402A"/>
    <w:rsid w:val="00546DC7"/>
    <w:rsid w:val="00547713"/>
    <w:rsid w:val="00551DDC"/>
    <w:rsid w:val="00553E55"/>
    <w:rsid w:val="00555498"/>
    <w:rsid w:val="00557F5D"/>
    <w:rsid w:val="00561464"/>
    <w:rsid w:val="00564232"/>
    <w:rsid w:val="00567C62"/>
    <w:rsid w:val="0057150A"/>
    <w:rsid w:val="0058112F"/>
    <w:rsid w:val="00581519"/>
    <w:rsid w:val="0058218B"/>
    <w:rsid w:val="00583DA6"/>
    <w:rsid w:val="00585BC1"/>
    <w:rsid w:val="00585EF1"/>
    <w:rsid w:val="005928D6"/>
    <w:rsid w:val="00595B4E"/>
    <w:rsid w:val="005960DB"/>
    <w:rsid w:val="00596667"/>
    <w:rsid w:val="00596FD2"/>
    <w:rsid w:val="00597C89"/>
    <w:rsid w:val="00597FAA"/>
    <w:rsid w:val="005A0942"/>
    <w:rsid w:val="005A0AC8"/>
    <w:rsid w:val="005A1551"/>
    <w:rsid w:val="005A1761"/>
    <w:rsid w:val="005A1888"/>
    <w:rsid w:val="005A5F72"/>
    <w:rsid w:val="005A6376"/>
    <w:rsid w:val="005A7A7E"/>
    <w:rsid w:val="005B2A4B"/>
    <w:rsid w:val="005B35BD"/>
    <w:rsid w:val="005B3ED5"/>
    <w:rsid w:val="005B3FFB"/>
    <w:rsid w:val="005B6B2B"/>
    <w:rsid w:val="005C003B"/>
    <w:rsid w:val="005C3D5F"/>
    <w:rsid w:val="005C42A9"/>
    <w:rsid w:val="005C455B"/>
    <w:rsid w:val="005C469A"/>
    <w:rsid w:val="005C4F0C"/>
    <w:rsid w:val="005C6CC3"/>
    <w:rsid w:val="005C7555"/>
    <w:rsid w:val="005D21ED"/>
    <w:rsid w:val="005D2498"/>
    <w:rsid w:val="005D4300"/>
    <w:rsid w:val="005D4339"/>
    <w:rsid w:val="005D63CB"/>
    <w:rsid w:val="005D65A7"/>
    <w:rsid w:val="005D74CC"/>
    <w:rsid w:val="005D74E3"/>
    <w:rsid w:val="005E0F36"/>
    <w:rsid w:val="005E21AF"/>
    <w:rsid w:val="005E3146"/>
    <w:rsid w:val="005E6CFC"/>
    <w:rsid w:val="005E6F49"/>
    <w:rsid w:val="005E77C6"/>
    <w:rsid w:val="005F0366"/>
    <w:rsid w:val="005F1C38"/>
    <w:rsid w:val="005F4579"/>
    <w:rsid w:val="005F4652"/>
    <w:rsid w:val="005F4A71"/>
    <w:rsid w:val="005F50F2"/>
    <w:rsid w:val="005F7906"/>
    <w:rsid w:val="005F7B52"/>
    <w:rsid w:val="005F7B68"/>
    <w:rsid w:val="006012DD"/>
    <w:rsid w:val="00601CE0"/>
    <w:rsid w:val="00601DBB"/>
    <w:rsid w:val="00601E26"/>
    <w:rsid w:val="00602710"/>
    <w:rsid w:val="00604C3B"/>
    <w:rsid w:val="006057D5"/>
    <w:rsid w:val="006077D7"/>
    <w:rsid w:val="00610C78"/>
    <w:rsid w:val="00611CB9"/>
    <w:rsid w:val="00614623"/>
    <w:rsid w:val="006165D9"/>
    <w:rsid w:val="00617AE2"/>
    <w:rsid w:val="0062139A"/>
    <w:rsid w:val="00621489"/>
    <w:rsid w:val="006257FD"/>
    <w:rsid w:val="00626C92"/>
    <w:rsid w:val="00627B4F"/>
    <w:rsid w:val="00630000"/>
    <w:rsid w:val="00632584"/>
    <w:rsid w:val="006327BE"/>
    <w:rsid w:val="00634945"/>
    <w:rsid w:val="00635A5F"/>
    <w:rsid w:val="00635B95"/>
    <w:rsid w:val="00637365"/>
    <w:rsid w:val="00637A8C"/>
    <w:rsid w:val="0064089D"/>
    <w:rsid w:val="006416E9"/>
    <w:rsid w:val="006416FB"/>
    <w:rsid w:val="00641C3F"/>
    <w:rsid w:val="006420CE"/>
    <w:rsid w:val="00642201"/>
    <w:rsid w:val="00645EC4"/>
    <w:rsid w:val="006506FB"/>
    <w:rsid w:val="00651C61"/>
    <w:rsid w:val="00651C6E"/>
    <w:rsid w:val="0065309D"/>
    <w:rsid w:val="00654489"/>
    <w:rsid w:val="00654DDD"/>
    <w:rsid w:val="006552D9"/>
    <w:rsid w:val="0065691F"/>
    <w:rsid w:val="00657223"/>
    <w:rsid w:val="00657535"/>
    <w:rsid w:val="00657C3C"/>
    <w:rsid w:val="006609E6"/>
    <w:rsid w:val="00660E41"/>
    <w:rsid w:val="006613D8"/>
    <w:rsid w:val="006617B4"/>
    <w:rsid w:val="0066244F"/>
    <w:rsid w:val="00662774"/>
    <w:rsid w:val="0066297A"/>
    <w:rsid w:val="00662BA2"/>
    <w:rsid w:val="00663A39"/>
    <w:rsid w:val="00664422"/>
    <w:rsid w:val="00664E27"/>
    <w:rsid w:val="0066590F"/>
    <w:rsid w:val="0066696E"/>
    <w:rsid w:val="00666A1C"/>
    <w:rsid w:val="00666ED7"/>
    <w:rsid w:val="00670146"/>
    <w:rsid w:val="006714E0"/>
    <w:rsid w:val="0067204C"/>
    <w:rsid w:val="00673045"/>
    <w:rsid w:val="00673BBF"/>
    <w:rsid w:val="00674814"/>
    <w:rsid w:val="00674A18"/>
    <w:rsid w:val="00674E23"/>
    <w:rsid w:val="00677301"/>
    <w:rsid w:val="00680A0C"/>
    <w:rsid w:val="00681175"/>
    <w:rsid w:val="00682EE1"/>
    <w:rsid w:val="00682F12"/>
    <w:rsid w:val="0068441C"/>
    <w:rsid w:val="00686464"/>
    <w:rsid w:val="00690B58"/>
    <w:rsid w:val="00693095"/>
    <w:rsid w:val="00695EB0"/>
    <w:rsid w:val="006A0E8B"/>
    <w:rsid w:val="006A2C62"/>
    <w:rsid w:val="006A4163"/>
    <w:rsid w:val="006A5706"/>
    <w:rsid w:val="006B1984"/>
    <w:rsid w:val="006B25C4"/>
    <w:rsid w:val="006B707B"/>
    <w:rsid w:val="006B7BCC"/>
    <w:rsid w:val="006C1E91"/>
    <w:rsid w:val="006C2687"/>
    <w:rsid w:val="006C2A3A"/>
    <w:rsid w:val="006C3341"/>
    <w:rsid w:val="006C6A9D"/>
    <w:rsid w:val="006D08D1"/>
    <w:rsid w:val="006D0E54"/>
    <w:rsid w:val="006D1732"/>
    <w:rsid w:val="006D4BB7"/>
    <w:rsid w:val="006D4D25"/>
    <w:rsid w:val="006D4E16"/>
    <w:rsid w:val="006D5041"/>
    <w:rsid w:val="006D512F"/>
    <w:rsid w:val="006D53FB"/>
    <w:rsid w:val="006D57AD"/>
    <w:rsid w:val="006D71E6"/>
    <w:rsid w:val="006D778E"/>
    <w:rsid w:val="006E1630"/>
    <w:rsid w:val="006E2370"/>
    <w:rsid w:val="006E2436"/>
    <w:rsid w:val="006E4679"/>
    <w:rsid w:val="006E4E69"/>
    <w:rsid w:val="006E53A0"/>
    <w:rsid w:val="006E5987"/>
    <w:rsid w:val="006E73F6"/>
    <w:rsid w:val="006F0B05"/>
    <w:rsid w:val="006F1333"/>
    <w:rsid w:val="006F1AFD"/>
    <w:rsid w:val="006F3AA1"/>
    <w:rsid w:val="006F3DBB"/>
    <w:rsid w:val="006F55B4"/>
    <w:rsid w:val="006F677A"/>
    <w:rsid w:val="006F6923"/>
    <w:rsid w:val="006F72E0"/>
    <w:rsid w:val="006F7A87"/>
    <w:rsid w:val="00704571"/>
    <w:rsid w:val="007065C7"/>
    <w:rsid w:val="00710D9F"/>
    <w:rsid w:val="00711504"/>
    <w:rsid w:val="00711C8C"/>
    <w:rsid w:val="0071269F"/>
    <w:rsid w:val="00712C63"/>
    <w:rsid w:val="00714D16"/>
    <w:rsid w:val="0071547B"/>
    <w:rsid w:val="007175D0"/>
    <w:rsid w:val="007206EA"/>
    <w:rsid w:val="00722C36"/>
    <w:rsid w:val="00723A37"/>
    <w:rsid w:val="00725302"/>
    <w:rsid w:val="00725BAD"/>
    <w:rsid w:val="00727881"/>
    <w:rsid w:val="00730313"/>
    <w:rsid w:val="00730C0A"/>
    <w:rsid w:val="00731F4F"/>
    <w:rsid w:val="0073213A"/>
    <w:rsid w:val="007333B8"/>
    <w:rsid w:val="007345B6"/>
    <w:rsid w:val="00734BA5"/>
    <w:rsid w:val="00734E28"/>
    <w:rsid w:val="0073580B"/>
    <w:rsid w:val="00735B76"/>
    <w:rsid w:val="0073718D"/>
    <w:rsid w:val="00740C43"/>
    <w:rsid w:val="00740D16"/>
    <w:rsid w:val="007425D9"/>
    <w:rsid w:val="0074476C"/>
    <w:rsid w:val="007453E5"/>
    <w:rsid w:val="007503B7"/>
    <w:rsid w:val="00751B68"/>
    <w:rsid w:val="00752005"/>
    <w:rsid w:val="007527DF"/>
    <w:rsid w:val="007541AB"/>
    <w:rsid w:val="007563C5"/>
    <w:rsid w:val="007573E9"/>
    <w:rsid w:val="00757D02"/>
    <w:rsid w:val="0076172A"/>
    <w:rsid w:val="007646AC"/>
    <w:rsid w:val="00764C5C"/>
    <w:rsid w:val="007663E2"/>
    <w:rsid w:val="00767878"/>
    <w:rsid w:val="00770307"/>
    <w:rsid w:val="00771C1B"/>
    <w:rsid w:val="00773201"/>
    <w:rsid w:val="007743A3"/>
    <w:rsid w:val="007745AB"/>
    <w:rsid w:val="00774858"/>
    <w:rsid w:val="007748E8"/>
    <w:rsid w:val="00774B6E"/>
    <w:rsid w:val="00774CFA"/>
    <w:rsid w:val="00776DD1"/>
    <w:rsid w:val="00780C39"/>
    <w:rsid w:val="00782564"/>
    <w:rsid w:val="00782EEC"/>
    <w:rsid w:val="00782F2A"/>
    <w:rsid w:val="007843CA"/>
    <w:rsid w:val="00784523"/>
    <w:rsid w:val="00785CD1"/>
    <w:rsid w:val="0078600C"/>
    <w:rsid w:val="007868AA"/>
    <w:rsid w:val="00786989"/>
    <w:rsid w:val="00787ACA"/>
    <w:rsid w:val="00790E2E"/>
    <w:rsid w:val="007912EF"/>
    <w:rsid w:val="00793181"/>
    <w:rsid w:val="00793321"/>
    <w:rsid w:val="007940F6"/>
    <w:rsid w:val="007941C5"/>
    <w:rsid w:val="007947D6"/>
    <w:rsid w:val="0079499D"/>
    <w:rsid w:val="00797181"/>
    <w:rsid w:val="007971FA"/>
    <w:rsid w:val="00797A66"/>
    <w:rsid w:val="007A0170"/>
    <w:rsid w:val="007A0390"/>
    <w:rsid w:val="007A0A9F"/>
    <w:rsid w:val="007A272D"/>
    <w:rsid w:val="007A2A54"/>
    <w:rsid w:val="007B109E"/>
    <w:rsid w:val="007B12CA"/>
    <w:rsid w:val="007B2DA4"/>
    <w:rsid w:val="007B2F22"/>
    <w:rsid w:val="007B4D0E"/>
    <w:rsid w:val="007B4FC7"/>
    <w:rsid w:val="007B5C16"/>
    <w:rsid w:val="007B7157"/>
    <w:rsid w:val="007C1B7D"/>
    <w:rsid w:val="007C1E7A"/>
    <w:rsid w:val="007C35E8"/>
    <w:rsid w:val="007C44D5"/>
    <w:rsid w:val="007C5E23"/>
    <w:rsid w:val="007D0F25"/>
    <w:rsid w:val="007D174A"/>
    <w:rsid w:val="007D2CA2"/>
    <w:rsid w:val="007D4D0A"/>
    <w:rsid w:val="007D6E3A"/>
    <w:rsid w:val="007E1A60"/>
    <w:rsid w:val="007E3004"/>
    <w:rsid w:val="007E3051"/>
    <w:rsid w:val="007E6372"/>
    <w:rsid w:val="007E689B"/>
    <w:rsid w:val="007E73C1"/>
    <w:rsid w:val="007F25FA"/>
    <w:rsid w:val="007F279D"/>
    <w:rsid w:val="007F506A"/>
    <w:rsid w:val="007F69B7"/>
    <w:rsid w:val="007F72E7"/>
    <w:rsid w:val="007F7E80"/>
    <w:rsid w:val="00800F2A"/>
    <w:rsid w:val="00801820"/>
    <w:rsid w:val="00805563"/>
    <w:rsid w:val="0080587F"/>
    <w:rsid w:val="008076B5"/>
    <w:rsid w:val="00810A5C"/>
    <w:rsid w:val="00811B12"/>
    <w:rsid w:val="008132B7"/>
    <w:rsid w:val="00813371"/>
    <w:rsid w:val="0081346B"/>
    <w:rsid w:val="00814CBC"/>
    <w:rsid w:val="00814D0F"/>
    <w:rsid w:val="008166A2"/>
    <w:rsid w:val="00816FD4"/>
    <w:rsid w:val="008223C3"/>
    <w:rsid w:val="00822784"/>
    <w:rsid w:val="008227D3"/>
    <w:rsid w:val="00823144"/>
    <w:rsid w:val="00825558"/>
    <w:rsid w:val="00825EEE"/>
    <w:rsid w:val="00826B3F"/>
    <w:rsid w:val="008273B8"/>
    <w:rsid w:val="00831D37"/>
    <w:rsid w:val="008333AE"/>
    <w:rsid w:val="00833533"/>
    <w:rsid w:val="00837699"/>
    <w:rsid w:val="008379BD"/>
    <w:rsid w:val="008412C4"/>
    <w:rsid w:val="0084161F"/>
    <w:rsid w:val="00841ED9"/>
    <w:rsid w:val="0084302F"/>
    <w:rsid w:val="008440C2"/>
    <w:rsid w:val="00844995"/>
    <w:rsid w:val="00844E9B"/>
    <w:rsid w:val="00845D25"/>
    <w:rsid w:val="008503AB"/>
    <w:rsid w:val="00851350"/>
    <w:rsid w:val="00852FA8"/>
    <w:rsid w:val="00853D17"/>
    <w:rsid w:val="008558A0"/>
    <w:rsid w:val="00857F94"/>
    <w:rsid w:val="008605B2"/>
    <w:rsid w:val="00861931"/>
    <w:rsid w:val="00861DA2"/>
    <w:rsid w:val="008626C3"/>
    <w:rsid w:val="00863459"/>
    <w:rsid w:val="00863694"/>
    <w:rsid w:val="0086481D"/>
    <w:rsid w:val="00866DC5"/>
    <w:rsid w:val="0086793D"/>
    <w:rsid w:val="00867BE4"/>
    <w:rsid w:val="00867CDD"/>
    <w:rsid w:val="00870FFB"/>
    <w:rsid w:val="00871ED8"/>
    <w:rsid w:val="008746CA"/>
    <w:rsid w:val="008756DA"/>
    <w:rsid w:val="00875751"/>
    <w:rsid w:val="00884219"/>
    <w:rsid w:val="008863C7"/>
    <w:rsid w:val="008875F8"/>
    <w:rsid w:val="0088774A"/>
    <w:rsid w:val="00891612"/>
    <w:rsid w:val="00892DFC"/>
    <w:rsid w:val="00893D7A"/>
    <w:rsid w:val="008A15D9"/>
    <w:rsid w:val="008A25B8"/>
    <w:rsid w:val="008A2E30"/>
    <w:rsid w:val="008A4346"/>
    <w:rsid w:val="008A44AF"/>
    <w:rsid w:val="008A4701"/>
    <w:rsid w:val="008A541C"/>
    <w:rsid w:val="008A7B5E"/>
    <w:rsid w:val="008B0043"/>
    <w:rsid w:val="008B0367"/>
    <w:rsid w:val="008B0445"/>
    <w:rsid w:val="008B448F"/>
    <w:rsid w:val="008B53B8"/>
    <w:rsid w:val="008B5C80"/>
    <w:rsid w:val="008B68DE"/>
    <w:rsid w:val="008B76DE"/>
    <w:rsid w:val="008B7936"/>
    <w:rsid w:val="008C0500"/>
    <w:rsid w:val="008C0C59"/>
    <w:rsid w:val="008C12FB"/>
    <w:rsid w:val="008C1EA3"/>
    <w:rsid w:val="008C49BD"/>
    <w:rsid w:val="008C5192"/>
    <w:rsid w:val="008C53FB"/>
    <w:rsid w:val="008C62B2"/>
    <w:rsid w:val="008C7493"/>
    <w:rsid w:val="008D5F08"/>
    <w:rsid w:val="008D796B"/>
    <w:rsid w:val="008E04D2"/>
    <w:rsid w:val="008E0CD4"/>
    <w:rsid w:val="008E182F"/>
    <w:rsid w:val="008E1C31"/>
    <w:rsid w:val="008E4070"/>
    <w:rsid w:val="008E4DE9"/>
    <w:rsid w:val="008E5286"/>
    <w:rsid w:val="008E52FC"/>
    <w:rsid w:val="008F199D"/>
    <w:rsid w:val="008F54BB"/>
    <w:rsid w:val="008F6143"/>
    <w:rsid w:val="008F69D8"/>
    <w:rsid w:val="009006B3"/>
    <w:rsid w:val="00900F95"/>
    <w:rsid w:val="009019EA"/>
    <w:rsid w:val="00901D44"/>
    <w:rsid w:val="00902029"/>
    <w:rsid w:val="0090222A"/>
    <w:rsid w:val="009027CA"/>
    <w:rsid w:val="00903861"/>
    <w:rsid w:val="0090401A"/>
    <w:rsid w:val="00904594"/>
    <w:rsid w:val="00905674"/>
    <w:rsid w:val="00906C5A"/>
    <w:rsid w:val="00907B07"/>
    <w:rsid w:val="00914CB4"/>
    <w:rsid w:val="009155D7"/>
    <w:rsid w:val="00916853"/>
    <w:rsid w:val="0092242E"/>
    <w:rsid w:val="009230C3"/>
    <w:rsid w:val="009239C5"/>
    <w:rsid w:val="00923F56"/>
    <w:rsid w:val="009242A6"/>
    <w:rsid w:val="00925DD7"/>
    <w:rsid w:val="00926F81"/>
    <w:rsid w:val="009270E8"/>
    <w:rsid w:val="00927CBC"/>
    <w:rsid w:val="009302E1"/>
    <w:rsid w:val="00930576"/>
    <w:rsid w:val="00931914"/>
    <w:rsid w:val="00932479"/>
    <w:rsid w:val="0093259B"/>
    <w:rsid w:val="00933E5E"/>
    <w:rsid w:val="009359D0"/>
    <w:rsid w:val="009417FD"/>
    <w:rsid w:val="0094280E"/>
    <w:rsid w:val="009428BD"/>
    <w:rsid w:val="0094378B"/>
    <w:rsid w:val="00943CB2"/>
    <w:rsid w:val="009447D3"/>
    <w:rsid w:val="00945613"/>
    <w:rsid w:val="009501F4"/>
    <w:rsid w:val="00951248"/>
    <w:rsid w:val="00952710"/>
    <w:rsid w:val="00954C00"/>
    <w:rsid w:val="0095516A"/>
    <w:rsid w:val="009556F9"/>
    <w:rsid w:val="00956066"/>
    <w:rsid w:val="0095781B"/>
    <w:rsid w:val="009604BB"/>
    <w:rsid w:val="00961782"/>
    <w:rsid w:val="009623CE"/>
    <w:rsid w:val="00962671"/>
    <w:rsid w:val="00963BC7"/>
    <w:rsid w:val="009656CC"/>
    <w:rsid w:val="0096579C"/>
    <w:rsid w:val="00967A5F"/>
    <w:rsid w:val="009715CB"/>
    <w:rsid w:val="00972361"/>
    <w:rsid w:val="00974035"/>
    <w:rsid w:val="00976DDC"/>
    <w:rsid w:val="00977922"/>
    <w:rsid w:val="00977AFC"/>
    <w:rsid w:val="00977E57"/>
    <w:rsid w:val="00984620"/>
    <w:rsid w:val="00985254"/>
    <w:rsid w:val="00985B58"/>
    <w:rsid w:val="00985C9E"/>
    <w:rsid w:val="009913B5"/>
    <w:rsid w:val="00993C57"/>
    <w:rsid w:val="0099409F"/>
    <w:rsid w:val="009963A4"/>
    <w:rsid w:val="009A2C81"/>
    <w:rsid w:val="009A2DD2"/>
    <w:rsid w:val="009A5C38"/>
    <w:rsid w:val="009B0F1B"/>
    <w:rsid w:val="009B0FDB"/>
    <w:rsid w:val="009B2DCD"/>
    <w:rsid w:val="009B2EC2"/>
    <w:rsid w:val="009B5656"/>
    <w:rsid w:val="009C0BB6"/>
    <w:rsid w:val="009C0C1A"/>
    <w:rsid w:val="009C0F59"/>
    <w:rsid w:val="009C2CFB"/>
    <w:rsid w:val="009C3257"/>
    <w:rsid w:val="009C59A6"/>
    <w:rsid w:val="009C60A6"/>
    <w:rsid w:val="009C6A33"/>
    <w:rsid w:val="009D0F19"/>
    <w:rsid w:val="009D1544"/>
    <w:rsid w:val="009D2905"/>
    <w:rsid w:val="009D38A6"/>
    <w:rsid w:val="009D3EB2"/>
    <w:rsid w:val="009D4255"/>
    <w:rsid w:val="009D486D"/>
    <w:rsid w:val="009D6848"/>
    <w:rsid w:val="009D7DB0"/>
    <w:rsid w:val="009E02FF"/>
    <w:rsid w:val="009E200E"/>
    <w:rsid w:val="009E32C9"/>
    <w:rsid w:val="009E49BD"/>
    <w:rsid w:val="009E6BDC"/>
    <w:rsid w:val="009E7902"/>
    <w:rsid w:val="009F09DC"/>
    <w:rsid w:val="009F15A4"/>
    <w:rsid w:val="009F39AD"/>
    <w:rsid w:val="009F4A5F"/>
    <w:rsid w:val="009F4ED5"/>
    <w:rsid w:val="009F51CA"/>
    <w:rsid w:val="009F552F"/>
    <w:rsid w:val="00A007C4"/>
    <w:rsid w:val="00A009F1"/>
    <w:rsid w:val="00A032D0"/>
    <w:rsid w:val="00A04CFF"/>
    <w:rsid w:val="00A0611D"/>
    <w:rsid w:val="00A06DFF"/>
    <w:rsid w:val="00A07F38"/>
    <w:rsid w:val="00A1039A"/>
    <w:rsid w:val="00A11460"/>
    <w:rsid w:val="00A151BC"/>
    <w:rsid w:val="00A2146C"/>
    <w:rsid w:val="00A214E7"/>
    <w:rsid w:val="00A22C29"/>
    <w:rsid w:val="00A245B6"/>
    <w:rsid w:val="00A24DEC"/>
    <w:rsid w:val="00A31B62"/>
    <w:rsid w:val="00A32450"/>
    <w:rsid w:val="00A33DD2"/>
    <w:rsid w:val="00A33FED"/>
    <w:rsid w:val="00A35E23"/>
    <w:rsid w:val="00A360A0"/>
    <w:rsid w:val="00A367EA"/>
    <w:rsid w:val="00A37ECF"/>
    <w:rsid w:val="00A40759"/>
    <w:rsid w:val="00A430D6"/>
    <w:rsid w:val="00A44CEC"/>
    <w:rsid w:val="00A460A5"/>
    <w:rsid w:val="00A503A8"/>
    <w:rsid w:val="00A52169"/>
    <w:rsid w:val="00A52AA7"/>
    <w:rsid w:val="00A52E52"/>
    <w:rsid w:val="00A53CC2"/>
    <w:rsid w:val="00A56AB9"/>
    <w:rsid w:val="00A5759B"/>
    <w:rsid w:val="00A61832"/>
    <w:rsid w:val="00A6259E"/>
    <w:rsid w:val="00A62836"/>
    <w:rsid w:val="00A65357"/>
    <w:rsid w:val="00A656FB"/>
    <w:rsid w:val="00A65C69"/>
    <w:rsid w:val="00A65CA3"/>
    <w:rsid w:val="00A6690F"/>
    <w:rsid w:val="00A67A3D"/>
    <w:rsid w:val="00A70163"/>
    <w:rsid w:val="00A71681"/>
    <w:rsid w:val="00A7173E"/>
    <w:rsid w:val="00A739F4"/>
    <w:rsid w:val="00A73DAF"/>
    <w:rsid w:val="00A7722E"/>
    <w:rsid w:val="00A775E7"/>
    <w:rsid w:val="00A80627"/>
    <w:rsid w:val="00A80FE4"/>
    <w:rsid w:val="00A825F2"/>
    <w:rsid w:val="00A83823"/>
    <w:rsid w:val="00A840A0"/>
    <w:rsid w:val="00A8514D"/>
    <w:rsid w:val="00A86D6D"/>
    <w:rsid w:val="00A879EF"/>
    <w:rsid w:val="00A87B8E"/>
    <w:rsid w:val="00A87C21"/>
    <w:rsid w:val="00A87D57"/>
    <w:rsid w:val="00A912B4"/>
    <w:rsid w:val="00A91361"/>
    <w:rsid w:val="00A914A2"/>
    <w:rsid w:val="00A925E0"/>
    <w:rsid w:val="00A937A9"/>
    <w:rsid w:val="00A93DA1"/>
    <w:rsid w:val="00A93DA5"/>
    <w:rsid w:val="00A94B96"/>
    <w:rsid w:val="00A95AC2"/>
    <w:rsid w:val="00A968A0"/>
    <w:rsid w:val="00A96DB1"/>
    <w:rsid w:val="00AA38A7"/>
    <w:rsid w:val="00AA43D4"/>
    <w:rsid w:val="00AA5667"/>
    <w:rsid w:val="00AA70E1"/>
    <w:rsid w:val="00AA74CF"/>
    <w:rsid w:val="00AA78EA"/>
    <w:rsid w:val="00AB2473"/>
    <w:rsid w:val="00AB2B9D"/>
    <w:rsid w:val="00AB4635"/>
    <w:rsid w:val="00AB5165"/>
    <w:rsid w:val="00AB539F"/>
    <w:rsid w:val="00AC2736"/>
    <w:rsid w:val="00AC39C6"/>
    <w:rsid w:val="00AC4AEB"/>
    <w:rsid w:val="00AC51ED"/>
    <w:rsid w:val="00AC5D45"/>
    <w:rsid w:val="00AD1AE7"/>
    <w:rsid w:val="00AD3593"/>
    <w:rsid w:val="00AD5EE3"/>
    <w:rsid w:val="00AD66A4"/>
    <w:rsid w:val="00AD741D"/>
    <w:rsid w:val="00AE002A"/>
    <w:rsid w:val="00AE0308"/>
    <w:rsid w:val="00AE04B1"/>
    <w:rsid w:val="00AE5DA8"/>
    <w:rsid w:val="00AE5E21"/>
    <w:rsid w:val="00AE6787"/>
    <w:rsid w:val="00AE76A4"/>
    <w:rsid w:val="00AF2AC6"/>
    <w:rsid w:val="00AF3A46"/>
    <w:rsid w:val="00AF7050"/>
    <w:rsid w:val="00B00E43"/>
    <w:rsid w:val="00B013DB"/>
    <w:rsid w:val="00B01699"/>
    <w:rsid w:val="00B02796"/>
    <w:rsid w:val="00B02F88"/>
    <w:rsid w:val="00B0338A"/>
    <w:rsid w:val="00B0371B"/>
    <w:rsid w:val="00B0439B"/>
    <w:rsid w:val="00B05FCF"/>
    <w:rsid w:val="00B061EA"/>
    <w:rsid w:val="00B06853"/>
    <w:rsid w:val="00B06EAF"/>
    <w:rsid w:val="00B06F52"/>
    <w:rsid w:val="00B073FF"/>
    <w:rsid w:val="00B119AA"/>
    <w:rsid w:val="00B17670"/>
    <w:rsid w:val="00B22066"/>
    <w:rsid w:val="00B25980"/>
    <w:rsid w:val="00B335AF"/>
    <w:rsid w:val="00B33C43"/>
    <w:rsid w:val="00B344DB"/>
    <w:rsid w:val="00B35449"/>
    <w:rsid w:val="00B36468"/>
    <w:rsid w:val="00B47CF8"/>
    <w:rsid w:val="00B500C7"/>
    <w:rsid w:val="00B53F79"/>
    <w:rsid w:val="00B54F14"/>
    <w:rsid w:val="00B559E6"/>
    <w:rsid w:val="00B55E88"/>
    <w:rsid w:val="00B5621F"/>
    <w:rsid w:val="00B611E5"/>
    <w:rsid w:val="00B63C7E"/>
    <w:rsid w:val="00B647D0"/>
    <w:rsid w:val="00B64C77"/>
    <w:rsid w:val="00B66EBB"/>
    <w:rsid w:val="00B674B2"/>
    <w:rsid w:val="00B67F8B"/>
    <w:rsid w:val="00B70B37"/>
    <w:rsid w:val="00B720E8"/>
    <w:rsid w:val="00B73F81"/>
    <w:rsid w:val="00B7488F"/>
    <w:rsid w:val="00B805C1"/>
    <w:rsid w:val="00B80F83"/>
    <w:rsid w:val="00B81EDD"/>
    <w:rsid w:val="00B81FFE"/>
    <w:rsid w:val="00B837EE"/>
    <w:rsid w:val="00B83804"/>
    <w:rsid w:val="00B86264"/>
    <w:rsid w:val="00B865E7"/>
    <w:rsid w:val="00B87141"/>
    <w:rsid w:val="00B91F5D"/>
    <w:rsid w:val="00B928ED"/>
    <w:rsid w:val="00B9718C"/>
    <w:rsid w:val="00BA1571"/>
    <w:rsid w:val="00BA183B"/>
    <w:rsid w:val="00BA1BAE"/>
    <w:rsid w:val="00BA3F44"/>
    <w:rsid w:val="00BA7760"/>
    <w:rsid w:val="00BB1257"/>
    <w:rsid w:val="00BB2208"/>
    <w:rsid w:val="00BB3AEC"/>
    <w:rsid w:val="00BB3B77"/>
    <w:rsid w:val="00BB5E69"/>
    <w:rsid w:val="00BB629F"/>
    <w:rsid w:val="00BB75A3"/>
    <w:rsid w:val="00BC0922"/>
    <w:rsid w:val="00BC0DDE"/>
    <w:rsid w:val="00BC1C3C"/>
    <w:rsid w:val="00BC25BF"/>
    <w:rsid w:val="00BC32D8"/>
    <w:rsid w:val="00BC3F15"/>
    <w:rsid w:val="00BC5A7B"/>
    <w:rsid w:val="00BC5ECF"/>
    <w:rsid w:val="00BC7997"/>
    <w:rsid w:val="00BD1F6F"/>
    <w:rsid w:val="00BD32E6"/>
    <w:rsid w:val="00BD34CD"/>
    <w:rsid w:val="00BD6C39"/>
    <w:rsid w:val="00BD71BF"/>
    <w:rsid w:val="00BE2BDD"/>
    <w:rsid w:val="00BE5F0F"/>
    <w:rsid w:val="00BF0390"/>
    <w:rsid w:val="00BF4AFD"/>
    <w:rsid w:val="00BF567B"/>
    <w:rsid w:val="00BF64B9"/>
    <w:rsid w:val="00BF706D"/>
    <w:rsid w:val="00BF7A4E"/>
    <w:rsid w:val="00C02057"/>
    <w:rsid w:val="00C03B2D"/>
    <w:rsid w:val="00C042C1"/>
    <w:rsid w:val="00C04861"/>
    <w:rsid w:val="00C10C44"/>
    <w:rsid w:val="00C116D6"/>
    <w:rsid w:val="00C12DA6"/>
    <w:rsid w:val="00C1320E"/>
    <w:rsid w:val="00C1493D"/>
    <w:rsid w:val="00C15066"/>
    <w:rsid w:val="00C16B94"/>
    <w:rsid w:val="00C1711B"/>
    <w:rsid w:val="00C176D8"/>
    <w:rsid w:val="00C216F5"/>
    <w:rsid w:val="00C22EF7"/>
    <w:rsid w:val="00C230DF"/>
    <w:rsid w:val="00C23538"/>
    <w:rsid w:val="00C23C3C"/>
    <w:rsid w:val="00C24418"/>
    <w:rsid w:val="00C26F46"/>
    <w:rsid w:val="00C270A1"/>
    <w:rsid w:val="00C31671"/>
    <w:rsid w:val="00C31EF4"/>
    <w:rsid w:val="00C3265E"/>
    <w:rsid w:val="00C32806"/>
    <w:rsid w:val="00C33063"/>
    <w:rsid w:val="00C35110"/>
    <w:rsid w:val="00C375BA"/>
    <w:rsid w:val="00C37B43"/>
    <w:rsid w:val="00C41FD5"/>
    <w:rsid w:val="00C450FF"/>
    <w:rsid w:val="00C45222"/>
    <w:rsid w:val="00C474F8"/>
    <w:rsid w:val="00C50084"/>
    <w:rsid w:val="00C5116F"/>
    <w:rsid w:val="00C51A26"/>
    <w:rsid w:val="00C53A27"/>
    <w:rsid w:val="00C54A0F"/>
    <w:rsid w:val="00C60220"/>
    <w:rsid w:val="00C6082A"/>
    <w:rsid w:val="00C610F1"/>
    <w:rsid w:val="00C63F60"/>
    <w:rsid w:val="00C641F6"/>
    <w:rsid w:val="00C660AA"/>
    <w:rsid w:val="00C70626"/>
    <w:rsid w:val="00C71213"/>
    <w:rsid w:val="00C713E6"/>
    <w:rsid w:val="00C75AC9"/>
    <w:rsid w:val="00C75ACF"/>
    <w:rsid w:val="00C76409"/>
    <w:rsid w:val="00C76F8D"/>
    <w:rsid w:val="00C803AA"/>
    <w:rsid w:val="00C81E3A"/>
    <w:rsid w:val="00C826B4"/>
    <w:rsid w:val="00C84D29"/>
    <w:rsid w:val="00C85D5D"/>
    <w:rsid w:val="00C865C0"/>
    <w:rsid w:val="00C86EF4"/>
    <w:rsid w:val="00C86F6B"/>
    <w:rsid w:val="00C906BC"/>
    <w:rsid w:val="00C91841"/>
    <w:rsid w:val="00C92336"/>
    <w:rsid w:val="00C96AAA"/>
    <w:rsid w:val="00C96FFB"/>
    <w:rsid w:val="00CA480B"/>
    <w:rsid w:val="00CA5577"/>
    <w:rsid w:val="00CA56ED"/>
    <w:rsid w:val="00CA6AA1"/>
    <w:rsid w:val="00CB11E7"/>
    <w:rsid w:val="00CB15E0"/>
    <w:rsid w:val="00CB2948"/>
    <w:rsid w:val="00CB396B"/>
    <w:rsid w:val="00CB54E2"/>
    <w:rsid w:val="00CC1A42"/>
    <w:rsid w:val="00CC27C4"/>
    <w:rsid w:val="00CC4EF3"/>
    <w:rsid w:val="00CC6050"/>
    <w:rsid w:val="00CD051A"/>
    <w:rsid w:val="00CD1D08"/>
    <w:rsid w:val="00CD2209"/>
    <w:rsid w:val="00CD257A"/>
    <w:rsid w:val="00CD2FD6"/>
    <w:rsid w:val="00CD3867"/>
    <w:rsid w:val="00CD7320"/>
    <w:rsid w:val="00CE0B03"/>
    <w:rsid w:val="00CE105B"/>
    <w:rsid w:val="00CE14C0"/>
    <w:rsid w:val="00CE1531"/>
    <w:rsid w:val="00CE180B"/>
    <w:rsid w:val="00CE25E7"/>
    <w:rsid w:val="00CE2B20"/>
    <w:rsid w:val="00CE3CD7"/>
    <w:rsid w:val="00CE62C3"/>
    <w:rsid w:val="00CE6BC7"/>
    <w:rsid w:val="00CE75B2"/>
    <w:rsid w:val="00CF039F"/>
    <w:rsid w:val="00CF2227"/>
    <w:rsid w:val="00CF504E"/>
    <w:rsid w:val="00CF5C27"/>
    <w:rsid w:val="00CF61E7"/>
    <w:rsid w:val="00CF631C"/>
    <w:rsid w:val="00D00250"/>
    <w:rsid w:val="00D02A96"/>
    <w:rsid w:val="00D02E1B"/>
    <w:rsid w:val="00D03E4E"/>
    <w:rsid w:val="00D06399"/>
    <w:rsid w:val="00D06FB8"/>
    <w:rsid w:val="00D10821"/>
    <w:rsid w:val="00D10F45"/>
    <w:rsid w:val="00D12B44"/>
    <w:rsid w:val="00D13C20"/>
    <w:rsid w:val="00D1412F"/>
    <w:rsid w:val="00D153CE"/>
    <w:rsid w:val="00D158DF"/>
    <w:rsid w:val="00D15A3D"/>
    <w:rsid w:val="00D171D7"/>
    <w:rsid w:val="00D17567"/>
    <w:rsid w:val="00D214EB"/>
    <w:rsid w:val="00D21BE9"/>
    <w:rsid w:val="00D21CFF"/>
    <w:rsid w:val="00D22592"/>
    <w:rsid w:val="00D22B59"/>
    <w:rsid w:val="00D24A7F"/>
    <w:rsid w:val="00D266FD"/>
    <w:rsid w:val="00D31346"/>
    <w:rsid w:val="00D323FD"/>
    <w:rsid w:val="00D324B9"/>
    <w:rsid w:val="00D32AEF"/>
    <w:rsid w:val="00D32C51"/>
    <w:rsid w:val="00D33C20"/>
    <w:rsid w:val="00D348F4"/>
    <w:rsid w:val="00D34C1D"/>
    <w:rsid w:val="00D361AC"/>
    <w:rsid w:val="00D363B9"/>
    <w:rsid w:val="00D365CE"/>
    <w:rsid w:val="00D36B99"/>
    <w:rsid w:val="00D37647"/>
    <w:rsid w:val="00D43F91"/>
    <w:rsid w:val="00D45627"/>
    <w:rsid w:val="00D464F3"/>
    <w:rsid w:val="00D471B5"/>
    <w:rsid w:val="00D52CDA"/>
    <w:rsid w:val="00D53D11"/>
    <w:rsid w:val="00D557EF"/>
    <w:rsid w:val="00D558F4"/>
    <w:rsid w:val="00D56332"/>
    <w:rsid w:val="00D56F64"/>
    <w:rsid w:val="00D5768A"/>
    <w:rsid w:val="00D610C3"/>
    <w:rsid w:val="00D646F4"/>
    <w:rsid w:val="00D64954"/>
    <w:rsid w:val="00D64A0C"/>
    <w:rsid w:val="00D64DB7"/>
    <w:rsid w:val="00D6708D"/>
    <w:rsid w:val="00D67B3A"/>
    <w:rsid w:val="00D732E9"/>
    <w:rsid w:val="00D737A6"/>
    <w:rsid w:val="00D7463E"/>
    <w:rsid w:val="00D766B7"/>
    <w:rsid w:val="00D77CDF"/>
    <w:rsid w:val="00D8144C"/>
    <w:rsid w:val="00D81656"/>
    <w:rsid w:val="00D8196B"/>
    <w:rsid w:val="00D82F2E"/>
    <w:rsid w:val="00D83086"/>
    <w:rsid w:val="00D83D11"/>
    <w:rsid w:val="00D84E54"/>
    <w:rsid w:val="00D86E44"/>
    <w:rsid w:val="00D86E6F"/>
    <w:rsid w:val="00D90AE2"/>
    <w:rsid w:val="00D90DE7"/>
    <w:rsid w:val="00D9158F"/>
    <w:rsid w:val="00D92910"/>
    <w:rsid w:val="00D945D7"/>
    <w:rsid w:val="00D94D50"/>
    <w:rsid w:val="00D95B74"/>
    <w:rsid w:val="00D962B4"/>
    <w:rsid w:val="00D96836"/>
    <w:rsid w:val="00DA0141"/>
    <w:rsid w:val="00DA2BCC"/>
    <w:rsid w:val="00DA4506"/>
    <w:rsid w:val="00DA4BF5"/>
    <w:rsid w:val="00DA628C"/>
    <w:rsid w:val="00DB00DF"/>
    <w:rsid w:val="00DB0176"/>
    <w:rsid w:val="00DB2769"/>
    <w:rsid w:val="00DB2C36"/>
    <w:rsid w:val="00DB425F"/>
    <w:rsid w:val="00DB69D7"/>
    <w:rsid w:val="00DB6A18"/>
    <w:rsid w:val="00DB760A"/>
    <w:rsid w:val="00DC0129"/>
    <w:rsid w:val="00DC0196"/>
    <w:rsid w:val="00DC1A38"/>
    <w:rsid w:val="00DC2369"/>
    <w:rsid w:val="00DC26E6"/>
    <w:rsid w:val="00DC46F0"/>
    <w:rsid w:val="00DC4DDF"/>
    <w:rsid w:val="00DC5263"/>
    <w:rsid w:val="00DC54B5"/>
    <w:rsid w:val="00DC7E3F"/>
    <w:rsid w:val="00DD0034"/>
    <w:rsid w:val="00DD0220"/>
    <w:rsid w:val="00DD0FAC"/>
    <w:rsid w:val="00DD4EA3"/>
    <w:rsid w:val="00DD50A3"/>
    <w:rsid w:val="00DD7664"/>
    <w:rsid w:val="00DE042B"/>
    <w:rsid w:val="00DE0548"/>
    <w:rsid w:val="00DE0F6F"/>
    <w:rsid w:val="00DE3DE0"/>
    <w:rsid w:val="00DE4435"/>
    <w:rsid w:val="00DE50DA"/>
    <w:rsid w:val="00DE5A20"/>
    <w:rsid w:val="00DE5DDB"/>
    <w:rsid w:val="00DE69A0"/>
    <w:rsid w:val="00DF1051"/>
    <w:rsid w:val="00DF372C"/>
    <w:rsid w:val="00DF430F"/>
    <w:rsid w:val="00DF4DF8"/>
    <w:rsid w:val="00DF6A18"/>
    <w:rsid w:val="00E0135D"/>
    <w:rsid w:val="00E02A44"/>
    <w:rsid w:val="00E03FD1"/>
    <w:rsid w:val="00E06B0D"/>
    <w:rsid w:val="00E06C64"/>
    <w:rsid w:val="00E06CCB"/>
    <w:rsid w:val="00E06D8A"/>
    <w:rsid w:val="00E07FA8"/>
    <w:rsid w:val="00E10C4D"/>
    <w:rsid w:val="00E10E83"/>
    <w:rsid w:val="00E124A3"/>
    <w:rsid w:val="00E148D8"/>
    <w:rsid w:val="00E20736"/>
    <w:rsid w:val="00E20BF8"/>
    <w:rsid w:val="00E24121"/>
    <w:rsid w:val="00E260F0"/>
    <w:rsid w:val="00E2739B"/>
    <w:rsid w:val="00E30C8A"/>
    <w:rsid w:val="00E32388"/>
    <w:rsid w:val="00E3265C"/>
    <w:rsid w:val="00E329FD"/>
    <w:rsid w:val="00E34359"/>
    <w:rsid w:val="00E351CB"/>
    <w:rsid w:val="00E3788B"/>
    <w:rsid w:val="00E37C38"/>
    <w:rsid w:val="00E37FBD"/>
    <w:rsid w:val="00E40D14"/>
    <w:rsid w:val="00E40FEB"/>
    <w:rsid w:val="00E41548"/>
    <w:rsid w:val="00E418A3"/>
    <w:rsid w:val="00E43B2B"/>
    <w:rsid w:val="00E454DD"/>
    <w:rsid w:val="00E5166E"/>
    <w:rsid w:val="00E516DE"/>
    <w:rsid w:val="00E51C98"/>
    <w:rsid w:val="00E52A9A"/>
    <w:rsid w:val="00E53831"/>
    <w:rsid w:val="00E55ADA"/>
    <w:rsid w:val="00E56CEC"/>
    <w:rsid w:val="00E66857"/>
    <w:rsid w:val="00E6716C"/>
    <w:rsid w:val="00E7026F"/>
    <w:rsid w:val="00E70A6F"/>
    <w:rsid w:val="00E721F4"/>
    <w:rsid w:val="00E75854"/>
    <w:rsid w:val="00E76F20"/>
    <w:rsid w:val="00E77048"/>
    <w:rsid w:val="00E825A7"/>
    <w:rsid w:val="00E829C5"/>
    <w:rsid w:val="00E839AF"/>
    <w:rsid w:val="00E83FDA"/>
    <w:rsid w:val="00E867AA"/>
    <w:rsid w:val="00E874B4"/>
    <w:rsid w:val="00E90E4A"/>
    <w:rsid w:val="00E91145"/>
    <w:rsid w:val="00E9245B"/>
    <w:rsid w:val="00E93359"/>
    <w:rsid w:val="00E93F1A"/>
    <w:rsid w:val="00E94C22"/>
    <w:rsid w:val="00EA1885"/>
    <w:rsid w:val="00EA2A8F"/>
    <w:rsid w:val="00EA6DC0"/>
    <w:rsid w:val="00EB0252"/>
    <w:rsid w:val="00EB0A6B"/>
    <w:rsid w:val="00EB1803"/>
    <w:rsid w:val="00EB1DED"/>
    <w:rsid w:val="00EB22DC"/>
    <w:rsid w:val="00EB31B3"/>
    <w:rsid w:val="00EB33B5"/>
    <w:rsid w:val="00EB37B8"/>
    <w:rsid w:val="00EC0199"/>
    <w:rsid w:val="00EC1E67"/>
    <w:rsid w:val="00EC575D"/>
    <w:rsid w:val="00EC7A4F"/>
    <w:rsid w:val="00ED1854"/>
    <w:rsid w:val="00ED1EFC"/>
    <w:rsid w:val="00ED2150"/>
    <w:rsid w:val="00ED33EF"/>
    <w:rsid w:val="00ED3D00"/>
    <w:rsid w:val="00ED4A4D"/>
    <w:rsid w:val="00ED65DE"/>
    <w:rsid w:val="00ED6F56"/>
    <w:rsid w:val="00ED6FBA"/>
    <w:rsid w:val="00ED71CA"/>
    <w:rsid w:val="00EE11C3"/>
    <w:rsid w:val="00EE225C"/>
    <w:rsid w:val="00EE36CB"/>
    <w:rsid w:val="00EE52ED"/>
    <w:rsid w:val="00EF178F"/>
    <w:rsid w:val="00EF2376"/>
    <w:rsid w:val="00EF2751"/>
    <w:rsid w:val="00EF2FCD"/>
    <w:rsid w:val="00EF4965"/>
    <w:rsid w:val="00EF4F99"/>
    <w:rsid w:val="00EF56F6"/>
    <w:rsid w:val="00EF7F06"/>
    <w:rsid w:val="00F00794"/>
    <w:rsid w:val="00F00974"/>
    <w:rsid w:val="00F02876"/>
    <w:rsid w:val="00F03CED"/>
    <w:rsid w:val="00F056F2"/>
    <w:rsid w:val="00F06D74"/>
    <w:rsid w:val="00F078EB"/>
    <w:rsid w:val="00F0799E"/>
    <w:rsid w:val="00F07D59"/>
    <w:rsid w:val="00F11CA7"/>
    <w:rsid w:val="00F123D7"/>
    <w:rsid w:val="00F14584"/>
    <w:rsid w:val="00F15F08"/>
    <w:rsid w:val="00F168EA"/>
    <w:rsid w:val="00F17A5A"/>
    <w:rsid w:val="00F20611"/>
    <w:rsid w:val="00F2112C"/>
    <w:rsid w:val="00F22B3D"/>
    <w:rsid w:val="00F23F05"/>
    <w:rsid w:val="00F265E2"/>
    <w:rsid w:val="00F269CA"/>
    <w:rsid w:val="00F27544"/>
    <w:rsid w:val="00F2764C"/>
    <w:rsid w:val="00F30208"/>
    <w:rsid w:val="00F31D88"/>
    <w:rsid w:val="00F320F8"/>
    <w:rsid w:val="00F32507"/>
    <w:rsid w:val="00F330CF"/>
    <w:rsid w:val="00F33AC1"/>
    <w:rsid w:val="00F33FF6"/>
    <w:rsid w:val="00F35628"/>
    <w:rsid w:val="00F35AD7"/>
    <w:rsid w:val="00F35E57"/>
    <w:rsid w:val="00F37301"/>
    <w:rsid w:val="00F400AF"/>
    <w:rsid w:val="00F404CD"/>
    <w:rsid w:val="00F416AE"/>
    <w:rsid w:val="00F433C7"/>
    <w:rsid w:val="00F4499C"/>
    <w:rsid w:val="00F45F1E"/>
    <w:rsid w:val="00F46215"/>
    <w:rsid w:val="00F51BA2"/>
    <w:rsid w:val="00F52963"/>
    <w:rsid w:val="00F53763"/>
    <w:rsid w:val="00F53865"/>
    <w:rsid w:val="00F54801"/>
    <w:rsid w:val="00F55CB2"/>
    <w:rsid w:val="00F56FE1"/>
    <w:rsid w:val="00F57621"/>
    <w:rsid w:val="00F57B37"/>
    <w:rsid w:val="00F57F25"/>
    <w:rsid w:val="00F609CF"/>
    <w:rsid w:val="00F60B30"/>
    <w:rsid w:val="00F61BE5"/>
    <w:rsid w:val="00F62885"/>
    <w:rsid w:val="00F62A36"/>
    <w:rsid w:val="00F64841"/>
    <w:rsid w:val="00F65BA5"/>
    <w:rsid w:val="00F70EE7"/>
    <w:rsid w:val="00F71397"/>
    <w:rsid w:val="00F72855"/>
    <w:rsid w:val="00F74423"/>
    <w:rsid w:val="00F77910"/>
    <w:rsid w:val="00F77B06"/>
    <w:rsid w:val="00F80ED9"/>
    <w:rsid w:val="00F824D0"/>
    <w:rsid w:val="00F857EE"/>
    <w:rsid w:val="00F869F5"/>
    <w:rsid w:val="00F86E1A"/>
    <w:rsid w:val="00F8751F"/>
    <w:rsid w:val="00F87BE0"/>
    <w:rsid w:val="00F87DA1"/>
    <w:rsid w:val="00F90FE0"/>
    <w:rsid w:val="00F923FC"/>
    <w:rsid w:val="00F92BB5"/>
    <w:rsid w:val="00F93E85"/>
    <w:rsid w:val="00F952A6"/>
    <w:rsid w:val="00FA2DDA"/>
    <w:rsid w:val="00FA425E"/>
    <w:rsid w:val="00FA7B02"/>
    <w:rsid w:val="00FB071E"/>
    <w:rsid w:val="00FB1C90"/>
    <w:rsid w:val="00FB331A"/>
    <w:rsid w:val="00FB3446"/>
    <w:rsid w:val="00FB468A"/>
    <w:rsid w:val="00FB47E4"/>
    <w:rsid w:val="00FB539A"/>
    <w:rsid w:val="00FB5E6D"/>
    <w:rsid w:val="00FB6680"/>
    <w:rsid w:val="00FB6DD4"/>
    <w:rsid w:val="00FB7F1C"/>
    <w:rsid w:val="00FB7FEC"/>
    <w:rsid w:val="00FC0EC8"/>
    <w:rsid w:val="00FC211C"/>
    <w:rsid w:val="00FC2AA9"/>
    <w:rsid w:val="00FC30A5"/>
    <w:rsid w:val="00FC37EC"/>
    <w:rsid w:val="00FC4BE4"/>
    <w:rsid w:val="00FC5734"/>
    <w:rsid w:val="00FC7F52"/>
    <w:rsid w:val="00FD2B9B"/>
    <w:rsid w:val="00FD58AB"/>
    <w:rsid w:val="00FD5FAC"/>
    <w:rsid w:val="00FE02CD"/>
    <w:rsid w:val="00FE04AA"/>
    <w:rsid w:val="00FE1B2C"/>
    <w:rsid w:val="00FE2D22"/>
    <w:rsid w:val="00FE5DB8"/>
    <w:rsid w:val="00FE702C"/>
    <w:rsid w:val="00FF1007"/>
    <w:rsid w:val="00FF2339"/>
    <w:rsid w:val="00FF27B5"/>
    <w:rsid w:val="00FF4C2D"/>
    <w:rsid w:val="00FF553E"/>
    <w:rsid w:val="00FF5C38"/>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5F4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833"/>
  </w:style>
  <w:style w:type="paragraph" w:styleId="Heading1">
    <w:name w:val="heading 1"/>
    <w:basedOn w:val="Normal"/>
    <w:link w:val="Heading1Char"/>
    <w:uiPriority w:val="9"/>
    <w:qFormat/>
    <w:rsid w:val="008D5F0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D5F0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7CD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D389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30208"/>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6833"/>
    <w:pPr>
      <w:spacing w:after="0" w:line="240" w:lineRule="auto"/>
    </w:pPr>
  </w:style>
  <w:style w:type="paragraph" w:styleId="Header">
    <w:name w:val="header"/>
    <w:basedOn w:val="Normal"/>
    <w:link w:val="HeaderChar"/>
    <w:uiPriority w:val="99"/>
    <w:unhideWhenUsed/>
    <w:rsid w:val="00AD74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741D"/>
  </w:style>
  <w:style w:type="paragraph" w:styleId="Footer">
    <w:name w:val="footer"/>
    <w:basedOn w:val="Normal"/>
    <w:link w:val="FooterChar"/>
    <w:uiPriority w:val="99"/>
    <w:unhideWhenUsed/>
    <w:rsid w:val="00AD74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741D"/>
  </w:style>
  <w:style w:type="paragraph" w:styleId="ListParagraph">
    <w:name w:val="List Paragraph"/>
    <w:basedOn w:val="Normal"/>
    <w:uiPriority w:val="34"/>
    <w:qFormat/>
    <w:rsid w:val="002E3E44"/>
    <w:pPr>
      <w:ind w:left="720"/>
      <w:contextualSpacing/>
    </w:pPr>
  </w:style>
  <w:style w:type="character" w:styleId="Hyperlink">
    <w:name w:val="Hyperlink"/>
    <w:basedOn w:val="DefaultParagraphFont"/>
    <w:uiPriority w:val="99"/>
    <w:unhideWhenUsed/>
    <w:rsid w:val="008D5F08"/>
    <w:rPr>
      <w:color w:val="0000FF"/>
      <w:u w:val="single"/>
    </w:rPr>
  </w:style>
  <w:style w:type="character" w:customStyle="1" w:styleId="Heading1Char">
    <w:name w:val="Heading 1 Char"/>
    <w:basedOn w:val="DefaultParagraphFont"/>
    <w:link w:val="Heading1"/>
    <w:uiPriority w:val="9"/>
    <w:rsid w:val="008D5F0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D5F08"/>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F17A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7A5A"/>
    <w:rPr>
      <w:rFonts w:ascii="Tahoma" w:hAnsi="Tahoma" w:cs="Tahoma"/>
      <w:sz w:val="16"/>
      <w:szCs w:val="16"/>
    </w:rPr>
  </w:style>
  <w:style w:type="paragraph" w:styleId="Caption">
    <w:name w:val="caption"/>
    <w:basedOn w:val="Normal"/>
    <w:next w:val="Normal"/>
    <w:uiPriority w:val="35"/>
    <w:unhideWhenUsed/>
    <w:qFormat/>
    <w:rsid w:val="00F17A5A"/>
    <w:pPr>
      <w:spacing w:line="240" w:lineRule="auto"/>
    </w:pPr>
    <w:rPr>
      <w:b/>
      <w:bCs/>
      <w:color w:val="4F81BD" w:themeColor="accent1"/>
      <w:sz w:val="18"/>
      <w:szCs w:val="18"/>
    </w:rPr>
  </w:style>
  <w:style w:type="character" w:customStyle="1" w:styleId="sr-only">
    <w:name w:val="sr-only"/>
    <w:basedOn w:val="DefaultParagraphFont"/>
    <w:rsid w:val="00C32806"/>
  </w:style>
  <w:style w:type="character" w:customStyle="1" w:styleId="text">
    <w:name w:val="text"/>
    <w:basedOn w:val="DefaultParagraphFont"/>
    <w:rsid w:val="00C32806"/>
  </w:style>
  <w:style w:type="character" w:customStyle="1" w:styleId="author-ref">
    <w:name w:val="author-ref"/>
    <w:basedOn w:val="DefaultParagraphFont"/>
    <w:rsid w:val="00C32806"/>
  </w:style>
  <w:style w:type="character" w:customStyle="1" w:styleId="title-text">
    <w:name w:val="title-text"/>
    <w:basedOn w:val="DefaultParagraphFont"/>
    <w:rsid w:val="00C32806"/>
  </w:style>
  <w:style w:type="paragraph" w:styleId="NormalWeb">
    <w:name w:val="Normal (Web)"/>
    <w:basedOn w:val="Normal"/>
    <w:uiPriority w:val="99"/>
    <w:unhideWhenUsed/>
    <w:rsid w:val="000720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wskursiv">
    <w:name w:val="swskursiv"/>
    <w:basedOn w:val="DefaultParagraphFont"/>
    <w:rsid w:val="00B928ED"/>
  </w:style>
  <w:style w:type="character" w:customStyle="1" w:styleId="apple-converted-space">
    <w:name w:val="apple-converted-space"/>
    <w:basedOn w:val="DefaultParagraphFont"/>
    <w:rsid w:val="00B928ED"/>
  </w:style>
  <w:style w:type="character" w:customStyle="1" w:styleId="hscoswrapper">
    <w:name w:val="hs_cos_wrapper"/>
    <w:basedOn w:val="DefaultParagraphFont"/>
    <w:rsid w:val="00CF039F"/>
  </w:style>
  <w:style w:type="character" w:customStyle="1" w:styleId="fl-heading-text">
    <w:name w:val="fl-heading-text"/>
    <w:basedOn w:val="DefaultParagraphFont"/>
    <w:rsid w:val="001A7E73"/>
  </w:style>
  <w:style w:type="character" w:styleId="Strong">
    <w:name w:val="Strong"/>
    <w:basedOn w:val="DefaultParagraphFont"/>
    <w:uiPriority w:val="22"/>
    <w:qFormat/>
    <w:rsid w:val="001A7E73"/>
    <w:rPr>
      <w:b/>
      <w:bCs/>
    </w:rPr>
  </w:style>
  <w:style w:type="character" w:customStyle="1" w:styleId="il">
    <w:name w:val="il"/>
    <w:basedOn w:val="DefaultParagraphFont"/>
    <w:rsid w:val="006420CE"/>
  </w:style>
  <w:style w:type="character" w:customStyle="1" w:styleId="Heading3Char">
    <w:name w:val="Heading 3 Char"/>
    <w:basedOn w:val="DefaultParagraphFont"/>
    <w:link w:val="Heading3"/>
    <w:uiPriority w:val="9"/>
    <w:rsid w:val="00D77CD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1D389C"/>
    <w:rPr>
      <w:rFonts w:asciiTheme="majorHAnsi" w:eastAsiaTheme="majorEastAsia" w:hAnsiTheme="majorHAnsi" w:cstheme="majorBidi"/>
      <w:b/>
      <w:bCs/>
      <w:i/>
      <w:iCs/>
      <w:color w:val="4F81BD" w:themeColor="accent1"/>
    </w:rPr>
  </w:style>
  <w:style w:type="character" w:styleId="HTMLDefinition">
    <w:name w:val="HTML Definition"/>
    <w:basedOn w:val="DefaultParagraphFont"/>
    <w:uiPriority w:val="99"/>
    <w:semiHidden/>
    <w:unhideWhenUsed/>
    <w:rsid w:val="008E5286"/>
    <w:rPr>
      <w:i/>
      <w:iCs/>
    </w:rPr>
  </w:style>
  <w:style w:type="character" w:customStyle="1" w:styleId="t">
    <w:name w:val="t"/>
    <w:basedOn w:val="DefaultParagraphFont"/>
    <w:rsid w:val="005E77C6"/>
  </w:style>
  <w:style w:type="character" w:styleId="Emphasis">
    <w:name w:val="Emphasis"/>
    <w:basedOn w:val="DefaultParagraphFont"/>
    <w:uiPriority w:val="20"/>
    <w:qFormat/>
    <w:rsid w:val="00784523"/>
    <w:rPr>
      <w:i/>
      <w:iCs/>
    </w:rPr>
  </w:style>
  <w:style w:type="paragraph" w:customStyle="1" w:styleId="Default">
    <w:name w:val="Default"/>
    <w:rsid w:val="00627B4F"/>
    <w:pPr>
      <w:autoSpaceDE w:val="0"/>
      <w:autoSpaceDN w:val="0"/>
      <w:adjustRightInd w:val="0"/>
      <w:spacing w:after="0" w:line="240" w:lineRule="auto"/>
    </w:pPr>
    <w:rPr>
      <w:rFonts w:ascii="Times New Roman" w:hAnsi="Times New Roman" w:cs="Times New Roman"/>
      <w:color w:val="000000"/>
      <w:sz w:val="24"/>
      <w:szCs w:val="24"/>
    </w:rPr>
  </w:style>
  <w:style w:type="character" w:styleId="BookTitle">
    <w:name w:val="Book Title"/>
    <w:basedOn w:val="DefaultParagraphFont"/>
    <w:uiPriority w:val="33"/>
    <w:qFormat/>
    <w:rsid w:val="00657223"/>
    <w:rPr>
      <w:b/>
      <w:bCs/>
      <w:smallCaps/>
      <w:spacing w:val="5"/>
    </w:rPr>
  </w:style>
  <w:style w:type="character" w:customStyle="1" w:styleId="formula">
    <w:name w:val="formula"/>
    <w:basedOn w:val="DefaultParagraphFont"/>
    <w:rsid w:val="005A0AC8"/>
  </w:style>
  <w:style w:type="character" w:customStyle="1" w:styleId="varcolor">
    <w:name w:val="varcolor"/>
    <w:basedOn w:val="DefaultParagraphFont"/>
    <w:rsid w:val="005A0AC8"/>
  </w:style>
  <w:style w:type="character" w:customStyle="1" w:styleId="comp">
    <w:name w:val="comp"/>
    <w:basedOn w:val="DefaultParagraphFont"/>
    <w:rsid w:val="006012DD"/>
  </w:style>
  <w:style w:type="character" w:customStyle="1" w:styleId="Heading5Char">
    <w:name w:val="Heading 5 Char"/>
    <w:basedOn w:val="DefaultParagraphFont"/>
    <w:link w:val="Heading5"/>
    <w:uiPriority w:val="9"/>
    <w:rsid w:val="00F30208"/>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semiHidden/>
    <w:unhideWhenUsed/>
    <w:qFormat/>
    <w:rsid w:val="0048027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480272"/>
    <w:pPr>
      <w:spacing w:after="100"/>
    </w:pPr>
  </w:style>
  <w:style w:type="paragraph" w:styleId="TOC2">
    <w:name w:val="toc 2"/>
    <w:basedOn w:val="Normal"/>
    <w:next w:val="Normal"/>
    <w:autoRedefine/>
    <w:uiPriority w:val="39"/>
    <w:unhideWhenUsed/>
    <w:rsid w:val="00841ED9"/>
    <w:pPr>
      <w:spacing w:after="100"/>
      <w:ind w:left="220"/>
    </w:pPr>
  </w:style>
  <w:style w:type="paragraph" w:styleId="TOC3">
    <w:name w:val="toc 3"/>
    <w:basedOn w:val="Normal"/>
    <w:next w:val="Normal"/>
    <w:autoRedefine/>
    <w:uiPriority w:val="39"/>
    <w:unhideWhenUsed/>
    <w:rsid w:val="00841ED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133">
      <w:bodyDiv w:val="1"/>
      <w:marLeft w:val="0"/>
      <w:marRight w:val="0"/>
      <w:marTop w:val="0"/>
      <w:marBottom w:val="0"/>
      <w:divBdr>
        <w:top w:val="none" w:sz="0" w:space="0" w:color="auto"/>
        <w:left w:val="none" w:sz="0" w:space="0" w:color="auto"/>
        <w:bottom w:val="none" w:sz="0" w:space="0" w:color="auto"/>
        <w:right w:val="none" w:sz="0" w:space="0" w:color="auto"/>
      </w:divBdr>
    </w:div>
    <w:div w:id="12196859">
      <w:bodyDiv w:val="1"/>
      <w:marLeft w:val="0"/>
      <w:marRight w:val="0"/>
      <w:marTop w:val="0"/>
      <w:marBottom w:val="0"/>
      <w:divBdr>
        <w:top w:val="none" w:sz="0" w:space="0" w:color="auto"/>
        <w:left w:val="none" w:sz="0" w:space="0" w:color="auto"/>
        <w:bottom w:val="none" w:sz="0" w:space="0" w:color="auto"/>
        <w:right w:val="none" w:sz="0" w:space="0" w:color="auto"/>
      </w:divBdr>
    </w:div>
    <w:div w:id="18170287">
      <w:bodyDiv w:val="1"/>
      <w:marLeft w:val="0"/>
      <w:marRight w:val="0"/>
      <w:marTop w:val="0"/>
      <w:marBottom w:val="0"/>
      <w:divBdr>
        <w:top w:val="none" w:sz="0" w:space="0" w:color="auto"/>
        <w:left w:val="none" w:sz="0" w:space="0" w:color="auto"/>
        <w:bottom w:val="none" w:sz="0" w:space="0" w:color="auto"/>
        <w:right w:val="none" w:sz="0" w:space="0" w:color="auto"/>
      </w:divBdr>
    </w:div>
    <w:div w:id="20251721">
      <w:bodyDiv w:val="1"/>
      <w:marLeft w:val="0"/>
      <w:marRight w:val="0"/>
      <w:marTop w:val="0"/>
      <w:marBottom w:val="0"/>
      <w:divBdr>
        <w:top w:val="none" w:sz="0" w:space="0" w:color="auto"/>
        <w:left w:val="none" w:sz="0" w:space="0" w:color="auto"/>
        <w:bottom w:val="none" w:sz="0" w:space="0" w:color="auto"/>
        <w:right w:val="none" w:sz="0" w:space="0" w:color="auto"/>
      </w:divBdr>
    </w:div>
    <w:div w:id="45184521">
      <w:bodyDiv w:val="1"/>
      <w:marLeft w:val="0"/>
      <w:marRight w:val="0"/>
      <w:marTop w:val="0"/>
      <w:marBottom w:val="0"/>
      <w:divBdr>
        <w:top w:val="none" w:sz="0" w:space="0" w:color="auto"/>
        <w:left w:val="none" w:sz="0" w:space="0" w:color="auto"/>
        <w:bottom w:val="none" w:sz="0" w:space="0" w:color="auto"/>
        <w:right w:val="none" w:sz="0" w:space="0" w:color="auto"/>
      </w:divBdr>
    </w:div>
    <w:div w:id="84498318">
      <w:bodyDiv w:val="1"/>
      <w:marLeft w:val="0"/>
      <w:marRight w:val="0"/>
      <w:marTop w:val="0"/>
      <w:marBottom w:val="0"/>
      <w:divBdr>
        <w:top w:val="none" w:sz="0" w:space="0" w:color="auto"/>
        <w:left w:val="none" w:sz="0" w:space="0" w:color="auto"/>
        <w:bottom w:val="none" w:sz="0" w:space="0" w:color="auto"/>
        <w:right w:val="none" w:sz="0" w:space="0" w:color="auto"/>
      </w:divBdr>
    </w:div>
    <w:div w:id="96484472">
      <w:bodyDiv w:val="1"/>
      <w:marLeft w:val="0"/>
      <w:marRight w:val="0"/>
      <w:marTop w:val="0"/>
      <w:marBottom w:val="0"/>
      <w:divBdr>
        <w:top w:val="none" w:sz="0" w:space="0" w:color="auto"/>
        <w:left w:val="none" w:sz="0" w:space="0" w:color="auto"/>
        <w:bottom w:val="none" w:sz="0" w:space="0" w:color="auto"/>
        <w:right w:val="none" w:sz="0" w:space="0" w:color="auto"/>
      </w:divBdr>
    </w:div>
    <w:div w:id="125123641">
      <w:bodyDiv w:val="1"/>
      <w:marLeft w:val="0"/>
      <w:marRight w:val="0"/>
      <w:marTop w:val="0"/>
      <w:marBottom w:val="0"/>
      <w:divBdr>
        <w:top w:val="none" w:sz="0" w:space="0" w:color="auto"/>
        <w:left w:val="none" w:sz="0" w:space="0" w:color="auto"/>
        <w:bottom w:val="none" w:sz="0" w:space="0" w:color="auto"/>
        <w:right w:val="none" w:sz="0" w:space="0" w:color="auto"/>
      </w:divBdr>
    </w:div>
    <w:div w:id="136923957">
      <w:bodyDiv w:val="1"/>
      <w:marLeft w:val="0"/>
      <w:marRight w:val="0"/>
      <w:marTop w:val="0"/>
      <w:marBottom w:val="0"/>
      <w:divBdr>
        <w:top w:val="none" w:sz="0" w:space="0" w:color="auto"/>
        <w:left w:val="none" w:sz="0" w:space="0" w:color="auto"/>
        <w:bottom w:val="none" w:sz="0" w:space="0" w:color="auto"/>
        <w:right w:val="none" w:sz="0" w:space="0" w:color="auto"/>
      </w:divBdr>
    </w:div>
    <w:div w:id="189415268">
      <w:bodyDiv w:val="1"/>
      <w:marLeft w:val="0"/>
      <w:marRight w:val="0"/>
      <w:marTop w:val="0"/>
      <w:marBottom w:val="0"/>
      <w:divBdr>
        <w:top w:val="none" w:sz="0" w:space="0" w:color="auto"/>
        <w:left w:val="none" w:sz="0" w:space="0" w:color="auto"/>
        <w:bottom w:val="none" w:sz="0" w:space="0" w:color="auto"/>
        <w:right w:val="none" w:sz="0" w:space="0" w:color="auto"/>
      </w:divBdr>
    </w:div>
    <w:div w:id="207375281">
      <w:bodyDiv w:val="1"/>
      <w:marLeft w:val="0"/>
      <w:marRight w:val="0"/>
      <w:marTop w:val="0"/>
      <w:marBottom w:val="0"/>
      <w:divBdr>
        <w:top w:val="none" w:sz="0" w:space="0" w:color="auto"/>
        <w:left w:val="none" w:sz="0" w:space="0" w:color="auto"/>
        <w:bottom w:val="none" w:sz="0" w:space="0" w:color="auto"/>
        <w:right w:val="none" w:sz="0" w:space="0" w:color="auto"/>
      </w:divBdr>
    </w:div>
    <w:div w:id="213198773">
      <w:bodyDiv w:val="1"/>
      <w:marLeft w:val="0"/>
      <w:marRight w:val="0"/>
      <w:marTop w:val="0"/>
      <w:marBottom w:val="0"/>
      <w:divBdr>
        <w:top w:val="none" w:sz="0" w:space="0" w:color="auto"/>
        <w:left w:val="none" w:sz="0" w:space="0" w:color="auto"/>
        <w:bottom w:val="none" w:sz="0" w:space="0" w:color="auto"/>
        <w:right w:val="none" w:sz="0" w:space="0" w:color="auto"/>
      </w:divBdr>
    </w:div>
    <w:div w:id="224024501">
      <w:bodyDiv w:val="1"/>
      <w:marLeft w:val="0"/>
      <w:marRight w:val="0"/>
      <w:marTop w:val="0"/>
      <w:marBottom w:val="0"/>
      <w:divBdr>
        <w:top w:val="none" w:sz="0" w:space="0" w:color="auto"/>
        <w:left w:val="none" w:sz="0" w:space="0" w:color="auto"/>
        <w:bottom w:val="none" w:sz="0" w:space="0" w:color="auto"/>
        <w:right w:val="none" w:sz="0" w:space="0" w:color="auto"/>
      </w:divBdr>
    </w:div>
    <w:div w:id="248319871">
      <w:bodyDiv w:val="1"/>
      <w:marLeft w:val="0"/>
      <w:marRight w:val="0"/>
      <w:marTop w:val="0"/>
      <w:marBottom w:val="0"/>
      <w:divBdr>
        <w:top w:val="none" w:sz="0" w:space="0" w:color="auto"/>
        <w:left w:val="none" w:sz="0" w:space="0" w:color="auto"/>
        <w:bottom w:val="none" w:sz="0" w:space="0" w:color="auto"/>
        <w:right w:val="none" w:sz="0" w:space="0" w:color="auto"/>
      </w:divBdr>
    </w:div>
    <w:div w:id="276301545">
      <w:bodyDiv w:val="1"/>
      <w:marLeft w:val="0"/>
      <w:marRight w:val="0"/>
      <w:marTop w:val="0"/>
      <w:marBottom w:val="0"/>
      <w:divBdr>
        <w:top w:val="none" w:sz="0" w:space="0" w:color="auto"/>
        <w:left w:val="none" w:sz="0" w:space="0" w:color="auto"/>
        <w:bottom w:val="none" w:sz="0" w:space="0" w:color="auto"/>
        <w:right w:val="none" w:sz="0" w:space="0" w:color="auto"/>
      </w:divBdr>
    </w:div>
    <w:div w:id="281573514">
      <w:bodyDiv w:val="1"/>
      <w:marLeft w:val="0"/>
      <w:marRight w:val="0"/>
      <w:marTop w:val="0"/>
      <w:marBottom w:val="0"/>
      <w:divBdr>
        <w:top w:val="none" w:sz="0" w:space="0" w:color="auto"/>
        <w:left w:val="none" w:sz="0" w:space="0" w:color="auto"/>
        <w:bottom w:val="none" w:sz="0" w:space="0" w:color="auto"/>
        <w:right w:val="none" w:sz="0" w:space="0" w:color="auto"/>
      </w:divBdr>
    </w:div>
    <w:div w:id="337541185">
      <w:bodyDiv w:val="1"/>
      <w:marLeft w:val="0"/>
      <w:marRight w:val="0"/>
      <w:marTop w:val="0"/>
      <w:marBottom w:val="0"/>
      <w:divBdr>
        <w:top w:val="none" w:sz="0" w:space="0" w:color="auto"/>
        <w:left w:val="none" w:sz="0" w:space="0" w:color="auto"/>
        <w:bottom w:val="none" w:sz="0" w:space="0" w:color="auto"/>
        <w:right w:val="none" w:sz="0" w:space="0" w:color="auto"/>
      </w:divBdr>
    </w:div>
    <w:div w:id="385683593">
      <w:bodyDiv w:val="1"/>
      <w:marLeft w:val="0"/>
      <w:marRight w:val="0"/>
      <w:marTop w:val="0"/>
      <w:marBottom w:val="0"/>
      <w:divBdr>
        <w:top w:val="none" w:sz="0" w:space="0" w:color="auto"/>
        <w:left w:val="none" w:sz="0" w:space="0" w:color="auto"/>
        <w:bottom w:val="none" w:sz="0" w:space="0" w:color="auto"/>
        <w:right w:val="none" w:sz="0" w:space="0" w:color="auto"/>
      </w:divBdr>
    </w:div>
    <w:div w:id="391007289">
      <w:bodyDiv w:val="1"/>
      <w:marLeft w:val="0"/>
      <w:marRight w:val="0"/>
      <w:marTop w:val="0"/>
      <w:marBottom w:val="0"/>
      <w:divBdr>
        <w:top w:val="none" w:sz="0" w:space="0" w:color="auto"/>
        <w:left w:val="none" w:sz="0" w:space="0" w:color="auto"/>
        <w:bottom w:val="none" w:sz="0" w:space="0" w:color="auto"/>
        <w:right w:val="none" w:sz="0" w:space="0" w:color="auto"/>
      </w:divBdr>
    </w:div>
    <w:div w:id="393236785">
      <w:bodyDiv w:val="1"/>
      <w:marLeft w:val="0"/>
      <w:marRight w:val="0"/>
      <w:marTop w:val="0"/>
      <w:marBottom w:val="0"/>
      <w:divBdr>
        <w:top w:val="none" w:sz="0" w:space="0" w:color="auto"/>
        <w:left w:val="none" w:sz="0" w:space="0" w:color="auto"/>
        <w:bottom w:val="none" w:sz="0" w:space="0" w:color="auto"/>
        <w:right w:val="none" w:sz="0" w:space="0" w:color="auto"/>
      </w:divBdr>
    </w:div>
    <w:div w:id="449979023">
      <w:bodyDiv w:val="1"/>
      <w:marLeft w:val="0"/>
      <w:marRight w:val="0"/>
      <w:marTop w:val="0"/>
      <w:marBottom w:val="0"/>
      <w:divBdr>
        <w:top w:val="none" w:sz="0" w:space="0" w:color="auto"/>
        <w:left w:val="none" w:sz="0" w:space="0" w:color="auto"/>
        <w:bottom w:val="none" w:sz="0" w:space="0" w:color="auto"/>
        <w:right w:val="none" w:sz="0" w:space="0" w:color="auto"/>
      </w:divBdr>
    </w:div>
    <w:div w:id="456030810">
      <w:bodyDiv w:val="1"/>
      <w:marLeft w:val="0"/>
      <w:marRight w:val="0"/>
      <w:marTop w:val="0"/>
      <w:marBottom w:val="0"/>
      <w:divBdr>
        <w:top w:val="none" w:sz="0" w:space="0" w:color="auto"/>
        <w:left w:val="none" w:sz="0" w:space="0" w:color="auto"/>
        <w:bottom w:val="none" w:sz="0" w:space="0" w:color="auto"/>
        <w:right w:val="none" w:sz="0" w:space="0" w:color="auto"/>
      </w:divBdr>
    </w:div>
    <w:div w:id="469245210">
      <w:bodyDiv w:val="1"/>
      <w:marLeft w:val="0"/>
      <w:marRight w:val="0"/>
      <w:marTop w:val="0"/>
      <w:marBottom w:val="0"/>
      <w:divBdr>
        <w:top w:val="none" w:sz="0" w:space="0" w:color="auto"/>
        <w:left w:val="none" w:sz="0" w:space="0" w:color="auto"/>
        <w:bottom w:val="none" w:sz="0" w:space="0" w:color="auto"/>
        <w:right w:val="none" w:sz="0" w:space="0" w:color="auto"/>
      </w:divBdr>
      <w:divsChild>
        <w:div w:id="1310095442">
          <w:marLeft w:val="0"/>
          <w:marRight w:val="0"/>
          <w:marTop w:val="0"/>
          <w:marBottom w:val="0"/>
          <w:divBdr>
            <w:top w:val="none" w:sz="0" w:space="0" w:color="auto"/>
            <w:left w:val="none" w:sz="0" w:space="0" w:color="auto"/>
            <w:bottom w:val="none" w:sz="0" w:space="0" w:color="auto"/>
            <w:right w:val="none" w:sz="0" w:space="0" w:color="auto"/>
          </w:divBdr>
          <w:divsChild>
            <w:div w:id="281422325">
              <w:marLeft w:val="0"/>
              <w:marRight w:val="0"/>
              <w:marTop w:val="0"/>
              <w:marBottom w:val="0"/>
              <w:divBdr>
                <w:top w:val="none" w:sz="0" w:space="0" w:color="auto"/>
                <w:left w:val="none" w:sz="0" w:space="0" w:color="auto"/>
                <w:bottom w:val="none" w:sz="0" w:space="0" w:color="auto"/>
                <w:right w:val="none" w:sz="0" w:space="0" w:color="auto"/>
              </w:divBdr>
            </w:div>
            <w:div w:id="858085821">
              <w:marLeft w:val="0"/>
              <w:marRight w:val="0"/>
              <w:marTop w:val="0"/>
              <w:marBottom w:val="0"/>
              <w:divBdr>
                <w:top w:val="none" w:sz="0" w:space="0" w:color="auto"/>
                <w:left w:val="none" w:sz="0" w:space="0" w:color="auto"/>
                <w:bottom w:val="none" w:sz="0" w:space="0" w:color="auto"/>
                <w:right w:val="none" w:sz="0" w:space="0" w:color="auto"/>
              </w:divBdr>
            </w:div>
            <w:div w:id="1259826797">
              <w:marLeft w:val="0"/>
              <w:marRight w:val="0"/>
              <w:marTop w:val="0"/>
              <w:marBottom w:val="0"/>
              <w:divBdr>
                <w:top w:val="none" w:sz="0" w:space="0" w:color="auto"/>
                <w:left w:val="none" w:sz="0" w:space="0" w:color="auto"/>
                <w:bottom w:val="none" w:sz="0" w:space="0" w:color="auto"/>
                <w:right w:val="none" w:sz="0" w:space="0" w:color="auto"/>
              </w:divBdr>
            </w:div>
            <w:div w:id="2009945939">
              <w:marLeft w:val="0"/>
              <w:marRight w:val="0"/>
              <w:marTop w:val="0"/>
              <w:marBottom w:val="0"/>
              <w:divBdr>
                <w:top w:val="none" w:sz="0" w:space="0" w:color="auto"/>
                <w:left w:val="none" w:sz="0" w:space="0" w:color="auto"/>
                <w:bottom w:val="none" w:sz="0" w:space="0" w:color="auto"/>
                <w:right w:val="none" w:sz="0" w:space="0" w:color="auto"/>
              </w:divBdr>
            </w:div>
            <w:div w:id="555360928">
              <w:marLeft w:val="0"/>
              <w:marRight w:val="0"/>
              <w:marTop w:val="0"/>
              <w:marBottom w:val="0"/>
              <w:divBdr>
                <w:top w:val="none" w:sz="0" w:space="0" w:color="auto"/>
                <w:left w:val="none" w:sz="0" w:space="0" w:color="auto"/>
                <w:bottom w:val="none" w:sz="0" w:space="0" w:color="auto"/>
                <w:right w:val="none" w:sz="0" w:space="0" w:color="auto"/>
              </w:divBdr>
            </w:div>
            <w:div w:id="1924531315">
              <w:marLeft w:val="0"/>
              <w:marRight w:val="0"/>
              <w:marTop w:val="0"/>
              <w:marBottom w:val="0"/>
              <w:divBdr>
                <w:top w:val="none" w:sz="0" w:space="0" w:color="auto"/>
                <w:left w:val="none" w:sz="0" w:space="0" w:color="auto"/>
                <w:bottom w:val="none" w:sz="0" w:space="0" w:color="auto"/>
                <w:right w:val="none" w:sz="0" w:space="0" w:color="auto"/>
              </w:divBdr>
            </w:div>
            <w:div w:id="1100880747">
              <w:marLeft w:val="0"/>
              <w:marRight w:val="0"/>
              <w:marTop w:val="0"/>
              <w:marBottom w:val="0"/>
              <w:divBdr>
                <w:top w:val="none" w:sz="0" w:space="0" w:color="auto"/>
                <w:left w:val="none" w:sz="0" w:space="0" w:color="auto"/>
                <w:bottom w:val="none" w:sz="0" w:space="0" w:color="auto"/>
                <w:right w:val="none" w:sz="0" w:space="0" w:color="auto"/>
              </w:divBdr>
            </w:div>
            <w:div w:id="1658876146">
              <w:marLeft w:val="0"/>
              <w:marRight w:val="0"/>
              <w:marTop w:val="0"/>
              <w:marBottom w:val="0"/>
              <w:divBdr>
                <w:top w:val="none" w:sz="0" w:space="0" w:color="auto"/>
                <w:left w:val="none" w:sz="0" w:space="0" w:color="auto"/>
                <w:bottom w:val="none" w:sz="0" w:space="0" w:color="auto"/>
                <w:right w:val="none" w:sz="0" w:space="0" w:color="auto"/>
              </w:divBdr>
            </w:div>
            <w:div w:id="468978622">
              <w:marLeft w:val="0"/>
              <w:marRight w:val="0"/>
              <w:marTop w:val="0"/>
              <w:marBottom w:val="0"/>
              <w:divBdr>
                <w:top w:val="none" w:sz="0" w:space="0" w:color="auto"/>
                <w:left w:val="none" w:sz="0" w:space="0" w:color="auto"/>
                <w:bottom w:val="none" w:sz="0" w:space="0" w:color="auto"/>
                <w:right w:val="none" w:sz="0" w:space="0" w:color="auto"/>
              </w:divBdr>
            </w:div>
            <w:div w:id="263148281">
              <w:marLeft w:val="0"/>
              <w:marRight w:val="0"/>
              <w:marTop w:val="0"/>
              <w:marBottom w:val="0"/>
              <w:divBdr>
                <w:top w:val="none" w:sz="0" w:space="0" w:color="auto"/>
                <w:left w:val="none" w:sz="0" w:space="0" w:color="auto"/>
                <w:bottom w:val="none" w:sz="0" w:space="0" w:color="auto"/>
                <w:right w:val="none" w:sz="0" w:space="0" w:color="auto"/>
              </w:divBdr>
            </w:div>
            <w:div w:id="1149443475">
              <w:marLeft w:val="0"/>
              <w:marRight w:val="0"/>
              <w:marTop w:val="0"/>
              <w:marBottom w:val="0"/>
              <w:divBdr>
                <w:top w:val="none" w:sz="0" w:space="0" w:color="auto"/>
                <w:left w:val="none" w:sz="0" w:space="0" w:color="auto"/>
                <w:bottom w:val="none" w:sz="0" w:space="0" w:color="auto"/>
                <w:right w:val="none" w:sz="0" w:space="0" w:color="auto"/>
              </w:divBdr>
            </w:div>
            <w:div w:id="676421283">
              <w:marLeft w:val="0"/>
              <w:marRight w:val="0"/>
              <w:marTop w:val="0"/>
              <w:marBottom w:val="0"/>
              <w:divBdr>
                <w:top w:val="none" w:sz="0" w:space="0" w:color="auto"/>
                <w:left w:val="none" w:sz="0" w:space="0" w:color="auto"/>
                <w:bottom w:val="none" w:sz="0" w:space="0" w:color="auto"/>
                <w:right w:val="none" w:sz="0" w:space="0" w:color="auto"/>
              </w:divBdr>
            </w:div>
            <w:div w:id="85669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575309">
      <w:bodyDiv w:val="1"/>
      <w:marLeft w:val="0"/>
      <w:marRight w:val="0"/>
      <w:marTop w:val="0"/>
      <w:marBottom w:val="0"/>
      <w:divBdr>
        <w:top w:val="none" w:sz="0" w:space="0" w:color="auto"/>
        <w:left w:val="none" w:sz="0" w:space="0" w:color="auto"/>
        <w:bottom w:val="none" w:sz="0" w:space="0" w:color="auto"/>
        <w:right w:val="none" w:sz="0" w:space="0" w:color="auto"/>
      </w:divBdr>
    </w:div>
    <w:div w:id="504976424">
      <w:bodyDiv w:val="1"/>
      <w:marLeft w:val="0"/>
      <w:marRight w:val="0"/>
      <w:marTop w:val="0"/>
      <w:marBottom w:val="0"/>
      <w:divBdr>
        <w:top w:val="none" w:sz="0" w:space="0" w:color="auto"/>
        <w:left w:val="none" w:sz="0" w:space="0" w:color="auto"/>
        <w:bottom w:val="none" w:sz="0" w:space="0" w:color="auto"/>
        <w:right w:val="none" w:sz="0" w:space="0" w:color="auto"/>
      </w:divBdr>
    </w:div>
    <w:div w:id="527529880">
      <w:bodyDiv w:val="1"/>
      <w:marLeft w:val="0"/>
      <w:marRight w:val="0"/>
      <w:marTop w:val="0"/>
      <w:marBottom w:val="0"/>
      <w:divBdr>
        <w:top w:val="none" w:sz="0" w:space="0" w:color="auto"/>
        <w:left w:val="none" w:sz="0" w:space="0" w:color="auto"/>
        <w:bottom w:val="none" w:sz="0" w:space="0" w:color="auto"/>
        <w:right w:val="none" w:sz="0" w:space="0" w:color="auto"/>
      </w:divBdr>
    </w:div>
    <w:div w:id="547648522">
      <w:bodyDiv w:val="1"/>
      <w:marLeft w:val="0"/>
      <w:marRight w:val="0"/>
      <w:marTop w:val="0"/>
      <w:marBottom w:val="0"/>
      <w:divBdr>
        <w:top w:val="none" w:sz="0" w:space="0" w:color="auto"/>
        <w:left w:val="none" w:sz="0" w:space="0" w:color="auto"/>
        <w:bottom w:val="none" w:sz="0" w:space="0" w:color="auto"/>
        <w:right w:val="none" w:sz="0" w:space="0" w:color="auto"/>
      </w:divBdr>
      <w:divsChild>
        <w:div w:id="31543172">
          <w:marLeft w:val="0"/>
          <w:marRight w:val="0"/>
          <w:marTop w:val="0"/>
          <w:marBottom w:val="0"/>
          <w:divBdr>
            <w:top w:val="none" w:sz="0" w:space="0" w:color="auto"/>
            <w:left w:val="none" w:sz="0" w:space="0" w:color="auto"/>
            <w:bottom w:val="none" w:sz="0" w:space="0" w:color="auto"/>
            <w:right w:val="none" w:sz="0" w:space="0" w:color="auto"/>
          </w:divBdr>
          <w:divsChild>
            <w:div w:id="175652344">
              <w:marLeft w:val="0"/>
              <w:marRight w:val="0"/>
              <w:marTop w:val="0"/>
              <w:marBottom w:val="0"/>
              <w:divBdr>
                <w:top w:val="none" w:sz="0" w:space="0" w:color="auto"/>
                <w:left w:val="none" w:sz="0" w:space="0" w:color="auto"/>
                <w:bottom w:val="none" w:sz="0" w:space="0" w:color="auto"/>
                <w:right w:val="none" w:sz="0" w:space="0" w:color="auto"/>
              </w:divBdr>
            </w:div>
            <w:div w:id="1673679243">
              <w:marLeft w:val="0"/>
              <w:marRight w:val="0"/>
              <w:marTop w:val="0"/>
              <w:marBottom w:val="0"/>
              <w:divBdr>
                <w:top w:val="none" w:sz="0" w:space="0" w:color="auto"/>
                <w:left w:val="none" w:sz="0" w:space="0" w:color="auto"/>
                <w:bottom w:val="none" w:sz="0" w:space="0" w:color="auto"/>
                <w:right w:val="none" w:sz="0" w:space="0" w:color="auto"/>
              </w:divBdr>
            </w:div>
            <w:div w:id="1397627401">
              <w:marLeft w:val="0"/>
              <w:marRight w:val="0"/>
              <w:marTop w:val="0"/>
              <w:marBottom w:val="0"/>
              <w:divBdr>
                <w:top w:val="none" w:sz="0" w:space="0" w:color="auto"/>
                <w:left w:val="none" w:sz="0" w:space="0" w:color="auto"/>
                <w:bottom w:val="none" w:sz="0" w:space="0" w:color="auto"/>
                <w:right w:val="none" w:sz="0" w:space="0" w:color="auto"/>
              </w:divBdr>
            </w:div>
            <w:div w:id="1738504583">
              <w:marLeft w:val="0"/>
              <w:marRight w:val="0"/>
              <w:marTop w:val="0"/>
              <w:marBottom w:val="0"/>
              <w:divBdr>
                <w:top w:val="none" w:sz="0" w:space="0" w:color="auto"/>
                <w:left w:val="none" w:sz="0" w:space="0" w:color="auto"/>
                <w:bottom w:val="none" w:sz="0" w:space="0" w:color="auto"/>
                <w:right w:val="none" w:sz="0" w:space="0" w:color="auto"/>
              </w:divBdr>
            </w:div>
            <w:div w:id="1697148769">
              <w:marLeft w:val="0"/>
              <w:marRight w:val="0"/>
              <w:marTop w:val="0"/>
              <w:marBottom w:val="0"/>
              <w:divBdr>
                <w:top w:val="none" w:sz="0" w:space="0" w:color="auto"/>
                <w:left w:val="none" w:sz="0" w:space="0" w:color="auto"/>
                <w:bottom w:val="none" w:sz="0" w:space="0" w:color="auto"/>
                <w:right w:val="none" w:sz="0" w:space="0" w:color="auto"/>
              </w:divBdr>
            </w:div>
            <w:div w:id="2076538709">
              <w:marLeft w:val="0"/>
              <w:marRight w:val="0"/>
              <w:marTop w:val="0"/>
              <w:marBottom w:val="0"/>
              <w:divBdr>
                <w:top w:val="none" w:sz="0" w:space="0" w:color="auto"/>
                <w:left w:val="none" w:sz="0" w:space="0" w:color="auto"/>
                <w:bottom w:val="none" w:sz="0" w:space="0" w:color="auto"/>
                <w:right w:val="none" w:sz="0" w:space="0" w:color="auto"/>
              </w:divBdr>
            </w:div>
            <w:div w:id="468790905">
              <w:marLeft w:val="0"/>
              <w:marRight w:val="0"/>
              <w:marTop w:val="0"/>
              <w:marBottom w:val="0"/>
              <w:divBdr>
                <w:top w:val="none" w:sz="0" w:space="0" w:color="auto"/>
                <w:left w:val="none" w:sz="0" w:space="0" w:color="auto"/>
                <w:bottom w:val="none" w:sz="0" w:space="0" w:color="auto"/>
                <w:right w:val="none" w:sz="0" w:space="0" w:color="auto"/>
              </w:divBdr>
            </w:div>
            <w:div w:id="1603296480">
              <w:marLeft w:val="0"/>
              <w:marRight w:val="0"/>
              <w:marTop w:val="0"/>
              <w:marBottom w:val="0"/>
              <w:divBdr>
                <w:top w:val="none" w:sz="0" w:space="0" w:color="auto"/>
                <w:left w:val="none" w:sz="0" w:space="0" w:color="auto"/>
                <w:bottom w:val="none" w:sz="0" w:space="0" w:color="auto"/>
                <w:right w:val="none" w:sz="0" w:space="0" w:color="auto"/>
              </w:divBdr>
            </w:div>
            <w:div w:id="622078333">
              <w:marLeft w:val="0"/>
              <w:marRight w:val="0"/>
              <w:marTop w:val="0"/>
              <w:marBottom w:val="0"/>
              <w:divBdr>
                <w:top w:val="none" w:sz="0" w:space="0" w:color="auto"/>
                <w:left w:val="none" w:sz="0" w:space="0" w:color="auto"/>
                <w:bottom w:val="none" w:sz="0" w:space="0" w:color="auto"/>
                <w:right w:val="none" w:sz="0" w:space="0" w:color="auto"/>
              </w:divBdr>
            </w:div>
            <w:div w:id="1082220981">
              <w:marLeft w:val="0"/>
              <w:marRight w:val="0"/>
              <w:marTop w:val="0"/>
              <w:marBottom w:val="0"/>
              <w:divBdr>
                <w:top w:val="none" w:sz="0" w:space="0" w:color="auto"/>
                <w:left w:val="none" w:sz="0" w:space="0" w:color="auto"/>
                <w:bottom w:val="none" w:sz="0" w:space="0" w:color="auto"/>
                <w:right w:val="none" w:sz="0" w:space="0" w:color="auto"/>
              </w:divBdr>
            </w:div>
            <w:div w:id="15466519">
              <w:marLeft w:val="0"/>
              <w:marRight w:val="0"/>
              <w:marTop w:val="0"/>
              <w:marBottom w:val="0"/>
              <w:divBdr>
                <w:top w:val="none" w:sz="0" w:space="0" w:color="auto"/>
                <w:left w:val="none" w:sz="0" w:space="0" w:color="auto"/>
                <w:bottom w:val="none" w:sz="0" w:space="0" w:color="auto"/>
                <w:right w:val="none" w:sz="0" w:space="0" w:color="auto"/>
              </w:divBdr>
            </w:div>
            <w:div w:id="22946570">
              <w:marLeft w:val="0"/>
              <w:marRight w:val="0"/>
              <w:marTop w:val="0"/>
              <w:marBottom w:val="0"/>
              <w:divBdr>
                <w:top w:val="none" w:sz="0" w:space="0" w:color="auto"/>
                <w:left w:val="none" w:sz="0" w:space="0" w:color="auto"/>
                <w:bottom w:val="none" w:sz="0" w:space="0" w:color="auto"/>
                <w:right w:val="none" w:sz="0" w:space="0" w:color="auto"/>
              </w:divBdr>
            </w:div>
            <w:div w:id="1282103474">
              <w:marLeft w:val="0"/>
              <w:marRight w:val="0"/>
              <w:marTop w:val="0"/>
              <w:marBottom w:val="0"/>
              <w:divBdr>
                <w:top w:val="none" w:sz="0" w:space="0" w:color="auto"/>
                <w:left w:val="none" w:sz="0" w:space="0" w:color="auto"/>
                <w:bottom w:val="none" w:sz="0" w:space="0" w:color="auto"/>
                <w:right w:val="none" w:sz="0" w:space="0" w:color="auto"/>
              </w:divBdr>
            </w:div>
            <w:div w:id="1048384098">
              <w:marLeft w:val="0"/>
              <w:marRight w:val="0"/>
              <w:marTop w:val="0"/>
              <w:marBottom w:val="0"/>
              <w:divBdr>
                <w:top w:val="none" w:sz="0" w:space="0" w:color="auto"/>
                <w:left w:val="none" w:sz="0" w:space="0" w:color="auto"/>
                <w:bottom w:val="none" w:sz="0" w:space="0" w:color="auto"/>
                <w:right w:val="none" w:sz="0" w:space="0" w:color="auto"/>
              </w:divBdr>
            </w:div>
            <w:div w:id="1275018081">
              <w:marLeft w:val="0"/>
              <w:marRight w:val="0"/>
              <w:marTop w:val="0"/>
              <w:marBottom w:val="0"/>
              <w:divBdr>
                <w:top w:val="none" w:sz="0" w:space="0" w:color="auto"/>
                <w:left w:val="none" w:sz="0" w:space="0" w:color="auto"/>
                <w:bottom w:val="none" w:sz="0" w:space="0" w:color="auto"/>
                <w:right w:val="none" w:sz="0" w:space="0" w:color="auto"/>
              </w:divBdr>
            </w:div>
            <w:div w:id="241724030">
              <w:marLeft w:val="0"/>
              <w:marRight w:val="0"/>
              <w:marTop w:val="0"/>
              <w:marBottom w:val="0"/>
              <w:divBdr>
                <w:top w:val="none" w:sz="0" w:space="0" w:color="auto"/>
                <w:left w:val="none" w:sz="0" w:space="0" w:color="auto"/>
                <w:bottom w:val="none" w:sz="0" w:space="0" w:color="auto"/>
                <w:right w:val="none" w:sz="0" w:space="0" w:color="auto"/>
              </w:divBdr>
            </w:div>
            <w:div w:id="384112402">
              <w:marLeft w:val="0"/>
              <w:marRight w:val="0"/>
              <w:marTop w:val="0"/>
              <w:marBottom w:val="0"/>
              <w:divBdr>
                <w:top w:val="none" w:sz="0" w:space="0" w:color="auto"/>
                <w:left w:val="none" w:sz="0" w:space="0" w:color="auto"/>
                <w:bottom w:val="none" w:sz="0" w:space="0" w:color="auto"/>
                <w:right w:val="none" w:sz="0" w:space="0" w:color="auto"/>
              </w:divBdr>
            </w:div>
            <w:div w:id="608850133">
              <w:marLeft w:val="0"/>
              <w:marRight w:val="0"/>
              <w:marTop w:val="0"/>
              <w:marBottom w:val="0"/>
              <w:divBdr>
                <w:top w:val="none" w:sz="0" w:space="0" w:color="auto"/>
                <w:left w:val="none" w:sz="0" w:space="0" w:color="auto"/>
                <w:bottom w:val="none" w:sz="0" w:space="0" w:color="auto"/>
                <w:right w:val="none" w:sz="0" w:space="0" w:color="auto"/>
              </w:divBdr>
            </w:div>
            <w:div w:id="420298321">
              <w:marLeft w:val="0"/>
              <w:marRight w:val="0"/>
              <w:marTop w:val="0"/>
              <w:marBottom w:val="0"/>
              <w:divBdr>
                <w:top w:val="none" w:sz="0" w:space="0" w:color="auto"/>
                <w:left w:val="none" w:sz="0" w:space="0" w:color="auto"/>
                <w:bottom w:val="none" w:sz="0" w:space="0" w:color="auto"/>
                <w:right w:val="none" w:sz="0" w:space="0" w:color="auto"/>
              </w:divBdr>
            </w:div>
            <w:div w:id="895163854">
              <w:marLeft w:val="0"/>
              <w:marRight w:val="0"/>
              <w:marTop w:val="0"/>
              <w:marBottom w:val="0"/>
              <w:divBdr>
                <w:top w:val="none" w:sz="0" w:space="0" w:color="auto"/>
                <w:left w:val="none" w:sz="0" w:space="0" w:color="auto"/>
                <w:bottom w:val="none" w:sz="0" w:space="0" w:color="auto"/>
                <w:right w:val="none" w:sz="0" w:space="0" w:color="auto"/>
              </w:divBdr>
            </w:div>
            <w:div w:id="1992980825">
              <w:marLeft w:val="0"/>
              <w:marRight w:val="0"/>
              <w:marTop w:val="0"/>
              <w:marBottom w:val="0"/>
              <w:divBdr>
                <w:top w:val="none" w:sz="0" w:space="0" w:color="auto"/>
                <w:left w:val="none" w:sz="0" w:space="0" w:color="auto"/>
                <w:bottom w:val="none" w:sz="0" w:space="0" w:color="auto"/>
                <w:right w:val="none" w:sz="0" w:space="0" w:color="auto"/>
              </w:divBdr>
            </w:div>
            <w:div w:id="1875120026">
              <w:marLeft w:val="0"/>
              <w:marRight w:val="0"/>
              <w:marTop w:val="0"/>
              <w:marBottom w:val="0"/>
              <w:divBdr>
                <w:top w:val="none" w:sz="0" w:space="0" w:color="auto"/>
                <w:left w:val="none" w:sz="0" w:space="0" w:color="auto"/>
                <w:bottom w:val="none" w:sz="0" w:space="0" w:color="auto"/>
                <w:right w:val="none" w:sz="0" w:space="0" w:color="auto"/>
              </w:divBdr>
            </w:div>
            <w:div w:id="111754141">
              <w:marLeft w:val="0"/>
              <w:marRight w:val="0"/>
              <w:marTop w:val="0"/>
              <w:marBottom w:val="0"/>
              <w:divBdr>
                <w:top w:val="none" w:sz="0" w:space="0" w:color="auto"/>
                <w:left w:val="none" w:sz="0" w:space="0" w:color="auto"/>
                <w:bottom w:val="none" w:sz="0" w:space="0" w:color="auto"/>
                <w:right w:val="none" w:sz="0" w:space="0" w:color="auto"/>
              </w:divBdr>
            </w:div>
            <w:div w:id="431974314">
              <w:marLeft w:val="0"/>
              <w:marRight w:val="0"/>
              <w:marTop w:val="0"/>
              <w:marBottom w:val="0"/>
              <w:divBdr>
                <w:top w:val="none" w:sz="0" w:space="0" w:color="auto"/>
                <w:left w:val="none" w:sz="0" w:space="0" w:color="auto"/>
                <w:bottom w:val="none" w:sz="0" w:space="0" w:color="auto"/>
                <w:right w:val="none" w:sz="0" w:space="0" w:color="auto"/>
              </w:divBdr>
            </w:div>
            <w:div w:id="152065810">
              <w:marLeft w:val="0"/>
              <w:marRight w:val="0"/>
              <w:marTop w:val="0"/>
              <w:marBottom w:val="0"/>
              <w:divBdr>
                <w:top w:val="none" w:sz="0" w:space="0" w:color="auto"/>
                <w:left w:val="none" w:sz="0" w:space="0" w:color="auto"/>
                <w:bottom w:val="none" w:sz="0" w:space="0" w:color="auto"/>
                <w:right w:val="none" w:sz="0" w:space="0" w:color="auto"/>
              </w:divBdr>
            </w:div>
            <w:div w:id="1726219759">
              <w:marLeft w:val="0"/>
              <w:marRight w:val="0"/>
              <w:marTop w:val="0"/>
              <w:marBottom w:val="0"/>
              <w:divBdr>
                <w:top w:val="none" w:sz="0" w:space="0" w:color="auto"/>
                <w:left w:val="none" w:sz="0" w:space="0" w:color="auto"/>
                <w:bottom w:val="none" w:sz="0" w:space="0" w:color="auto"/>
                <w:right w:val="none" w:sz="0" w:space="0" w:color="auto"/>
              </w:divBdr>
            </w:div>
            <w:div w:id="969019772">
              <w:marLeft w:val="0"/>
              <w:marRight w:val="0"/>
              <w:marTop w:val="0"/>
              <w:marBottom w:val="0"/>
              <w:divBdr>
                <w:top w:val="none" w:sz="0" w:space="0" w:color="auto"/>
                <w:left w:val="none" w:sz="0" w:space="0" w:color="auto"/>
                <w:bottom w:val="none" w:sz="0" w:space="0" w:color="auto"/>
                <w:right w:val="none" w:sz="0" w:space="0" w:color="auto"/>
              </w:divBdr>
            </w:div>
            <w:div w:id="114007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782268">
      <w:bodyDiv w:val="1"/>
      <w:marLeft w:val="0"/>
      <w:marRight w:val="0"/>
      <w:marTop w:val="0"/>
      <w:marBottom w:val="0"/>
      <w:divBdr>
        <w:top w:val="none" w:sz="0" w:space="0" w:color="auto"/>
        <w:left w:val="none" w:sz="0" w:space="0" w:color="auto"/>
        <w:bottom w:val="none" w:sz="0" w:space="0" w:color="auto"/>
        <w:right w:val="none" w:sz="0" w:space="0" w:color="auto"/>
      </w:divBdr>
    </w:div>
    <w:div w:id="576672731">
      <w:bodyDiv w:val="1"/>
      <w:marLeft w:val="0"/>
      <w:marRight w:val="0"/>
      <w:marTop w:val="0"/>
      <w:marBottom w:val="0"/>
      <w:divBdr>
        <w:top w:val="none" w:sz="0" w:space="0" w:color="auto"/>
        <w:left w:val="none" w:sz="0" w:space="0" w:color="auto"/>
        <w:bottom w:val="none" w:sz="0" w:space="0" w:color="auto"/>
        <w:right w:val="none" w:sz="0" w:space="0" w:color="auto"/>
      </w:divBdr>
    </w:div>
    <w:div w:id="586574117">
      <w:bodyDiv w:val="1"/>
      <w:marLeft w:val="0"/>
      <w:marRight w:val="0"/>
      <w:marTop w:val="0"/>
      <w:marBottom w:val="0"/>
      <w:divBdr>
        <w:top w:val="none" w:sz="0" w:space="0" w:color="auto"/>
        <w:left w:val="none" w:sz="0" w:space="0" w:color="auto"/>
        <w:bottom w:val="none" w:sz="0" w:space="0" w:color="auto"/>
        <w:right w:val="none" w:sz="0" w:space="0" w:color="auto"/>
      </w:divBdr>
    </w:div>
    <w:div w:id="600260714">
      <w:bodyDiv w:val="1"/>
      <w:marLeft w:val="0"/>
      <w:marRight w:val="0"/>
      <w:marTop w:val="0"/>
      <w:marBottom w:val="0"/>
      <w:divBdr>
        <w:top w:val="none" w:sz="0" w:space="0" w:color="auto"/>
        <w:left w:val="none" w:sz="0" w:space="0" w:color="auto"/>
        <w:bottom w:val="none" w:sz="0" w:space="0" w:color="auto"/>
        <w:right w:val="none" w:sz="0" w:space="0" w:color="auto"/>
      </w:divBdr>
    </w:div>
    <w:div w:id="606427197">
      <w:bodyDiv w:val="1"/>
      <w:marLeft w:val="0"/>
      <w:marRight w:val="0"/>
      <w:marTop w:val="0"/>
      <w:marBottom w:val="0"/>
      <w:divBdr>
        <w:top w:val="none" w:sz="0" w:space="0" w:color="auto"/>
        <w:left w:val="none" w:sz="0" w:space="0" w:color="auto"/>
        <w:bottom w:val="none" w:sz="0" w:space="0" w:color="auto"/>
        <w:right w:val="none" w:sz="0" w:space="0" w:color="auto"/>
      </w:divBdr>
    </w:div>
    <w:div w:id="624312028">
      <w:bodyDiv w:val="1"/>
      <w:marLeft w:val="0"/>
      <w:marRight w:val="0"/>
      <w:marTop w:val="0"/>
      <w:marBottom w:val="0"/>
      <w:divBdr>
        <w:top w:val="none" w:sz="0" w:space="0" w:color="auto"/>
        <w:left w:val="none" w:sz="0" w:space="0" w:color="auto"/>
        <w:bottom w:val="none" w:sz="0" w:space="0" w:color="auto"/>
        <w:right w:val="none" w:sz="0" w:space="0" w:color="auto"/>
      </w:divBdr>
    </w:div>
    <w:div w:id="639386590">
      <w:bodyDiv w:val="1"/>
      <w:marLeft w:val="0"/>
      <w:marRight w:val="0"/>
      <w:marTop w:val="0"/>
      <w:marBottom w:val="0"/>
      <w:divBdr>
        <w:top w:val="none" w:sz="0" w:space="0" w:color="auto"/>
        <w:left w:val="none" w:sz="0" w:space="0" w:color="auto"/>
        <w:bottom w:val="none" w:sz="0" w:space="0" w:color="auto"/>
        <w:right w:val="none" w:sz="0" w:space="0" w:color="auto"/>
      </w:divBdr>
    </w:div>
    <w:div w:id="639964134">
      <w:bodyDiv w:val="1"/>
      <w:marLeft w:val="0"/>
      <w:marRight w:val="0"/>
      <w:marTop w:val="0"/>
      <w:marBottom w:val="0"/>
      <w:divBdr>
        <w:top w:val="none" w:sz="0" w:space="0" w:color="auto"/>
        <w:left w:val="none" w:sz="0" w:space="0" w:color="auto"/>
        <w:bottom w:val="none" w:sz="0" w:space="0" w:color="auto"/>
        <w:right w:val="none" w:sz="0" w:space="0" w:color="auto"/>
      </w:divBdr>
    </w:div>
    <w:div w:id="642348167">
      <w:bodyDiv w:val="1"/>
      <w:marLeft w:val="0"/>
      <w:marRight w:val="0"/>
      <w:marTop w:val="0"/>
      <w:marBottom w:val="0"/>
      <w:divBdr>
        <w:top w:val="none" w:sz="0" w:space="0" w:color="auto"/>
        <w:left w:val="none" w:sz="0" w:space="0" w:color="auto"/>
        <w:bottom w:val="none" w:sz="0" w:space="0" w:color="auto"/>
        <w:right w:val="none" w:sz="0" w:space="0" w:color="auto"/>
      </w:divBdr>
      <w:divsChild>
        <w:div w:id="775252115">
          <w:marLeft w:val="547"/>
          <w:marRight w:val="0"/>
          <w:marTop w:val="154"/>
          <w:marBottom w:val="0"/>
          <w:divBdr>
            <w:top w:val="none" w:sz="0" w:space="0" w:color="auto"/>
            <w:left w:val="none" w:sz="0" w:space="0" w:color="auto"/>
            <w:bottom w:val="none" w:sz="0" w:space="0" w:color="auto"/>
            <w:right w:val="none" w:sz="0" w:space="0" w:color="auto"/>
          </w:divBdr>
        </w:div>
        <w:div w:id="1219628157">
          <w:marLeft w:val="547"/>
          <w:marRight w:val="0"/>
          <w:marTop w:val="154"/>
          <w:marBottom w:val="0"/>
          <w:divBdr>
            <w:top w:val="none" w:sz="0" w:space="0" w:color="auto"/>
            <w:left w:val="none" w:sz="0" w:space="0" w:color="auto"/>
            <w:bottom w:val="none" w:sz="0" w:space="0" w:color="auto"/>
            <w:right w:val="none" w:sz="0" w:space="0" w:color="auto"/>
          </w:divBdr>
        </w:div>
        <w:div w:id="1320698299">
          <w:marLeft w:val="547"/>
          <w:marRight w:val="0"/>
          <w:marTop w:val="154"/>
          <w:marBottom w:val="0"/>
          <w:divBdr>
            <w:top w:val="none" w:sz="0" w:space="0" w:color="auto"/>
            <w:left w:val="none" w:sz="0" w:space="0" w:color="auto"/>
            <w:bottom w:val="none" w:sz="0" w:space="0" w:color="auto"/>
            <w:right w:val="none" w:sz="0" w:space="0" w:color="auto"/>
          </w:divBdr>
        </w:div>
        <w:div w:id="2107654960">
          <w:marLeft w:val="547"/>
          <w:marRight w:val="0"/>
          <w:marTop w:val="154"/>
          <w:marBottom w:val="0"/>
          <w:divBdr>
            <w:top w:val="none" w:sz="0" w:space="0" w:color="auto"/>
            <w:left w:val="none" w:sz="0" w:space="0" w:color="auto"/>
            <w:bottom w:val="none" w:sz="0" w:space="0" w:color="auto"/>
            <w:right w:val="none" w:sz="0" w:space="0" w:color="auto"/>
          </w:divBdr>
        </w:div>
      </w:divsChild>
    </w:div>
    <w:div w:id="647905492">
      <w:bodyDiv w:val="1"/>
      <w:marLeft w:val="0"/>
      <w:marRight w:val="0"/>
      <w:marTop w:val="0"/>
      <w:marBottom w:val="0"/>
      <w:divBdr>
        <w:top w:val="none" w:sz="0" w:space="0" w:color="auto"/>
        <w:left w:val="none" w:sz="0" w:space="0" w:color="auto"/>
        <w:bottom w:val="none" w:sz="0" w:space="0" w:color="auto"/>
        <w:right w:val="none" w:sz="0" w:space="0" w:color="auto"/>
      </w:divBdr>
    </w:div>
    <w:div w:id="657535307">
      <w:bodyDiv w:val="1"/>
      <w:marLeft w:val="0"/>
      <w:marRight w:val="0"/>
      <w:marTop w:val="0"/>
      <w:marBottom w:val="0"/>
      <w:divBdr>
        <w:top w:val="none" w:sz="0" w:space="0" w:color="auto"/>
        <w:left w:val="none" w:sz="0" w:space="0" w:color="auto"/>
        <w:bottom w:val="none" w:sz="0" w:space="0" w:color="auto"/>
        <w:right w:val="none" w:sz="0" w:space="0" w:color="auto"/>
      </w:divBdr>
    </w:div>
    <w:div w:id="660041396">
      <w:bodyDiv w:val="1"/>
      <w:marLeft w:val="0"/>
      <w:marRight w:val="0"/>
      <w:marTop w:val="0"/>
      <w:marBottom w:val="0"/>
      <w:divBdr>
        <w:top w:val="none" w:sz="0" w:space="0" w:color="auto"/>
        <w:left w:val="none" w:sz="0" w:space="0" w:color="auto"/>
        <w:bottom w:val="none" w:sz="0" w:space="0" w:color="auto"/>
        <w:right w:val="none" w:sz="0" w:space="0" w:color="auto"/>
      </w:divBdr>
    </w:div>
    <w:div w:id="661204909">
      <w:bodyDiv w:val="1"/>
      <w:marLeft w:val="0"/>
      <w:marRight w:val="0"/>
      <w:marTop w:val="0"/>
      <w:marBottom w:val="0"/>
      <w:divBdr>
        <w:top w:val="none" w:sz="0" w:space="0" w:color="auto"/>
        <w:left w:val="none" w:sz="0" w:space="0" w:color="auto"/>
        <w:bottom w:val="none" w:sz="0" w:space="0" w:color="auto"/>
        <w:right w:val="none" w:sz="0" w:space="0" w:color="auto"/>
      </w:divBdr>
    </w:div>
    <w:div w:id="692801535">
      <w:bodyDiv w:val="1"/>
      <w:marLeft w:val="0"/>
      <w:marRight w:val="0"/>
      <w:marTop w:val="0"/>
      <w:marBottom w:val="0"/>
      <w:divBdr>
        <w:top w:val="none" w:sz="0" w:space="0" w:color="auto"/>
        <w:left w:val="none" w:sz="0" w:space="0" w:color="auto"/>
        <w:bottom w:val="none" w:sz="0" w:space="0" w:color="auto"/>
        <w:right w:val="none" w:sz="0" w:space="0" w:color="auto"/>
      </w:divBdr>
    </w:div>
    <w:div w:id="696081060">
      <w:bodyDiv w:val="1"/>
      <w:marLeft w:val="0"/>
      <w:marRight w:val="0"/>
      <w:marTop w:val="0"/>
      <w:marBottom w:val="0"/>
      <w:divBdr>
        <w:top w:val="none" w:sz="0" w:space="0" w:color="auto"/>
        <w:left w:val="none" w:sz="0" w:space="0" w:color="auto"/>
        <w:bottom w:val="none" w:sz="0" w:space="0" w:color="auto"/>
        <w:right w:val="none" w:sz="0" w:space="0" w:color="auto"/>
      </w:divBdr>
    </w:div>
    <w:div w:id="703287666">
      <w:bodyDiv w:val="1"/>
      <w:marLeft w:val="0"/>
      <w:marRight w:val="0"/>
      <w:marTop w:val="0"/>
      <w:marBottom w:val="0"/>
      <w:divBdr>
        <w:top w:val="none" w:sz="0" w:space="0" w:color="auto"/>
        <w:left w:val="none" w:sz="0" w:space="0" w:color="auto"/>
        <w:bottom w:val="none" w:sz="0" w:space="0" w:color="auto"/>
        <w:right w:val="none" w:sz="0" w:space="0" w:color="auto"/>
      </w:divBdr>
    </w:div>
    <w:div w:id="726344171">
      <w:bodyDiv w:val="1"/>
      <w:marLeft w:val="0"/>
      <w:marRight w:val="0"/>
      <w:marTop w:val="0"/>
      <w:marBottom w:val="0"/>
      <w:divBdr>
        <w:top w:val="none" w:sz="0" w:space="0" w:color="auto"/>
        <w:left w:val="none" w:sz="0" w:space="0" w:color="auto"/>
        <w:bottom w:val="none" w:sz="0" w:space="0" w:color="auto"/>
        <w:right w:val="none" w:sz="0" w:space="0" w:color="auto"/>
      </w:divBdr>
    </w:div>
    <w:div w:id="731538016">
      <w:bodyDiv w:val="1"/>
      <w:marLeft w:val="0"/>
      <w:marRight w:val="0"/>
      <w:marTop w:val="0"/>
      <w:marBottom w:val="0"/>
      <w:divBdr>
        <w:top w:val="none" w:sz="0" w:space="0" w:color="auto"/>
        <w:left w:val="none" w:sz="0" w:space="0" w:color="auto"/>
        <w:bottom w:val="none" w:sz="0" w:space="0" w:color="auto"/>
        <w:right w:val="none" w:sz="0" w:space="0" w:color="auto"/>
      </w:divBdr>
    </w:div>
    <w:div w:id="747113401">
      <w:bodyDiv w:val="1"/>
      <w:marLeft w:val="0"/>
      <w:marRight w:val="0"/>
      <w:marTop w:val="0"/>
      <w:marBottom w:val="0"/>
      <w:divBdr>
        <w:top w:val="none" w:sz="0" w:space="0" w:color="auto"/>
        <w:left w:val="none" w:sz="0" w:space="0" w:color="auto"/>
        <w:bottom w:val="none" w:sz="0" w:space="0" w:color="auto"/>
        <w:right w:val="none" w:sz="0" w:space="0" w:color="auto"/>
      </w:divBdr>
    </w:div>
    <w:div w:id="747851188">
      <w:bodyDiv w:val="1"/>
      <w:marLeft w:val="0"/>
      <w:marRight w:val="0"/>
      <w:marTop w:val="0"/>
      <w:marBottom w:val="0"/>
      <w:divBdr>
        <w:top w:val="none" w:sz="0" w:space="0" w:color="auto"/>
        <w:left w:val="none" w:sz="0" w:space="0" w:color="auto"/>
        <w:bottom w:val="none" w:sz="0" w:space="0" w:color="auto"/>
        <w:right w:val="none" w:sz="0" w:space="0" w:color="auto"/>
      </w:divBdr>
    </w:div>
    <w:div w:id="752704256">
      <w:bodyDiv w:val="1"/>
      <w:marLeft w:val="0"/>
      <w:marRight w:val="0"/>
      <w:marTop w:val="0"/>
      <w:marBottom w:val="0"/>
      <w:divBdr>
        <w:top w:val="none" w:sz="0" w:space="0" w:color="auto"/>
        <w:left w:val="none" w:sz="0" w:space="0" w:color="auto"/>
        <w:bottom w:val="none" w:sz="0" w:space="0" w:color="auto"/>
        <w:right w:val="none" w:sz="0" w:space="0" w:color="auto"/>
      </w:divBdr>
    </w:div>
    <w:div w:id="756370035">
      <w:bodyDiv w:val="1"/>
      <w:marLeft w:val="0"/>
      <w:marRight w:val="0"/>
      <w:marTop w:val="0"/>
      <w:marBottom w:val="0"/>
      <w:divBdr>
        <w:top w:val="none" w:sz="0" w:space="0" w:color="auto"/>
        <w:left w:val="none" w:sz="0" w:space="0" w:color="auto"/>
        <w:bottom w:val="none" w:sz="0" w:space="0" w:color="auto"/>
        <w:right w:val="none" w:sz="0" w:space="0" w:color="auto"/>
      </w:divBdr>
    </w:div>
    <w:div w:id="773482507">
      <w:bodyDiv w:val="1"/>
      <w:marLeft w:val="0"/>
      <w:marRight w:val="0"/>
      <w:marTop w:val="0"/>
      <w:marBottom w:val="0"/>
      <w:divBdr>
        <w:top w:val="none" w:sz="0" w:space="0" w:color="auto"/>
        <w:left w:val="none" w:sz="0" w:space="0" w:color="auto"/>
        <w:bottom w:val="none" w:sz="0" w:space="0" w:color="auto"/>
        <w:right w:val="none" w:sz="0" w:space="0" w:color="auto"/>
      </w:divBdr>
    </w:div>
    <w:div w:id="780994488">
      <w:bodyDiv w:val="1"/>
      <w:marLeft w:val="0"/>
      <w:marRight w:val="0"/>
      <w:marTop w:val="0"/>
      <w:marBottom w:val="0"/>
      <w:divBdr>
        <w:top w:val="none" w:sz="0" w:space="0" w:color="auto"/>
        <w:left w:val="none" w:sz="0" w:space="0" w:color="auto"/>
        <w:bottom w:val="none" w:sz="0" w:space="0" w:color="auto"/>
        <w:right w:val="none" w:sz="0" w:space="0" w:color="auto"/>
      </w:divBdr>
    </w:div>
    <w:div w:id="789781924">
      <w:bodyDiv w:val="1"/>
      <w:marLeft w:val="0"/>
      <w:marRight w:val="0"/>
      <w:marTop w:val="0"/>
      <w:marBottom w:val="0"/>
      <w:divBdr>
        <w:top w:val="none" w:sz="0" w:space="0" w:color="auto"/>
        <w:left w:val="none" w:sz="0" w:space="0" w:color="auto"/>
        <w:bottom w:val="none" w:sz="0" w:space="0" w:color="auto"/>
        <w:right w:val="none" w:sz="0" w:space="0" w:color="auto"/>
      </w:divBdr>
    </w:div>
    <w:div w:id="814881488">
      <w:bodyDiv w:val="1"/>
      <w:marLeft w:val="0"/>
      <w:marRight w:val="0"/>
      <w:marTop w:val="0"/>
      <w:marBottom w:val="0"/>
      <w:divBdr>
        <w:top w:val="none" w:sz="0" w:space="0" w:color="auto"/>
        <w:left w:val="none" w:sz="0" w:space="0" w:color="auto"/>
        <w:bottom w:val="none" w:sz="0" w:space="0" w:color="auto"/>
        <w:right w:val="none" w:sz="0" w:space="0" w:color="auto"/>
      </w:divBdr>
    </w:div>
    <w:div w:id="835149355">
      <w:bodyDiv w:val="1"/>
      <w:marLeft w:val="0"/>
      <w:marRight w:val="0"/>
      <w:marTop w:val="0"/>
      <w:marBottom w:val="0"/>
      <w:divBdr>
        <w:top w:val="none" w:sz="0" w:space="0" w:color="auto"/>
        <w:left w:val="none" w:sz="0" w:space="0" w:color="auto"/>
        <w:bottom w:val="none" w:sz="0" w:space="0" w:color="auto"/>
        <w:right w:val="none" w:sz="0" w:space="0" w:color="auto"/>
      </w:divBdr>
    </w:div>
    <w:div w:id="873274911">
      <w:bodyDiv w:val="1"/>
      <w:marLeft w:val="0"/>
      <w:marRight w:val="0"/>
      <w:marTop w:val="0"/>
      <w:marBottom w:val="0"/>
      <w:divBdr>
        <w:top w:val="none" w:sz="0" w:space="0" w:color="auto"/>
        <w:left w:val="none" w:sz="0" w:space="0" w:color="auto"/>
        <w:bottom w:val="none" w:sz="0" w:space="0" w:color="auto"/>
        <w:right w:val="none" w:sz="0" w:space="0" w:color="auto"/>
      </w:divBdr>
    </w:div>
    <w:div w:id="933050420">
      <w:bodyDiv w:val="1"/>
      <w:marLeft w:val="0"/>
      <w:marRight w:val="0"/>
      <w:marTop w:val="0"/>
      <w:marBottom w:val="0"/>
      <w:divBdr>
        <w:top w:val="none" w:sz="0" w:space="0" w:color="auto"/>
        <w:left w:val="none" w:sz="0" w:space="0" w:color="auto"/>
        <w:bottom w:val="none" w:sz="0" w:space="0" w:color="auto"/>
        <w:right w:val="none" w:sz="0" w:space="0" w:color="auto"/>
      </w:divBdr>
    </w:div>
    <w:div w:id="935015902">
      <w:bodyDiv w:val="1"/>
      <w:marLeft w:val="0"/>
      <w:marRight w:val="0"/>
      <w:marTop w:val="0"/>
      <w:marBottom w:val="0"/>
      <w:divBdr>
        <w:top w:val="none" w:sz="0" w:space="0" w:color="auto"/>
        <w:left w:val="none" w:sz="0" w:space="0" w:color="auto"/>
        <w:bottom w:val="none" w:sz="0" w:space="0" w:color="auto"/>
        <w:right w:val="none" w:sz="0" w:space="0" w:color="auto"/>
      </w:divBdr>
    </w:div>
    <w:div w:id="988704883">
      <w:bodyDiv w:val="1"/>
      <w:marLeft w:val="0"/>
      <w:marRight w:val="0"/>
      <w:marTop w:val="0"/>
      <w:marBottom w:val="0"/>
      <w:divBdr>
        <w:top w:val="none" w:sz="0" w:space="0" w:color="auto"/>
        <w:left w:val="none" w:sz="0" w:space="0" w:color="auto"/>
        <w:bottom w:val="none" w:sz="0" w:space="0" w:color="auto"/>
        <w:right w:val="none" w:sz="0" w:space="0" w:color="auto"/>
      </w:divBdr>
    </w:div>
    <w:div w:id="996616671">
      <w:bodyDiv w:val="1"/>
      <w:marLeft w:val="0"/>
      <w:marRight w:val="0"/>
      <w:marTop w:val="0"/>
      <w:marBottom w:val="0"/>
      <w:divBdr>
        <w:top w:val="none" w:sz="0" w:space="0" w:color="auto"/>
        <w:left w:val="none" w:sz="0" w:space="0" w:color="auto"/>
        <w:bottom w:val="none" w:sz="0" w:space="0" w:color="auto"/>
        <w:right w:val="none" w:sz="0" w:space="0" w:color="auto"/>
      </w:divBdr>
    </w:div>
    <w:div w:id="1012336853">
      <w:bodyDiv w:val="1"/>
      <w:marLeft w:val="0"/>
      <w:marRight w:val="0"/>
      <w:marTop w:val="0"/>
      <w:marBottom w:val="0"/>
      <w:divBdr>
        <w:top w:val="none" w:sz="0" w:space="0" w:color="auto"/>
        <w:left w:val="none" w:sz="0" w:space="0" w:color="auto"/>
        <w:bottom w:val="none" w:sz="0" w:space="0" w:color="auto"/>
        <w:right w:val="none" w:sz="0" w:space="0" w:color="auto"/>
      </w:divBdr>
    </w:div>
    <w:div w:id="1017078729">
      <w:bodyDiv w:val="1"/>
      <w:marLeft w:val="0"/>
      <w:marRight w:val="0"/>
      <w:marTop w:val="0"/>
      <w:marBottom w:val="0"/>
      <w:divBdr>
        <w:top w:val="none" w:sz="0" w:space="0" w:color="auto"/>
        <w:left w:val="none" w:sz="0" w:space="0" w:color="auto"/>
        <w:bottom w:val="none" w:sz="0" w:space="0" w:color="auto"/>
        <w:right w:val="none" w:sz="0" w:space="0" w:color="auto"/>
      </w:divBdr>
    </w:div>
    <w:div w:id="1039011734">
      <w:bodyDiv w:val="1"/>
      <w:marLeft w:val="0"/>
      <w:marRight w:val="0"/>
      <w:marTop w:val="0"/>
      <w:marBottom w:val="0"/>
      <w:divBdr>
        <w:top w:val="none" w:sz="0" w:space="0" w:color="auto"/>
        <w:left w:val="none" w:sz="0" w:space="0" w:color="auto"/>
        <w:bottom w:val="none" w:sz="0" w:space="0" w:color="auto"/>
        <w:right w:val="none" w:sz="0" w:space="0" w:color="auto"/>
      </w:divBdr>
    </w:div>
    <w:div w:id="1151169911">
      <w:bodyDiv w:val="1"/>
      <w:marLeft w:val="0"/>
      <w:marRight w:val="0"/>
      <w:marTop w:val="0"/>
      <w:marBottom w:val="0"/>
      <w:divBdr>
        <w:top w:val="none" w:sz="0" w:space="0" w:color="auto"/>
        <w:left w:val="none" w:sz="0" w:space="0" w:color="auto"/>
        <w:bottom w:val="none" w:sz="0" w:space="0" w:color="auto"/>
        <w:right w:val="none" w:sz="0" w:space="0" w:color="auto"/>
      </w:divBdr>
    </w:div>
    <w:div w:id="1167985817">
      <w:bodyDiv w:val="1"/>
      <w:marLeft w:val="0"/>
      <w:marRight w:val="0"/>
      <w:marTop w:val="0"/>
      <w:marBottom w:val="0"/>
      <w:divBdr>
        <w:top w:val="none" w:sz="0" w:space="0" w:color="auto"/>
        <w:left w:val="none" w:sz="0" w:space="0" w:color="auto"/>
        <w:bottom w:val="none" w:sz="0" w:space="0" w:color="auto"/>
        <w:right w:val="none" w:sz="0" w:space="0" w:color="auto"/>
      </w:divBdr>
    </w:div>
    <w:div w:id="1170563359">
      <w:bodyDiv w:val="1"/>
      <w:marLeft w:val="0"/>
      <w:marRight w:val="0"/>
      <w:marTop w:val="0"/>
      <w:marBottom w:val="0"/>
      <w:divBdr>
        <w:top w:val="none" w:sz="0" w:space="0" w:color="auto"/>
        <w:left w:val="none" w:sz="0" w:space="0" w:color="auto"/>
        <w:bottom w:val="none" w:sz="0" w:space="0" w:color="auto"/>
        <w:right w:val="none" w:sz="0" w:space="0" w:color="auto"/>
      </w:divBdr>
    </w:div>
    <w:div w:id="1223369915">
      <w:bodyDiv w:val="1"/>
      <w:marLeft w:val="0"/>
      <w:marRight w:val="0"/>
      <w:marTop w:val="0"/>
      <w:marBottom w:val="0"/>
      <w:divBdr>
        <w:top w:val="none" w:sz="0" w:space="0" w:color="auto"/>
        <w:left w:val="none" w:sz="0" w:space="0" w:color="auto"/>
        <w:bottom w:val="none" w:sz="0" w:space="0" w:color="auto"/>
        <w:right w:val="none" w:sz="0" w:space="0" w:color="auto"/>
      </w:divBdr>
    </w:div>
    <w:div w:id="1246765508">
      <w:bodyDiv w:val="1"/>
      <w:marLeft w:val="0"/>
      <w:marRight w:val="0"/>
      <w:marTop w:val="0"/>
      <w:marBottom w:val="0"/>
      <w:divBdr>
        <w:top w:val="none" w:sz="0" w:space="0" w:color="auto"/>
        <w:left w:val="none" w:sz="0" w:space="0" w:color="auto"/>
        <w:bottom w:val="none" w:sz="0" w:space="0" w:color="auto"/>
        <w:right w:val="none" w:sz="0" w:space="0" w:color="auto"/>
      </w:divBdr>
    </w:div>
    <w:div w:id="1260912855">
      <w:bodyDiv w:val="1"/>
      <w:marLeft w:val="0"/>
      <w:marRight w:val="0"/>
      <w:marTop w:val="0"/>
      <w:marBottom w:val="0"/>
      <w:divBdr>
        <w:top w:val="none" w:sz="0" w:space="0" w:color="auto"/>
        <w:left w:val="none" w:sz="0" w:space="0" w:color="auto"/>
        <w:bottom w:val="none" w:sz="0" w:space="0" w:color="auto"/>
        <w:right w:val="none" w:sz="0" w:space="0" w:color="auto"/>
      </w:divBdr>
    </w:div>
    <w:div w:id="1309900549">
      <w:bodyDiv w:val="1"/>
      <w:marLeft w:val="0"/>
      <w:marRight w:val="0"/>
      <w:marTop w:val="0"/>
      <w:marBottom w:val="0"/>
      <w:divBdr>
        <w:top w:val="none" w:sz="0" w:space="0" w:color="auto"/>
        <w:left w:val="none" w:sz="0" w:space="0" w:color="auto"/>
        <w:bottom w:val="none" w:sz="0" w:space="0" w:color="auto"/>
        <w:right w:val="none" w:sz="0" w:space="0" w:color="auto"/>
      </w:divBdr>
    </w:div>
    <w:div w:id="1341854576">
      <w:bodyDiv w:val="1"/>
      <w:marLeft w:val="0"/>
      <w:marRight w:val="0"/>
      <w:marTop w:val="0"/>
      <w:marBottom w:val="0"/>
      <w:divBdr>
        <w:top w:val="none" w:sz="0" w:space="0" w:color="auto"/>
        <w:left w:val="none" w:sz="0" w:space="0" w:color="auto"/>
        <w:bottom w:val="none" w:sz="0" w:space="0" w:color="auto"/>
        <w:right w:val="none" w:sz="0" w:space="0" w:color="auto"/>
      </w:divBdr>
    </w:div>
    <w:div w:id="1357729986">
      <w:bodyDiv w:val="1"/>
      <w:marLeft w:val="0"/>
      <w:marRight w:val="0"/>
      <w:marTop w:val="0"/>
      <w:marBottom w:val="0"/>
      <w:divBdr>
        <w:top w:val="none" w:sz="0" w:space="0" w:color="auto"/>
        <w:left w:val="none" w:sz="0" w:space="0" w:color="auto"/>
        <w:bottom w:val="none" w:sz="0" w:space="0" w:color="auto"/>
        <w:right w:val="none" w:sz="0" w:space="0" w:color="auto"/>
      </w:divBdr>
    </w:div>
    <w:div w:id="1358434987">
      <w:bodyDiv w:val="1"/>
      <w:marLeft w:val="0"/>
      <w:marRight w:val="0"/>
      <w:marTop w:val="0"/>
      <w:marBottom w:val="0"/>
      <w:divBdr>
        <w:top w:val="none" w:sz="0" w:space="0" w:color="auto"/>
        <w:left w:val="none" w:sz="0" w:space="0" w:color="auto"/>
        <w:bottom w:val="none" w:sz="0" w:space="0" w:color="auto"/>
        <w:right w:val="none" w:sz="0" w:space="0" w:color="auto"/>
      </w:divBdr>
    </w:div>
    <w:div w:id="1370182348">
      <w:bodyDiv w:val="1"/>
      <w:marLeft w:val="0"/>
      <w:marRight w:val="0"/>
      <w:marTop w:val="0"/>
      <w:marBottom w:val="0"/>
      <w:divBdr>
        <w:top w:val="none" w:sz="0" w:space="0" w:color="auto"/>
        <w:left w:val="none" w:sz="0" w:space="0" w:color="auto"/>
        <w:bottom w:val="none" w:sz="0" w:space="0" w:color="auto"/>
        <w:right w:val="none" w:sz="0" w:space="0" w:color="auto"/>
      </w:divBdr>
    </w:div>
    <w:div w:id="1384712179">
      <w:bodyDiv w:val="1"/>
      <w:marLeft w:val="0"/>
      <w:marRight w:val="0"/>
      <w:marTop w:val="0"/>
      <w:marBottom w:val="0"/>
      <w:divBdr>
        <w:top w:val="none" w:sz="0" w:space="0" w:color="auto"/>
        <w:left w:val="none" w:sz="0" w:space="0" w:color="auto"/>
        <w:bottom w:val="none" w:sz="0" w:space="0" w:color="auto"/>
        <w:right w:val="none" w:sz="0" w:space="0" w:color="auto"/>
      </w:divBdr>
      <w:divsChild>
        <w:div w:id="75251004">
          <w:marLeft w:val="0"/>
          <w:marRight w:val="0"/>
          <w:marTop w:val="0"/>
          <w:marBottom w:val="0"/>
          <w:divBdr>
            <w:top w:val="none" w:sz="0" w:space="0" w:color="auto"/>
            <w:left w:val="none" w:sz="0" w:space="0" w:color="auto"/>
            <w:bottom w:val="none" w:sz="0" w:space="0" w:color="auto"/>
            <w:right w:val="none" w:sz="0" w:space="0" w:color="auto"/>
          </w:divBdr>
          <w:divsChild>
            <w:div w:id="2075085401">
              <w:marLeft w:val="0"/>
              <w:marRight w:val="0"/>
              <w:marTop w:val="0"/>
              <w:marBottom w:val="0"/>
              <w:divBdr>
                <w:top w:val="none" w:sz="0" w:space="0" w:color="auto"/>
                <w:left w:val="none" w:sz="0" w:space="0" w:color="auto"/>
                <w:bottom w:val="none" w:sz="0" w:space="0" w:color="auto"/>
                <w:right w:val="none" w:sz="0" w:space="0" w:color="auto"/>
              </w:divBdr>
            </w:div>
            <w:div w:id="1141073159">
              <w:marLeft w:val="0"/>
              <w:marRight w:val="0"/>
              <w:marTop w:val="0"/>
              <w:marBottom w:val="0"/>
              <w:divBdr>
                <w:top w:val="none" w:sz="0" w:space="0" w:color="auto"/>
                <w:left w:val="none" w:sz="0" w:space="0" w:color="auto"/>
                <w:bottom w:val="none" w:sz="0" w:space="0" w:color="auto"/>
                <w:right w:val="none" w:sz="0" w:space="0" w:color="auto"/>
              </w:divBdr>
            </w:div>
            <w:div w:id="1540899121">
              <w:marLeft w:val="0"/>
              <w:marRight w:val="0"/>
              <w:marTop w:val="0"/>
              <w:marBottom w:val="0"/>
              <w:divBdr>
                <w:top w:val="none" w:sz="0" w:space="0" w:color="auto"/>
                <w:left w:val="none" w:sz="0" w:space="0" w:color="auto"/>
                <w:bottom w:val="none" w:sz="0" w:space="0" w:color="auto"/>
                <w:right w:val="none" w:sz="0" w:space="0" w:color="auto"/>
              </w:divBdr>
            </w:div>
            <w:div w:id="288511742">
              <w:marLeft w:val="0"/>
              <w:marRight w:val="0"/>
              <w:marTop w:val="0"/>
              <w:marBottom w:val="0"/>
              <w:divBdr>
                <w:top w:val="none" w:sz="0" w:space="0" w:color="auto"/>
                <w:left w:val="none" w:sz="0" w:space="0" w:color="auto"/>
                <w:bottom w:val="none" w:sz="0" w:space="0" w:color="auto"/>
                <w:right w:val="none" w:sz="0" w:space="0" w:color="auto"/>
              </w:divBdr>
            </w:div>
            <w:div w:id="1680542135">
              <w:marLeft w:val="0"/>
              <w:marRight w:val="0"/>
              <w:marTop w:val="0"/>
              <w:marBottom w:val="0"/>
              <w:divBdr>
                <w:top w:val="none" w:sz="0" w:space="0" w:color="auto"/>
                <w:left w:val="none" w:sz="0" w:space="0" w:color="auto"/>
                <w:bottom w:val="none" w:sz="0" w:space="0" w:color="auto"/>
                <w:right w:val="none" w:sz="0" w:space="0" w:color="auto"/>
              </w:divBdr>
            </w:div>
            <w:div w:id="1013730593">
              <w:marLeft w:val="0"/>
              <w:marRight w:val="0"/>
              <w:marTop w:val="0"/>
              <w:marBottom w:val="0"/>
              <w:divBdr>
                <w:top w:val="none" w:sz="0" w:space="0" w:color="auto"/>
                <w:left w:val="none" w:sz="0" w:space="0" w:color="auto"/>
                <w:bottom w:val="none" w:sz="0" w:space="0" w:color="auto"/>
                <w:right w:val="none" w:sz="0" w:space="0" w:color="auto"/>
              </w:divBdr>
            </w:div>
            <w:div w:id="358746940">
              <w:marLeft w:val="0"/>
              <w:marRight w:val="0"/>
              <w:marTop w:val="0"/>
              <w:marBottom w:val="0"/>
              <w:divBdr>
                <w:top w:val="none" w:sz="0" w:space="0" w:color="auto"/>
                <w:left w:val="none" w:sz="0" w:space="0" w:color="auto"/>
                <w:bottom w:val="none" w:sz="0" w:space="0" w:color="auto"/>
                <w:right w:val="none" w:sz="0" w:space="0" w:color="auto"/>
              </w:divBdr>
            </w:div>
            <w:div w:id="66999279">
              <w:marLeft w:val="0"/>
              <w:marRight w:val="0"/>
              <w:marTop w:val="0"/>
              <w:marBottom w:val="0"/>
              <w:divBdr>
                <w:top w:val="none" w:sz="0" w:space="0" w:color="auto"/>
                <w:left w:val="none" w:sz="0" w:space="0" w:color="auto"/>
                <w:bottom w:val="none" w:sz="0" w:space="0" w:color="auto"/>
                <w:right w:val="none" w:sz="0" w:space="0" w:color="auto"/>
              </w:divBdr>
            </w:div>
            <w:div w:id="19103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579708">
      <w:bodyDiv w:val="1"/>
      <w:marLeft w:val="0"/>
      <w:marRight w:val="0"/>
      <w:marTop w:val="0"/>
      <w:marBottom w:val="0"/>
      <w:divBdr>
        <w:top w:val="none" w:sz="0" w:space="0" w:color="auto"/>
        <w:left w:val="none" w:sz="0" w:space="0" w:color="auto"/>
        <w:bottom w:val="none" w:sz="0" w:space="0" w:color="auto"/>
        <w:right w:val="none" w:sz="0" w:space="0" w:color="auto"/>
      </w:divBdr>
    </w:div>
    <w:div w:id="1416898070">
      <w:bodyDiv w:val="1"/>
      <w:marLeft w:val="0"/>
      <w:marRight w:val="0"/>
      <w:marTop w:val="0"/>
      <w:marBottom w:val="0"/>
      <w:divBdr>
        <w:top w:val="none" w:sz="0" w:space="0" w:color="auto"/>
        <w:left w:val="none" w:sz="0" w:space="0" w:color="auto"/>
        <w:bottom w:val="none" w:sz="0" w:space="0" w:color="auto"/>
        <w:right w:val="none" w:sz="0" w:space="0" w:color="auto"/>
      </w:divBdr>
    </w:div>
    <w:div w:id="1445537791">
      <w:bodyDiv w:val="1"/>
      <w:marLeft w:val="0"/>
      <w:marRight w:val="0"/>
      <w:marTop w:val="0"/>
      <w:marBottom w:val="0"/>
      <w:divBdr>
        <w:top w:val="none" w:sz="0" w:space="0" w:color="auto"/>
        <w:left w:val="none" w:sz="0" w:space="0" w:color="auto"/>
        <w:bottom w:val="none" w:sz="0" w:space="0" w:color="auto"/>
        <w:right w:val="none" w:sz="0" w:space="0" w:color="auto"/>
      </w:divBdr>
    </w:div>
    <w:div w:id="1488203666">
      <w:bodyDiv w:val="1"/>
      <w:marLeft w:val="0"/>
      <w:marRight w:val="0"/>
      <w:marTop w:val="0"/>
      <w:marBottom w:val="0"/>
      <w:divBdr>
        <w:top w:val="none" w:sz="0" w:space="0" w:color="auto"/>
        <w:left w:val="none" w:sz="0" w:space="0" w:color="auto"/>
        <w:bottom w:val="none" w:sz="0" w:space="0" w:color="auto"/>
        <w:right w:val="none" w:sz="0" w:space="0" w:color="auto"/>
      </w:divBdr>
    </w:div>
    <w:div w:id="1530098790">
      <w:bodyDiv w:val="1"/>
      <w:marLeft w:val="0"/>
      <w:marRight w:val="0"/>
      <w:marTop w:val="0"/>
      <w:marBottom w:val="0"/>
      <w:divBdr>
        <w:top w:val="none" w:sz="0" w:space="0" w:color="auto"/>
        <w:left w:val="none" w:sz="0" w:space="0" w:color="auto"/>
        <w:bottom w:val="none" w:sz="0" w:space="0" w:color="auto"/>
        <w:right w:val="none" w:sz="0" w:space="0" w:color="auto"/>
      </w:divBdr>
    </w:div>
    <w:div w:id="1546795894">
      <w:bodyDiv w:val="1"/>
      <w:marLeft w:val="0"/>
      <w:marRight w:val="0"/>
      <w:marTop w:val="0"/>
      <w:marBottom w:val="0"/>
      <w:divBdr>
        <w:top w:val="none" w:sz="0" w:space="0" w:color="auto"/>
        <w:left w:val="none" w:sz="0" w:space="0" w:color="auto"/>
        <w:bottom w:val="none" w:sz="0" w:space="0" w:color="auto"/>
        <w:right w:val="none" w:sz="0" w:space="0" w:color="auto"/>
      </w:divBdr>
    </w:div>
    <w:div w:id="1569026559">
      <w:bodyDiv w:val="1"/>
      <w:marLeft w:val="0"/>
      <w:marRight w:val="0"/>
      <w:marTop w:val="0"/>
      <w:marBottom w:val="0"/>
      <w:divBdr>
        <w:top w:val="none" w:sz="0" w:space="0" w:color="auto"/>
        <w:left w:val="none" w:sz="0" w:space="0" w:color="auto"/>
        <w:bottom w:val="none" w:sz="0" w:space="0" w:color="auto"/>
        <w:right w:val="none" w:sz="0" w:space="0" w:color="auto"/>
      </w:divBdr>
    </w:div>
    <w:div w:id="1589273225">
      <w:bodyDiv w:val="1"/>
      <w:marLeft w:val="0"/>
      <w:marRight w:val="0"/>
      <w:marTop w:val="0"/>
      <w:marBottom w:val="0"/>
      <w:divBdr>
        <w:top w:val="none" w:sz="0" w:space="0" w:color="auto"/>
        <w:left w:val="none" w:sz="0" w:space="0" w:color="auto"/>
        <w:bottom w:val="none" w:sz="0" w:space="0" w:color="auto"/>
        <w:right w:val="none" w:sz="0" w:space="0" w:color="auto"/>
      </w:divBdr>
    </w:div>
    <w:div w:id="1622571679">
      <w:bodyDiv w:val="1"/>
      <w:marLeft w:val="0"/>
      <w:marRight w:val="0"/>
      <w:marTop w:val="0"/>
      <w:marBottom w:val="0"/>
      <w:divBdr>
        <w:top w:val="none" w:sz="0" w:space="0" w:color="auto"/>
        <w:left w:val="none" w:sz="0" w:space="0" w:color="auto"/>
        <w:bottom w:val="none" w:sz="0" w:space="0" w:color="auto"/>
        <w:right w:val="none" w:sz="0" w:space="0" w:color="auto"/>
      </w:divBdr>
    </w:div>
    <w:div w:id="1635210801">
      <w:bodyDiv w:val="1"/>
      <w:marLeft w:val="0"/>
      <w:marRight w:val="0"/>
      <w:marTop w:val="0"/>
      <w:marBottom w:val="0"/>
      <w:divBdr>
        <w:top w:val="none" w:sz="0" w:space="0" w:color="auto"/>
        <w:left w:val="none" w:sz="0" w:space="0" w:color="auto"/>
        <w:bottom w:val="none" w:sz="0" w:space="0" w:color="auto"/>
        <w:right w:val="none" w:sz="0" w:space="0" w:color="auto"/>
      </w:divBdr>
    </w:div>
    <w:div w:id="1670526682">
      <w:bodyDiv w:val="1"/>
      <w:marLeft w:val="0"/>
      <w:marRight w:val="0"/>
      <w:marTop w:val="0"/>
      <w:marBottom w:val="0"/>
      <w:divBdr>
        <w:top w:val="none" w:sz="0" w:space="0" w:color="auto"/>
        <w:left w:val="none" w:sz="0" w:space="0" w:color="auto"/>
        <w:bottom w:val="none" w:sz="0" w:space="0" w:color="auto"/>
        <w:right w:val="none" w:sz="0" w:space="0" w:color="auto"/>
      </w:divBdr>
    </w:div>
    <w:div w:id="1685983877">
      <w:bodyDiv w:val="1"/>
      <w:marLeft w:val="0"/>
      <w:marRight w:val="0"/>
      <w:marTop w:val="0"/>
      <w:marBottom w:val="0"/>
      <w:divBdr>
        <w:top w:val="none" w:sz="0" w:space="0" w:color="auto"/>
        <w:left w:val="none" w:sz="0" w:space="0" w:color="auto"/>
        <w:bottom w:val="none" w:sz="0" w:space="0" w:color="auto"/>
        <w:right w:val="none" w:sz="0" w:space="0" w:color="auto"/>
      </w:divBdr>
    </w:div>
    <w:div w:id="1696729110">
      <w:bodyDiv w:val="1"/>
      <w:marLeft w:val="0"/>
      <w:marRight w:val="0"/>
      <w:marTop w:val="0"/>
      <w:marBottom w:val="0"/>
      <w:divBdr>
        <w:top w:val="none" w:sz="0" w:space="0" w:color="auto"/>
        <w:left w:val="none" w:sz="0" w:space="0" w:color="auto"/>
        <w:bottom w:val="none" w:sz="0" w:space="0" w:color="auto"/>
        <w:right w:val="none" w:sz="0" w:space="0" w:color="auto"/>
      </w:divBdr>
    </w:div>
    <w:div w:id="1717851265">
      <w:bodyDiv w:val="1"/>
      <w:marLeft w:val="0"/>
      <w:marRight w:val="0"/>
      <w:marTop w:val="0"/>
      <w:marBottom w:val="0"/>
      <w:divBdr>
        <w:top w:val="none" w:sz="0" w:space="0" w:color="auto"/>
        <w:left w:val="none" w:sz="0" w:space="0" w:color="auto"/>
        <w:bottom w:val="none" w:sz="0" w:space="0" w:color="auto"/>
        <w:right w:val="none" w:sz="0" w:space="0" w:color="auto"/>
      </w:divBdr>
    </w:div>
    <w:div w:id="1761100017">
      <w:bodyDiv w:val="1"/>
      <w:marLeft w:val="0"/>
      <w:marRight w:val="0"/>
      <w:marTop w:val="0"/>
      <w:marBottom w:val="0"/>
      <w:divBdr>
        <w:top w:val="none" w:sz="0" w:space="0" w:color="auto"/>
        <w:left w:val="none" w:sz="0" w:space="0" w:color="auto"/>
        <w:bottom w:val="none" w:sz="0" w:space="0" w:color="auto"/>
        <w:right w:val="none" w:sz="0" w:space="0" w:color="auto"/>
      </w:divBdr>
    </w:div>
    <w:div w:id="1778256930">
      <w:bodyDiv w:val="1"/>
      <w:marLeft w:val="0"/>
      <w:marRight w:val="0"/>
      <w:marTop w:val="0"/>
      <w:marBottom w:val="0"/>
      <w:divBdr>
        <w:top w:val="none" w:sz="0" w:space="0" w:color="auto"/>
        <w:left w:val="none" w:sz="0" w:space="0" w:color="auto"/>
        <w:bottom w:val="none" w:sz="0" w:space="0" w:color="auto"/>
        <w:right w:val="none" w:sz="0" w:space="0" w:color="auto"/>
      </w:divBdr>
      <w:divsChild>
        <w:div w:id="983044904">
          <w:marLeft w:val="547"/>
          <w:marRight w:val="0"/>
          <w:marTop w:val="154"/>
          <w:marBottom w:val="0"/>
          <w:divBdr>
            <w:top w:val="none" w:sz="0" w:space="0" w:color="auto"/>
            <w:left w:val="none" w:sz="0" w:space="0" w:color="auto"/>
            <w:bottom w:val="none" w:sz="0" w:space="0" w:color="auto"/>
            <w:right w:val="none" w:sz="0" w:space="0" w:color="auto"/>
          </w:divBdr>
        </w:div>
        <w:div w:id="2006860386">
          <w:marLeft w:val="547"/>
          <w:marRight w:val="0"/>
          <w:marTop w:val="154"/>
          <w:marBottom w:val="0"/>
          <w:divBdr>
            <w:top w:val="none" w:sz="0" w:space="0" w:color="auto"/>
            <w:left w:val="none" w:sz="0" w:space="0" w:color="auto"/>
            <w:bottom w:val="none" w:sz="0" w:space="0" w:color="auto"/>
            <w:right w:val="none" w:sz="0" w:space="0" w:color="auto"/>
          </w:divBdr>
        </w:div>
        <w:div w:id="2102949659">
          <w:marLeft w:val="547"/>
          <w:marRight w:val="0"/>
          <w:marTop w:val="154"/>
          <w:marBottom w:val="0"/>
          <w:divBdr>
            <w:top w:val="none" w:sz="0" w:space="0" w:color="auto"/>
            <w:left w:val="none" w:sz="0" w:space="0" w:color="auto"/>
            <w:bottom w:val="none" w:sz="0" w:space="0" w:color="auto"/>
            <w:right w:val="none" w:sz="0" w:space="0" w:color="auto"/>
          </w:divBdr>
        </w:div>
      </w:divsChild>
    </w:div>
    <w:div w:id="1779370656">
      <w:bodyDiv w:val="1"/>
      <w:marLeft w:val="0"/>
      <w:marRight w:val="0"/>
      <w:marTop w:val="0"/>
      <w:marBottom w:val="0"/>
      <w:divBdr>
        <w:top w:val="none" w:sz="0" w:space="0" w:color="auto"/>
        <w:left w:val="none" w:sz="0" w:space="0" w:color="auto"/>
        <w:bottom w:val="none" w:sz="0" w:space="0" w:color="auto"/>
        <w:right w:val="none" w:sz="0" w:space="0" w:color="auto"/>
      </w:divBdr>
    </w:div>
    <w:div w:id="1780416961">
      <w:bodyDiv w:val="1"/>
      <w:marLeft w:val="0"/>
      <w:marRight w:val="0"/>
      <w:marTop w:val="0"/>
      <w:marBottom w:val="0"/>
      <w:divBdr>
        <w:top w:val="none" w:sz="0" w:space="0" w:color="auto"/>
        <w:left w:val="none" w:sz="0" w:space="0" w:color="auto"/>
        <w:bottom w:val="none" w:sz="0" w:space="0" w:color="auto"/>
        <w:right w:val="none" w:sz="0" w:space="0" w:color="auto"/>
      </w:divBdr>
    </w:div>
    <w:div w:id="1801141841">
      <w:bodyDiv w:val="1"/>
      <w:marLeft w:val="0"/>
      <w:marRight w:val="0"/>
      <w:marTop w:val="0"/>
      <w:marBottom w:val="0"/>
      <w:divBdr>
        <w:top w:val="none" w:sz="0" w:space="0" w:color="auto"/>
        <w:left w:val="none" w:sz="0" w:space="0" w:color="auto"/>
        <w:bottom w:val="none" w:sz="0" w:space="0" w:color="auto"/>
        <w:right w:val="none" w:sz="0" w:space="0" w:color="auto"/>
      </w:divBdr>
    </w:div>
    <w:div w:id="1817137253">
      <w:bodyDiv w:val="1"/>
      <w:marLeft w:val="0"/>
      <w:marRight w:val="0"/>
      <w:marTop w:val="0"/>
      <w:marBottom w:val="0"/>
      <w:divBdr>
        <w:top w:val="none" w:sz="0" w:space="0" w:color="auto"/>
        <w:left w:val="none" w:sz="0" w:space="0" w:color="auto"/>
        <w:bottom w:val="none" w:sz="0" w:space="0" w:color="auto"/>
        <w:right w:val="none" w:sz="0" w:space="0" w:color="auto"/>
      </w:divBdr>
    </w:div>
    <w:div w:id="1843666634">
      <w:bodyDiv w:val="1"/>
      <w:marLeft w:val="0"/>
      <w:marRight w:val="0"/>
      <w:marTop w:val="0"/>
      <w:marBottom w:val="0"/>
      <w:divBdr>
        <w:top w:val="none" w:sz="0" w:space="0" w:color="auto"/>
        <w:left w:val="none" w:sz="0" w:space="0" w:color="auto"/>
        <w:bottom w:val="none" w:sz="0" w:space="0" w:color="auto"/>
        <w:right w:val="none" w:sz="0" w:space="0" w:color="auto"/>
      </w:divBdr>
    </w:div>
    <w:div w:id="1884172280">
      <w:bodyDiv w:val="1"/>
      <w:marLeft w:val="0"/>
      <w:marRight w:val="0"/>
      <w:marTop w:val="0"/>
      <w:marBottom w:val="0"/>
      <w:divBdr>
        <w:top w:val="none" w:sz="0" w:space="0" w:color="auto"/>
        <w:left w:val="none" w:sz="0" w:space="0" w:color="auto"/>
        <w:bottom w:val="none" w:sz="0" w:space="0" w:color="auto"/>
        <w:right w:val="none" w:sz="0" w:space="0" w:color="auto"/>
      </w:divBdr>
    </w:div>
    <w:div w:id="1895509889">
      <w:bodyDiv w:val="1"/>
      <w:marLeft w:val="0"/>
      <w:marRight w:val="0"/>
      <w:marTop w:val="0"/>
      <w:marBottom w:val="0"/>
      <w:divBdr>
        <w:top w:val="none" w:sz="0" w:space="0" w:color="auto"/>
        <w:left w:val="none" w:sz="0" w:space="0" w:color="auto"/>
        <w:bottom w:val="none" w:sz="0" w:space="0" w:color="auto"/>
        <w:right w:val="none" w:sz="0" w:space="0" w:color="auto"/>
      </w:divBdr>
    </w:div>
    <w:div w:id="1901474874">
      <w:bodyDiv w:val="1"/>
      <w:marLeft w:val="0"/>
      <w:marRight w:val="0"/>
      <w:marTop w:val="0"/>
      <w:marBottom w:val="0"/>
      <w:divBdr>
        <w:top w:val="none" w:sz="0" w:space="0" w:color="auto"/>
        <w:left w:val="none" w:sz="0" w:space="0" w:color="auto"/>
        <w:bottom w:val="none" w:sz="0" w:space="0" w:color="auto"/>
        <w:right w:val="none" w:sz="0" w:space="0" w:color="auto"/>
      </w:divBdr>
    </w:div>
    <w:div w:id="1912348659">
      <w:bodyDiv w:val="1"/>
      <w:marLeft w:val="0"/>
      <w:marRight w:val="0"/>
      <w:marTop w:val="0"/>
      <w:marBottom w:val="0"/>
      <w:divBdr>
        <w:top w:val="none" w:sz="0" w:space="0" w:color="auto"/>
        <w:left w:val="none" w:sz="0" w:space="0" w:color="auto"/>
        <w:bottom w:val="none" w:sz="0" w:space="0" w:color="auto"/>
        <w:right w:val="none" w:sz="0" w:space="0" w:color="auto"/>
      </w:divBdr>
    </w:div>
    <w:div w:id="1915358675">
      <w:bodyDiv w:val="1"/>
      <w:marLeft w:val="0"/>
      <w:marRight w:val="0"/>
      <w:marTop w:val="0"/>
      <w:marBottom w:val="0"/>
      <w:divBdr>
        <w:top w:val="none" w:sz="0" w:space="0" w:color="auto"/>
        <w:left w:val="none" w:sz="0" w:space="0" w:color="auto"/>
        <w:bottom w:val="none" w:sz="0" w:space="0" w:color="auto"/>
        <w:right w:val="none" w:sz="0" w:space="0" w:color="auto"/>
      </w:divBdr>
    </w:div>
    <w:div w:id="1917325642">
      <w:bodyDiv w:val="1"/>
      <w:marLeft w:val="0"/>
      <w:marRight w:val="0"/>
      <w:marTop w:val="0"/>
      <w:marBottom w:val="0"/>
      <w:divBdr>
        <w:top w:val="none" w:sz="0" w:space="0" w:color="auto"/>
        <w:left w:val="none" w:sz="0" w:space="0" w:color="auto"/>
        <w:bottom w:val="none" w:sz="0" w:space="0" w:color="auto"/>
        <w:right w:val="none" w:sz="0" w:space="0" w:color="auto"/>
      </w:divBdr>
    </w:div>
    <w:div w:id="1924295770">
      <w:bodyDiv w:val="1"/>
      <w:marLeft w:val="0"/>
      <w:marRight w:val="0"/>
      <w:marTop w:val="0"/>
      <w:marBottom w:val="0"/>
      <w:divBdr>
        <w:top w:val="none" w:sz="0" w:space="0" w:color="auto"/>
        <w:left w:val="none" w:sz="0" w:space="0" w:color="auto"/>
        <w:bottom w:val="none" w:sz="0" w:space="0" w:color="auto"/>
        <w:right w:val="none" w:sz="0" w:space="0" w:color="auto"/>
      </w:divBdr>
    </w:div>
    <w:div w:id="1940722137">
      <w:bodyDiv w:val="1"/>
      <w:marLeft w:val="0"/>
      <w:marRight w:val="0"/>
      <w:marTop w:val="0"/>
      <w:marBottom w:val="0"/>
      <w:divBdr>
        <w:top w:val="none" w:sz="0" w:space="0" w:color="auto"/>
        <w:left w:val="none" w:sz="0" w:space="0" w:color="auto"/>
        <w:bottom w:val="none" w:sz="0" w:space="0" w:color="auto"/>
        <w:right w:val="none" w:sz="0" w:space="0" w:color="auto"/>
      </w:divBdr>
    </w:div>
    <w:div w:id="1962152779">
      <w:bodyDiv w:val="1"/>
      <w:marLeft w:val="0"/>
      <w:marRight w:val="0"/>
      <w:marTop w:val="0"/>
      <w:marBottom w:val="0"/>
      <w:divBdr>
        <w:top w:val="none" w:sz="0" w:space="0" w:color="auto"/>
        <w:left w:val="none" w:sz="0" w:space="0" w:color="auto"/>
        <w:bottom w:val="none" w:sz="0" w:space="0" w:color="auto"/>
        <w:right w:val="none" w:sz="0" w:space="0" w:color="auto"/>
      </w:divBdr>
    </w:div>
    <w:div w:id="1964188322">
      <w:bodyDiv w:val="1"/>
      <w:marLeft w:val="0"/>
      <w:marRight w:val="0"/>
      <w:marTop w:val="0"/>
      <w:marBottom w:val="0"/>
      <w:divBdr>
        <w:top w:val="none" w:sz="0" w:space="0" w:color="auto"/>
        <w:left w:val="none" w:sz="0" w:space="0" w:color="auto"/>
        <w:bottom w:val="none" w:sz="0" w:space="0" w:color="auto"/>
        <w:right w:val="none" w:sz="0" w:space="0" w:color="auto"/>
      </w:divBdr>
    </w:div>
    <w:div w:id="1976837616">
      <w:bodyDiv w:val="1"/>
      <w:marLeft w:val="0"/>
      <w:marRight w:val="0"/>
      <w:marTop w:val="0"/>
      <w:marBottom w:val="0"/>
      <w:divBdr>
        <w:top w:val="none" w:sz="0" w:space="0" w:color="auto"/>
        <w:left w:val="none" w:sz="0" w:space="0" w:color="auto"/>
        <w:bottom w:val="none" w:sz="0" w:space="0" w:color="auto"/>
        <w:right w:val="none" w:sz="0" w:space="0" w:color="auto"/>
      </w:divBdr>
    </w:div>
    <w:div w:id="2035962381">
      <w:bodyDiv w:val="1"/>
      <w:marLeft w:val="0"/>
      <w:marRight w:val="0"/>
      <w:marTop w:val="0"/>
      <w:marBottom w:val="0"/>
      <w:divBdr>
        <w:top w:val="none" w:sz="0" w:space="0" w:color="auto"/>
        <w:left w:val="none" w:sz="0" w:space="0" w:color="auto"/>
        <w:bottom w:val="none" w:sz="0" w:space="0" w:color="auto"/>
        <w:right w:val="none" w:sz="0" w:space="0" w:color="auto"/>
      </w:divBdr>
    </w:div>
    <w:div w:id="2061006829">
      <w:bodyDiv w:val="1"/>
      <w:marLeft w:val="0"/>
      <w:marRight w:val="0"/>
      <w:marTop w:val="0"/>
      <w:marBottom w:val="0"/>
      <w:divBdr>
        <w:top w:val="none" w:sz="0" w:space="0" w:color="auto"/>
        <w:left w:val="none" w:sz="0" w:space="0" w:color="auto"/>
        <w:bottom w:val="none" w:sz="0" w:space="0" w:color="auto"/>
        <w:right w:val="none" w:sz="0" w:space="0" w:color="auto"/>
      </w:divBdr>
    </w:div>
    <w:div w:id="2062942238">
      <w:bodyDiv w:val="1"/>
      <w:marLeft w:val="0"/>
      <w:marRight w:val="0"/>
      <w:marTop w:val="0"/>
      <w:marBottom w:val="0"/>
      <w:divBdr>
        <w:top w:val="none" w:sz="0" w:space="0" w:color="auto"/>
        <w:left w:val="none" w:sz="0" w:space="0" w:color="auto"/>
        <w:bottom w:val="none" w:sz="0" w:space="0" w:color="auto"/>
        <w:right w:val="none" w:sz="0" w:space="0" w:color="auto"/>
      </w:divBdr>
    </w:div>
    <w:div w:id="2072922868">
      <w:bodyDiv w:val="1"/>
      <w:marLeft w:val="0"/>
      <w:marRight w:val="0"/>
      <w:marTop w:val="0"/>
      <w:marBottom w:val="0"/>
      <w:divBdr>
        <w:top w:val="none" w:sz="0" w:space="0" w:color="auto"/>
        <w:left w:val="none" w:sz="0" w:space="0" w:color="auto"/>
        <w:bottom w:val="none" w:sz="0" w:space="0" w:color="auto"/>
        <w:right w:val="none" w:sz="0" w:space="0" w:color="auto"/>
      </w:divBdr>
    </w:div>
    <w:div w:id="2078551259">
      <w:bodyDiv w:val="1"/>
      <w:marLeft w:val="0"/>
      <w:marRight w:val="0"/>
      <w:marTop w:val="0"/>
      <w:marBottom w:val="0"/>
      <w:divBdr>
        <w:top w:val="none" w:sz="0" w:space="0" w:color="auto"/>
        <w:left w:val="none" w:sz="0" w:space="0" w:color="auto"/>
        <w:bottom w:val="none" w:sz="0" w:space="0" w:color="auto"/>
        <w:right w:val="none" w:sz="0" w:space="0" w:color="auto"/>
      </w:divBdr>
    </w:div>
    <w:div w:id="2104302034">
      <w:bodyDiv w:val="1"/>
      <w:marLeft w:val="0"/>
      <w:marRight w:val="0"/>
      <w:marTop w:val="0"/>
      <w:marBottom w:val="0"/>
      <w:divBdr>
        <w:top w:val="none" w:sz="0" w:space="0" w:color="auto"/>
        <w:left w:val="none" w:sz="0" w:space="0" w:color="auto"/>
        <w:bottom w:val="none" w:sz="0" w:space="0" w:color="auto"/>
        <w:right w:val="none" w:sz="0" w:space="0" w:color="auto"/>
      </w:divBdr>
    </w:div>
    <w:div w:id="2126539592">
      <w:bodyDiv w:val="1"/>
      <w:marLeft w:val="0"/>
      <w:marRight w:val="0"/>
      <w:marTop w:val="0"/>
      <w:marBottom w:val="0"/>
      <w:divBdr>
        <w:top w:val="none" w:sz="0" w:space="0" w:color="auto"/>
        <w:left w:val="none" w:sz="0" w:space="0" w:color="auto"/>
        <w:bottom w:val="none" w:sz="0" w:space="0" w:color="auto"/>
        <w:right w:val="none" w:sz="0" w:space="0" w:color="auto"/>
      </w:divBdr>
    </w:div>
    <w:div w:id="2128348845">
      <w:bodyDiv w:val="1"/>
      <w:marLeft w:val="0"/>
      <w:marRight w:val="0"/>
      <w:marTop w:val="0"/>
      <w:marBottom w:val="0"/>
      <w:divBdr>
        <w:top w:val="none" w:sz="0" w:space="0" w:color="auto"/>
        <w:left w:val="none" w:sz="0" w:space="0" w:color="auto"/>
        <w:bottom w:val="none" w:sz="0" w:space="0" w:color="auto"/>
        <w:right w:val="none" w:sz="0" w:space="0" w:color="auto"/>
      </w:divBdr>
    </w:div>
    <w:div w:id="213073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012214-2F7F-4A02-9E40-6B149314F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3374</Words>
  <Characters>19236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2024-03-16T08:07:00Z</dcterms:created>
  <dcterms:modified xsi:type="dcterms:W3CDTF">2024-04-18T09:15:00Z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10ace1d8c34ff0d1c4925ada9bbb1f92652763e819ffd558e43b8b88fbc23168</vt:lpwstr>
  </property>
</Properties>
</file>