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6F6D" w:rsidRPr="00E76F6D" w:rsidRDefault="00AC0744" w:rsidP="00E76F6D">
      <w:pPr>
        <w:rPr>
          <w:rFonts w:ascii="Times New Roman" w:eastAsia="Times New Roman" w:hAnsi="Times New Roman" w:cs="Times New Roman"/>
          <w:lang w:eastAsia="en-GB"/>
        </w:rPr>
      </w:pPr>
      <w:r w:rsidRPr="00AC0744">
        <w:rPr>
          <w:rFonts w:eastAsia="Times New Roman" w:cstheme="minorHAnsi"/>
          <w:lang w:eastAsia="en-GB"/>
        </w:rPr>
        <w:t xml:space="preserve">The learning environment where the Professional Teaching Experience (PTE) occurred was in a rural, predominantly English speaking secondary school catering for pupils aged 11-18. </w:t>
      </w:r>
      <w:r w:rsidR="00AF3211" w:rsidRPr="000A03FD">
        <w:rPr>
          <w:rFonts w:eastAsia="Times New Roman" w:cstheme="minorHAnsi"/>
          <w:lang w:eastAsia="en-GB"/>
        </w:rPr>
        <w:t xml:space="preserve">The year groups used </w:t>
      </w:r>
      <w:r w:rsidR="00CB7F41" w:rsidRPr="000A03FD">
        <w:rPr>
          <w:rFonts w:eastAsia="Times New Roman" w:cstheme="minorHAnsi"/>
          <w:lang w:eastAsia="en-GB"/>
        </w:rPr>
        <w:t xml:space="preserve">for illustrative purposes in the attached portfolio are all a part of key stage three, years seven, eight and nine. </w:t>
      </w:r>
      <w:r w:rsidRPr="00AC0744">
        <w:rPr>
          <w:rFonts w:eastAsia="Times New Roman" w:cstheme="minorHAnsi"/>
          <w:lang w:eastAsia="en-GB"/>
        </w:rPr>
        <w:t xml:space="preserve">As the most recent Estyn report indicates, the school has, "Significant </w:t>
      </w:r>
      <w:r w:rsidR="00D31DDE" w:rsidRPr="000A03FD">
        <w:rPr>
          <w:rFonts w:eastAsia="Times New Roman" w:cstheme="minorHAnsi"/>
          <w:lang w:eastAsia="en-GB"/>
        </w:rPr>
        <w:t>W</w:t>
      </w:r>
      <w:r w:rsidRPr="00AC0744">
        <w:rPr>
          <w:rFonts w:eastAsia="Times New Roman" w:cstheme="minorHAnsi"/>
          <w:lang w:eastAsia="en-GB"/>
        </w:rPr>
        <w:t>elsh," estimating that</w:t>
      </w:r>
      <w:r w:rsidR="00D31DDE" w:rsidRPr="000A03FD">
        <w:rPr>
          <w:rFonts w:eastAsia="Times New Roman" w:cstheme="minorHAnsi"/>
          <w:lang w:eastAsia="en-GB"/>
        </w:rPr>
        <w:t>,</w:t>
      </w:r>
      <w:r w:rsidRPr="00AC0744">
        <w:rPr>
          <w:rFonts w:eastAsia="Times New Roman" w:cstheme="minorHAnsi"/>
          <w:lang w:eastAsia="en-GB"/>
        </w:rPr>
        <w:t xml:space="preserve"> "Approximately 65% of pupils completed their primary education through the medium of Welsh" </w:t>
      </w:r>
      <w:r w:rsidRPr="00AC0744">
        <w:rPr>
          <w:rFonts w:eastAsia="Times New Roman" w:cstheme="minorHAnsi"/>
          <w:b/>
          <w:bCs/>
          <w:color w:val="000000"/>
          <w:lang w:eastAsia="en-GB"/>
        </w:rPr>
        <w:t>(Estyn, 2019: 1). </w:t>
      </w:r>
      <w:r w:rsidRPr="00E76F6D">
        <w:rPr>
          <w:rFonts w:eastAsia="Times New Roman" w:cstheme="minorHAnsi"/>
          <w:lang w:eastAsia="en-GB"/>
        </w:rPr>
        <w:t>A</w:t>
      </w:r>
      <w:r w:rsidR="00D31DDE" w:rsidRPr="00E76F6D">
        <w:rPr>
          <w:rFonts w:eastAsia="Times New Roman" w:cstheme="minorHAnsi"/>
          <w:lang w:eastAsia="en-GB"/>
        </w:rPr>
        <w:t xml:space="preserve"> side-effect of this is that </w:t>
      </w:r>
      <w:r w:rsidRPr="00E76F6D">
        <w:rPr>
          <w:rFonts w:eastAsia="Times New Roman" w:cstheme="minorHAnsi"/>
          <w:lang w:eastAsia="en-GB"/>
        </w:rPr>
        <w:t xml:space="preserve">for many pupils in the school, their literacy levels are slightly lower than the national average, due to most pupils speaking Welsh as their first language. Therefore, the cross-curriculum </w:t>
      </w:r>
      <w:r w:rsidR="00D31DDE" w:rsidRPr="00E76F6D">
        <w:rPr>
          <w:rFonts w:eastAsia="Times New Roman" w:cstheme="minorHAnsi"/>
          <w:lang w:eastAsia="en-GB"/>
        </w:rPr>
        <w:t>r</w:t>
      </w:r>
      <w:r w:rsidRPr="00E76F6D">
        <w:rPr>
          <w:rFonts w:eastAsia="Times New Roman" w:cstheme="minorHAnsi"/>
          <w:lang w:eastAsia="en-GB"/>
        </w:rPr>
        <w:t xml:space="preserve">esponsibility </w:t>
      </w:r>
      <w:r w:rsidR="00D31DDE" w:rsidRPr="00E76F6D">
        <w:rPr>
          <w:rFonts w:eastAsia="Times New Roman" w:cstheme="minorHAnsi"/>
          <w:lang w:eastAsia="en-GB"/>
        </w:rPr>
        <w:t xml:space="preserve">of literacy is paramount for all teachers. By improving pupils’ literacy levels, pupils will hopefully perform better in all written exercises </w:t>
      </w:r>
      <w:r w:rsidR="00AF3211" w:rsidRPr="00E76F6D">
        <w:rPr>
          <w:rFonts w:eastAsia="Times New Roman" w:cstheme="minorHAnsi"/>
          <w:lang w:eastAsia="en-GB"/>
        </w:rPr>
        <w:t>across</w:t>
      </w:r>
      <w:r w:rsidR="00D31DDE" w:rsidRPr="00E76F6D">
        <w:rPr>
          <w:rFonts w:eastAsia="Times New Roman" w:cstheme="minorHAnsi"/>
          <w:lang w:eastAsia="en-GB"/>
        </w:rPr>
        <w:t xml:space="preserve"> all subjects. Consequently, there will be three of </w:t>
      </w:r>
      <w:r w:rsidR="000F09AC" w:rsidRPr="00E76F6D">
        <w:rPr>
          <w:rFonts w:eastAsia="Times New Roman" w:cstheme="minorHAnsi"/>
          <w:lang w:eastAsia="en-GB"/>
        </w:rPr>
        <w:t xml:space="preserve">Donaldson’s </w:t>
      </w:r>
      <w:r w:rsidR="00653D8C" w:rsidRPr="00E76F6D">
        <w:rPr>
          <w:rFonts w:eastAsia="Times New Roman" w:cstheme="minorHAnsi"/>
          <w:lang w:eastAsia="en-GB"/>
        </w:rPr>
        <w:t xml:space="preserve">twelve pedagogical principles explored in the text in much greater detail than </w:t>
      </w:r>
      <w:r w:rsidR="006F7E31" w:rsidRPr="00E76F6D">
        <w:rPr>
          <w:rFonts w:eastAsia="Times New Roman" w:cstheme="minorHAnsi"/>
          <w:lang w:eastAsia="en-GB"/>
        </w:rPr>
        <w:t>presented</w:t>
      </w:r>
      <w:r w:rsidR="00D31DDE" w:rsidRPr="00E76F6D">
        <w:rPr>
          <w:rFonts w:eastAsia="Times New Roman" w:cstheme="minorHAnsi"/>
          <w:lang w:eastAsia="en-GB"/>
        </w:rPr>
        <w:t xml:space="preserve"> </w:t>
      </w:r>
      <w:r w:rsidR="006F7E31" w:rsidRPr="00E76F6D">
        <w:rPr>
          <w:rFonts w:eastAsia="Times New Roman" w:cstheme="minorHAnsi"/>
          <w:lang w:eastAsia="en-GB"/>
        </w:rPr>
        <w:t>in the portfolio. The first principle to be explored will be, “Good Teaching and Learning means employing AFL principles</w:t>
      </w:r>
      <w:r w:rsidR="00AF3211" w:rsidRPr="00E76F6D">
        <w:rPr>
          <w:rFonts w:eastAsia="Times New Roman" w:cstheme="minorHAnsi"/>
          <w:lang w:eastAsia="en-GB"/>
        </w:rPr>
        <w:t xml:space="preserve">” </w:t>
      </w:r>
      <w:r w:rsidR="00AF3211" w:rsidRPr="00E76F6D">
        <w:rPr>
          <w:rFonts w:eastAsia="Times New Roman" w:cstheme="minorHAnsi"/>
          <w:b/>
          <w:bCs/>
          <w:lang w:eastAsia="en-GB"/>
        </w:rPr>
        <w:t xml:space="preserve">(Donaldson, 2015). </w:t>
      </w:r>
      <w:r w:rsidR="00AF3211" w:rsidRPr="00E76F6D">
        <w:rPr>
          <w:rFonts w:eastAsia="Times New Roman" w:cstheme="minorHAnsi"/>
          <w:lang w:eastAsia="en-GB"/>
        </w:rPr>
        <w:t>Assessment for Learning (AFL) is a formative feedback process</w:t>
      </w:r>
      <w:r w:rsidR="000A03FD" w:rsidRPr="00E76F6D">
        <w:rPr>
          <w:rFonts w:eastAsia="Times New Roman" w:cstheme="minorHAnsi"/>
          <w:lang w:eastAsia="en-GB"/>
        </w:rPr>
        <w:t xml:space="preserve">, where pupils are consistently given feedback throughout their tasks, rather than just at the end point of a task, where summative feedback, usually in the form of a grade, would be given. The second principle to be explored will be Good teaching and learning regularly reinforces Cross-Curriculum Responsibilities” </w:t>
      </w:r>
      <w:r w:rsidR="000A03FD" w:rsidRPr="00E76F6D">
        <w:rPr>
          <w:rFonts w:eastAsia="Times New Roman" w:cstheme="minorHAnsi"/>
          <w:b/>
          <w:bCs/>
          <w:lang w:eastAsia="en-GB"/>
        </w:rPr>
        <w:t>(Donaldson, 2015).</w:t>
      </w:r>
      <w:r w:rsidR="00E76F6D" w:rsidRPr="00E76F6D">
        <w:rPr>
          <w:rFonts w:eastAsia="Times New Roman" w:cstheme="minorHAnsi"/>
          <w:b/>
          <w:bCs/>
          <w:lang w:eastAsia="en-GB"/>
        </w:rPr>
        <w:t xml:space="preserve"> </w:t>
      </w:r>
      <w:r w:rsidR="00E76F6D" w:rsidRPr="00E76F6D">
        <w:rPr>
          <w:rFonts w:eastAsia="Times New Roman" w:cstheme="minorHAnsi"/>
          <w:lang w:eastAsia="en-GB"/>
        </w:rPr>
        <w:t>As previously stated, one of the biggest foci in this specific school is raising literacy levels, to the extent where there are designated literacy lessons twice a fortnight. However, as well as literacy, other cross-curricular responsibilities such as digital competency framework (DCF) and numeracy are also of the utmost importance on a national scale. Finally, the last principle to be explored is</w:t>
      </w:r>
      <w:r w:rsidR="00E76F6D">
        <w:rPr>
          <w:rFonts w:eastAsia="Times New Roman" w:cstheme="minorHAnsi"/>
          <w:lang w:eastAsia="en-GB"/>
        </w:rPr>
        <w:t>, “</w:t>
      </w:r>
      <w:r w:rsidR="00E76F6D">
        <w:rPr>
          <w:rFonts w:eastAsia="Times New Roman" w:cstheme="minorHAnsi"/>
          <w:shd w:val="clear" w:color="auto" w:fill="FFFFFF"/>
          <w:lang w:eastAsia="en-GB"/>
        </w:rPr>
        <w:t>A</w:t>
      </w:r>
      <w:r w:rsidR="00E76F6D" w:rsidRPr="00E76F6D">
        <w:rPr>
          <w:rFonts w:eastAsia="Times New Roman" w:cstheme="minorHAnsi"/>
          <w:shd w:val="clear" w:color="auto" w:fill="FFFFFF"/>
          <w:lang w:eastAsia="en-GB"/>
        </w:rPr>
        <w:t xml:space="preserve"> blend of </w:t>
      </w:r>
      <w:r w:rsidR="00BD04C7">
        <w:rPr>
          <w:rFonts w:eastAsia="Times New Roman" w:cstheme="minorHAnsi"/>
          <w:shd w:val="clear" w:color="auto" w:fill="FFFFFF"/>
          <w:lang w:eastAsia="en-GB"/>
        </w:rPr>
        <w:t xml:space="preserve">teaching </w:t>
      </w:r>
      <w:r w:rsidR="00E76F6D" w:rsidRPr="00E76F6D">
        <w:rPr>
          <w:rFonts w:eastAsia="Times New Roman" w:cstheme="minorHAnsi"/>
          <w:shd w:val="clear" w:color="auto" w:fill="FFFFFF"/>
          <w:lang w:eastAsia="en-GB"/>
        </w:rPr>
        <w:t>approaches including direct teaching</w:t>
      </w:r>
      <w:r w:rsidR="00E76F6D">
        <w:rPr>
          <w:rFonts w:eastAsia="Times New Roman" w:cstheme="minorHAnsi"/>
          <w:shd w:val="clear" w:color="auto" w:fill="FFFFFF"/>
          <w:lang w:eastAsia="en-GB"/>
        </w:rPr>
        <w:t xml:space="preserve">,” </w:t>
      </w:r>
      <w:r w:rsidR="00E76F6D" w:rsidRPr="00E76F6D">
        <w:rPr>
          <w:rFonts w:eastAsia="Times New Roman" w:cstheme="minorHAnsi"/>
          <w:b/>
          <w:bCs/>
          <w:lang w:eastAsia="en-GB"/>
        </w:rPr>
        <w:t>(Donaldson, 2015).</w:t>
      </w:r>
      <w:r w:rsidR="00E76F6D">
        <w:rPr>
          <w:rFonts w:eastAsia="Times New Roman" w:cstheme="minorHAnsi"/>
          <w:b/>
          <w:bCs/>
          <w:lang w:eastAsia="en-GB"/>
        </w:rPr>
        <w:t xml:space="preserve"> </w:t>
      </w:r>
      <w:r w:rsidR="00E76F6D">
        <w:rPr>
          <w:rFonts w:eastAsia="Times New Roman" w:cstheme="minorHAnsi"/>
          <w:lang w:eastAsia="en-GB"/>
        </w:rPr>
        <w:t xml:space="preserve">This principle was chosen </w:t>
      </w:r>
      <w:r w:rsidR="00BD04C7">
        <w:rPr>
          <w:rFonts w:eastAsia="Times New Roman" w:cstheme="minorHAnsi"/>
          <w:lang w:eastAsia="en-GB"/>
        </w:rPr>
        <w:t xml:space="preserve">as the style of teaching that is adapted can influence the amount of information that a pupil can retain. All three principles will be explored in great detail, with the necessary examples provided throughout.  </w:t>
      </w:r>
    </w:p>
    <w:p w:rsidR="000A03FD" w:rsidRDefault="000A03FD" w:rsidP="000A03FD">
      <w:pPr>
        <w:rPr>
          <w:rFonts w:eastAsia="Times New Roman" w:cstheme="minorHAnsi"/>
          <w:lang w:eastAsia="en-GB"/>
        </w:rPr>
      </w:pPr>
    </w:p>
    <w:p w:rsidR="00C3523B" w:rsidRDefault="00C3523B" w:rsidP="000A03FD">
      <w:pPr>
        <w:rPr>
          <w:rFonts w:eastAsia="Times New Roman" w:cstheme="minorHAnsi"/>
          <w:lang w:eastAsia="en-GB"/>
        </w:rPr>
      </w:pPr>
    </w:p>
    <w:p w:rsidR="00C3523B" w:rsidRDefault="00C3523B" w:rsidP="00C3523B">
      <w:pPr>
        <w:rPr>
          <w:rFonts w:ascii="Calibri" w:eastAsia="Times New Roman" w:hAnsi="Calibri" w:cs="Calibri"/>
          <w:lang w:eastAsia="en-GB"/>
        </w:rPr>
      </w:pPr>
      <w:r>
        <w:rPr>
          <w:rFonts w:ascii="Calibri" w:eastAsia="Times New Roman" w:hAnsi="Calibri" w:cs="Calibri"/>
          <w:lang w:eastAsia="en-GB"/>
        </w:rPr>
        <w:t xml:space="preserve">Assessment for learning encompasses a formative assessment approach to pupils’ work and understanding. In contrast, an assessment of learning approach has a much greater focus on the summative aspects of pupils’ work. </w:t>
      </w:r>
      <w:r w:rsidRPr="0093745B">
        <w:rPr>
          <w:rFonts w:ascii="Calibri" w:eastAsia="Times New Roman" w:hAnsi="Calibri" w:cs="Calibri"/>
          <w:lang w:eastAsia="en-GB"/>
        </w:rPr>
        <w:t>There has been consistent trend </w:t>
      </w:r>
      <w:r>
        <w:rPr>
          <w:rFonts w:ascii="Calibri" w:eastAsia="Times New Roman" w:hAnsi="Calibri" w:cs="Calibri"/>
          <w:lang w:eastAsia="en-GB"/>
        </w:rPr>
        <w:t xml:space="preserve">led by educators and researchers, namely Dylan Wiliam, that the education system has for too long, focussed on summative assessments. These summative assessments have been primarily used to gauge pupils’ abilities. For example, the scores pupils obtain in an end of year exam will determine their class for the following year, regardless of previous marks achieved in that subject. In other words, pupils’ attainment throughout their education, has on the whole, been assessed at the completion of tasks and schemes of work. Moreover, Wiliam states that at some point, “All teachers have to undertake some summative assessment, for example to report to parents, and to produce end-of-year reports as classes are due to move on to new teachers” </w:t>
      </w:r>
      <w:r>
        <w:rPr>
          <w:rFonts w:ascii="Calibri" w:eastAsia="Times New Roman" w:hAnsi="Calibri" w:cs="Calibri"/>
          <w:b/>
          <w:bCs/>
          <w:lang w:eastAsia="en-GB"/>
        </w:rPr>
        <w:t xml:space="preserve">(Wiliam. D &amp; Black. P, 1998. P. 17). </w:t>
      </w:r>
      <w:r>
        <w:rPr>
          <w:rFonts w:ascii="Calibri" w:eastAsia="Times New Roman" w:hAnsi="Calibri" w:cs="Calibri"/>
          <w:lang w:eastAsia="en-GB"/>
        </w:rPr>
        <w:t xml:space="preserve">However, the need for a more formative assessment approach for pupils is paramount. Conversely, Cowie and Bell (1999) define formative assessments as “The process used by teachers and students to recognise and respond to student learning in order to enhance that learning, during the learning.” </w:t>
      </w:r>
      <w:r>
        <w:rPr>
          <w:rFonts w:ascii="Calibri" w:eastAsia="Times New Roman" w:hAnsi="Calibri" w:cs="Calibri"/>
          <w:b/>
          <w:bCs/>
          <w:lang w:eastAsia="en-GB"/>
        </w:rPr>
        <w:t xml:space="preserve">(Cowie. B &amp; Bell. B, 1999. P. 101). </w:t>
      </w:r>
      <w:r>
        <w:rPr>
          <w:rFonts w:ascii="Calibri" w:eastAsia="Times New Roman" w:hAnsi="Calibri" w:cs="Calibri"/>
          <w:lang w:eastAsia="en-GB"/>
        </w:rPr>
        <w:t>The interesting aspect of Cowie and Bell’s definition is that they consider formative assessment a process, rather than just a defining endpoint. This element can be seen in Appendix 3, where there is a clear success criteria checklist for pupils to adhere to during their task.</w:t>
      </w:r>
    </w:p>
    <w:p w:rsidR="00C3523B" w:rsidRDefault="00C3523B" w:rsidP="00C3523B">
      <w:pPr>
        <w:rPr>
          <w:rFonts w:ascii="Calibri" w:eastAsia="Times New Roman" w:hAnsi="Calibri" w:cs="Calibri"/>
          <w:bCs/>
          <w:lang w:eastAsia="en-GB"/>
        </w:rPr>
      </w:pPr>
      <w:r>
        <w:rPr>
          <w:rFonts w:ascii="Calibri" w:eastAsia="Times New Roman" w:hAnsi="Calibri" w:cs="Calibri"/>
          <w:lang w:eastAsia="en-GB"/>
        </w:rPr>
        <w:lastRenderedPageBreak/>
        <w:tab/>
        <w:t xml:space="preserve">This process-like definition is what informed much of the teaching practice that was undertaken in the examples shown in the attached portfolio. Despite that all three examples show different aspects of the assessment for learning approach, by consistently informing pupils of their current attainment and encouraging them in ways in which to improve said attainment, pupils work collaboratively one another and with their teacher. For example, in Appendix 2, pupils worked collaboratively with each other to peer mark their work. As clarified by Topping, peer marking is used because, “The intent is to help students help each other plan their learning, identify their strengths and weaknesses, target areas for remedial action and develop personal and professional skills” </w:t>
      </w:r>
      <w:r>
        <w:rPr>
          <w:rFonts w:ascii="Calibri" w:eastAsia="Times New Roman" w:hAnsi="Calibri" w:cs="Calibri"/>
          <w:b/>
          <w:bCs/>
          <w:lang w:eastAsia="en-GB"/>
        </w:rPr>
        <w:t xml:space="preserve">(Topping, K. 2009. P. 20). </w:t>
      </w:r>
      <w:r>
        <w:rPr>
          <w:rFonts w:ascii="Calibri" w:eastAsia="Times New Roman" w:hAnsi="Calibri" w:cs="Calibri"/>
          <w:lang w:eastAsia="en-GB"/>
        </w:rPr>
        <w:t xml:space="preserve">By ensuring that the success criteria was displayed throughout the task on the whiteboard as well as paper copies having been provided for pupils, meant that all pupils were aware of how to successfully complete their work. Furthermore, by including the peer assessment element to the lesson, guaranteed that pupils took on a more critical role and were able to see from the marker’s perspective in what is expected of them. In a report published by the Welsh Government in 2010, two of the key aspects of peer marking that they outlined was the, “The sharing and understanding of learning intentions and…recognising good quality work” </w:t>
      </w:r>
      <w:r>
        <w:rPr>
          <w:rFonts w:ascii="Calibri" w:eastAsia="Times New Roman" w:hAnsi="Calibri" w:cs="Calibri"/>
          <w:b/>
          <w:lang w:eastAsia="en-GB"/>
        </w:rPr>
        <w:t xml:space="preserve">(Welsh Government Report, 2010. Page 8). </w:t>
      </w:r>
      <w:r>
        <w:rPr>
          <w:rFonts w:ascii="Calibri" w:eastAsia="Times New Roman" w:hAnsi="Calibri" w:cs="Calibri"/>
          <w:bCs/>
          <w:lang w:eastAsia="en-GB"/>
        </w:rPr>
        <w:t xml:space="preserve">These two principles clearly outline the foundation of a successful learning environment, one in which encourages independent and creative pupils. </w:t>
      </w:r>
    </w:p>
    <w:p w:rsidR="00C3523B" w:rsidRPr="00E76F6D" w:rsidRDefault="00C3523B" w:rsidP="000A03FD">
      <w:pPr>
        <w:rPr>
          <w:rFonts w:eastAsia="Times New Roman" w:cstheme="minorHAnsi"/>
          <w:lang w:eastAsia="en-GB"/>
        </w:rPr>
      </w:pPr>
      <w:r w:rsidRPr="008D4731">
        <w:rPr>
          <w:rFonts w:ascii="Calibri" w:eastAsia="Times New Roman" w:hAnsi="Calibri" w:cs="Calibri"/>
          <w:bCs/>
          <w:lang w:eastAsia="en-GB"/>
        </w:rPr>
        <w:tab/>
      </w:r>
      <w:r w:rsidRPr="00935B42">
        <w:rPr>
          <w:rFonts w:eastAsia="Times New Roman" w:cstheme="minorHAnsi"/>
          <w:bCs/>
          <w:lang w:eastAsia="en-GB"/>
        </w:rPr>
        <w:t>However, not all educationalists agree that peer assessment is that effective in the classroom, for example in a recent study it was found that, “</w:t>
      </w:r>
      <w:r w:rsidRPr="00935B42">
        <w:rPr>
          <w:rFonts w:eastAsia="Times New Roman" w:cstheme="minorHAnsi"/>
          <w:lang w:eastAsia="en-GB"/>
        </w:rPr>
        <w:t>Additional mechanisms are needed in peer assessment… having teaching staff moderate the marks for summative assessment purposes</w:t>
      </w:r>
      <w:r>
        <w:rPr>
          <w:rFonts w:eastAsia="Times New Roman" w:cstheme="minorHAnsi"/>
          <w:lang w:eastAsia="en-GB"/>
        </w:rPr>
        <w:t xml:space="preserve">” </w:t>
      </w:r>
      <w:r>
        <w:rPr>
          <w:rFonts w:eastAsia="Times New Roman" w:cstheme="minorHAnsi"/>
          <w:b/>
          <w:bCs/>
          <w:lang w:eastAsia="en-GB"/>
        </w:rPr>
        <w:t xml:space="preserve">(Bhavani. S, Mohammed Badrul. M &amp; Dessalegn Getie, M. 2018). </w:t>
      </w:r>
      <w:r>
        <w:rPr>
          <w:rFonts w:eastAsia="Times New Roman" w:cstheme="minorHAnsi"/>
          <w:lang w:eastAsia="en-GB"/>
        </w:rPr>
        <w:t xml:space="preserve">Therefore, this viewpoint coincides with that of Wiliam’s where he claims that a classroom cannot function on a purely formative assessment basis, nor solely on a summative basis either. There is an occasion for both forms of assessment in the classroom. </w:t>
      </w:r>
    </w:p>
    <w:p w:rsidR="00EF126A" w:rsidRDefault="005677B9">
      <w:pPr>
        <w:rPr>
          <w:rFonts w:eastAsia="Times New Roman" w:cstheme="minorHAnsi"/>
          <w:lang w:eastAsia="en-GB"/>
        </w:rPr>
      </w:pPr>
    </w:p>
    <w:p w:rsidR="00CE476C" w:rsidRDefault="00CE476C" w:rsidP="00CE476C">
      <w:pPr>
        <w:pStyle w:val="NormalWeb"/>
        <w:shd w:val="clear" w:color="auto" w:fill="FFFFFF"/>
        <w:rPr>
          <w:rFonts w:asciiTheme="minorHAnsi" w:hAnsiTheme="minorHAnsi" w:cstheme="minorHAnsi"/>
        </w:rPr>
      </w:pPr>
      <w:r w:rsidRPr="00A56FDD">
        <w:rPr>
          <w:rFonts w:asciiTheme="minorHAnsi" w:hAnsiTheme="minorHAnsi" w:cstheme="minorHAnsi"/>
        </w:rPr>
        <w:t xml:space="preserve">The second pedagogical principle that </w:t>
      </w:r>
      <w:r>
        <w:rPr>
          <w:rFonts w:asciiTheme="minorHAnsi" w:hAnsiTheme="minorHAnsi" w:cstheme="minorHAnsi"/>
        </w:rPr>
        <w:t>is illustrated in the portfolio is the cross-curricular responsibilities, also known as curriculum integration, that are now expected in all effective learning environments</w:t>
      </w:r>
      <w:r w:rsidRPr="00A56FDD">
        <w:rPr>
          <w:rFonts w:asciiTheme="minorHAnsi" w:hAnsiTheme="minorHAnsi" w:cstheme="minorHAnsi"/>
        </w:rPr>
        <w:t>. The rationale behind this principle</w:t>
      </w:r>
      <w:r>
        <w:rPr>
          <w:rFonts w:asciiTheme="minorHAnsi" w:hAnsiTheme="minorHAnsi" w:cstheme="minorHAnsi"/>
        </w:rPr>
        <w:t xml:space="preserve"> is</w:t>
      </w:r>
      <w:r w:rsidRPr="00A56FDD">
        <w:rPr>
          <w:rFonts w:asciiTheme="minorHAnsi" w:hAnsiTheme="minorHAnsi" w:cstheme="minorHAnsi"/>
        </w:rPr>
        <w:t xml:space="preserve"> outline</w:t>
      </w:r>
      <w:r>
        <w:rPr>
          <w:rFonts w:asciiTheme="minorHAnsi" w:hAnsiTheme="minorHAnsi" w:cstheme="minorHAnsi"/>
        </w:rPr>
        <w:t>d</w:t>
      </w:r>
      <w:r w:rsidRPr="00A56FDD">
        <w:rPr>
          <w:rFonts w:asciiTheme="minorHAnsi" w:hAnsiTheme="minorHAnsi" w:cstheme="minorHAnsi"/>
        </w:rPr>
        <w:t xml:space="preserve"> in Donaldson’s </w:t>
      </w:r>
      <w:r w:rsidRPr="00A56FDD">
        <w:rPr>
          <w:rFonts w:asciiTheme="minorHAnsi" w:hAnsiTheme="minorHAnsi" w:cstheme="minorHAnsi"/>
          <w:i/>
          <w:iCs/>
        </w:rPr>
        <w:t>Success Futures</w:t>
      </w:r>
      <w:r w:rsidRPr="00A56FDD">
        <w:rPr>
          <w:rFonts w:asciiTheme="minorHAnsi" w:hAnsiTheme="minorHAnsi" w:cstheme="minorHAnsi"/>
        </w:rPr>
        <w:t xml:space="preserve">, where he states, </w:t>
      </w:r>
      <w:r>
        <w:rPr>
          <w:rFonts w:asciiTheme="minorHAnsi" w:hAnsiTheme="minorHAnsi" w:cstheme="minorHAnsi"/>
        </w:rPr>
        <w:t>“</w:t>
      </w:r>
      <w:r w:rsidRPr="00A56FDD">
        <w:rPr>
          <w:rFonts w:asciiTheme="minorHAnsi" w:hAnsiTheme="minorHAnsi" w:cstheme="minorHAnsi"/>
        </w:rPr>
        <w:t>The challenge for teaching posed by the Cross-curriculum Responsibilities will be to maintain the focus on these responsibilities within teaching and learning so that their application becomes natural and authentic rather than an add-on</w:t>
      </w:r>
      <w:r>
        <w:rPr>
          <w:rFonts w:asciiTheme="minorHAnsi" w:hAnsiTheme="minorHAnsi" w:cstheme="minorHAnsi"/>
        </w:rPr>
        <w:t xml:space="preserve">” </w:t>
      </w:r>
      <w:r>
        <w:rPr>
          <w:rFonts w:asciiTheme="minorHAnsi" w:hAnsiTheme="minorHAnsi" w:cstheme="minorHAnsi"/>
          <w:b/>
          <w:bCs/>
        </w:rPr>
        <w:t xml:space="preserve">(Donaldson. G, 2016: 69). </w:t>
      </w:r>
      <w:r>
        <w:rPr>
          <w:rFonts w:asciiTheme="minorHAnsi" w:hAnsiTheme="minorHAnsi" w:cstheme="minorHAnsi"/>
        </w:rPr>
        <w:t xml:space="preserve">There are many challenges that face teachers today, and incorporating elements of an Area of Learning and Experience (AoLE) that isn’t their primary subject is perhaps one of the most daunting. However, as illustrated in Appendix 4, the Digital Competency Framework (DCF) was carried out with great success in this specific class. Pupils had used the computer to type their hand written letters onto their </w:t>
      </w:r>
      <w:r>
        <w:rPr>
          <w:rFonts w:asciiTheme="minorHAnsi" w:hAnsiTheme="minorHAnsi" w:cstheme="minorHAnsi"/>
          <w:i/>
          <w:iCs/>
        </w:rPr>
        <w:t>Hwb</w:t>
      </w:r>
      <w:r>
        <w:rPr>
          <w:rFonts w:asciiTheme="minorHAnsi" w:hAnsiTheme="minorHAnsi" w:cstheme="minorHAnsi"/>
        </w:rPr>
        <w:t xml:space="preserve"> accounts, where they were later printed out and used as a wall display. </w:t>
      </w:r>
    </w:p>
    <w:p w:rsidR="00CE476C" w:rsidRPr="004B1F73" w:rsidRDefault="00CE476C" w:rsidP="00CE476C">
      <w:pPr>
        <w:pStyle w:val="NormalWeb"/>
        <w:rPr>
          <w:rFonts w:asciiTheme="minorHAnsi" w:hAnsiTheme="minorHAnsi" w:cstheme="minorHAnsi"/>
          <w:sz w:val="32"/>
          <w:szCs w:val="32"/>
        </w:rPr>
      </w:pPr>
      <w:r>
        <w:rPr>
          <w:rFonts w:asciiTheme="minorHAnsi" w:hAnsiTheme="minorHAnsi" w:cstheme="minorHAnsi"/>
        </w:rPr>
        <w:tab/>
        <w:t>Moreover, the need for an integrated curriculum was  highlighted as a point of urgency in The Rose Review, published in 2006. The review claimed that an integrated curriculum would have a number of benefits, one of which stated that</w:t>
      </w:r>
      <w:r w:rsidRPr="00DD105B">
        <w:rPr>
          <w:rFonts w:asciiTheme="minorHAnsi" w:hAnsiTheme="minorHAnsi" w:cstheme="minorHAnsi"/>
        </w:rPr>
        <w:t>, “</w:t>
      </w:r>
      <w:r>
        <w:rPr>
          <w:rFonts w:asciiTheme="minorHAnsi" w:hAnsiTheme="minorHAnsi" w:cstheme="minorHAnsi"/>
        </w:rPr>
        <w:t>C</w:t>
      </w:r>
      <w:r w:rsidRPr="00DD105B">
        <w:rPr>
          <w:rFonts w:asciiTheme="minorHAnsi" w:hAnsiTheme="minorHAnsi" w:cstheme="minorHAnsi"/>
        </w:rPr>
        <w:t>ross-curricular work will ease overload</w:t>
      </w:r>
      <w:r>
        <w:rPr>
          <w:rFonts w:asciiTheme="minorHAnsi" w:hAnsiTheme="minorHAnsi" w:cstheme="minorHAnsi"/>
        </w:rPr>
        <w:t>,</w:t>
      </w:r>
      <w:r w:rsidRPr="00DD105B">
        <w:rPr>
          <w:rFonts w:asciiTheme="minorHAnsi" w:hAnsiTheme="minorHAnsi" w:cstheme="minorHAnsi"/>
        </w:rPr>
        <w:t xml:space="preserve"> in that links and overlaps between subjects are possible</w:t>
      </w:r>
      <w:r>
        <w:rPr>
          <w:rFonts w:asciiTheme="minorHAnsi" w:hAnsiTheme="minorHAnsi" w:cstheme="minorHAnsi"/>
        </w:rPr>
        <w:t xml:space="preserve">” </w:t>
      </w:r>
      <w:r>
        <w:rPr>
          <w:rFonts w:asciiTheme="minorHAnsi" w:hAnsiTheme="minorHAnsi" w:cstheme="minorHAnsi"/>
          <w:b/>
          <w:bCs/>
        </w:rPr>
        <w:t>(Silcock, P. 2010: 349).</w:t>
      </w:r>
      <w:r>
        <w:rPr>
          <w:rFonts w:asciiTheme="minorHAnsi" w:hAnsiTheme="minorHAnsi" w:cstheme="minorHAnsi"/>
        </w:rPr>
        <w:t xml:space="preserve"> Conversely, there are many educationalists who agree with the view of Sir Jim Rose, such as Silcock. He asserts that, “</w:t>
      </w:r>
      <w:r w:rsidRPr="00E82D10">
        <w:rPr>
          <w:rFonts w:asciiTheme="minorHAnsi" w:hAnsiTheme="minorHAnsi" w:cstheme="minorHAnsi"/>
          <w:szCs w:val="22"/>
        </w:rPr>
        <w:t xml:space="preserve">An ever-rising tide of legislation since 1989 testifies </w:t>
      </w:r>
      <w:r w:rsidRPr="00E82D10">
        <w:rPr>
          <w:rFonts w:asciiTheme="minorHAnsi" w:hAnsiTheme="minorHAnsi" w:cstheme="minorHAnsi"/>
          <w:szCs w:val="22"/>
        </w:rPr>
        <w:lastRenderedPageBreak/>
        <w:t>to the problems posed for pupils and teachers by an overloaded curriculum</w:t>
      </w:r>
      <w:r>
        <w:rPr>
          <w:rFonts w:asciiTheme="minorHAnsi" w:hAnsiTheme="minorHAnsi" w:cstheme="minorHAnsi"/>
          <w:szCs w:val="22"/>
        </w:rPr>
        <w:t xml:space="preserve">” </w:t>
      </w:r>
      <w:r>
        <w:rPr>
          <w:rFonts w:asciiTheme="minorHAnsi" w:hAnsiTheme="minorHAnsi" w:cstheme="minorHAnsi"/>
          <w:b/>
          <w:bCs/>
        </w:rPr>
        <w:t>(Silcock, P. 2010: 345</w:t>
      </w:r>
      <w:r w:rsidRPr="007134E4">
        <w:rPr>
          <w:rFonts w:asciiTheme="minorHAnsi" w:hAnsiTheme="minorHAnsi" w:cstheme="minorHAnsi"/>
          <w:b/>
          <w:bCs/>
        </w:rPr>
        <w:t>).</w:t>
      </w:r>
      <w:r w:rsidRPr="007134E4">
        <w:rPr>
          <w:rFonts w:asciiTheme="minorHAnsi" w:hAnsiTheme="minorHAnsi" w:cstheme="minorHAnsi"/>
        </w:rPr>
        <w:t xml:space="preserve"> However, Silcock does </w:t>
      </w:r>
      <w:r>
        <w:rPr>
          <w:rFonts w:asciiTheme="minorHAnsi" w:hAnsiTheme="minorHAnsi" w:cstheme="minorHAnsi"/>
        </w:rPr>
        <w:t>also state</w:t>
      </w:r>
      <w:r w:rsidRPr="007134E4">
        <w:rPr>
          <w:rFonts w:asciiTheme="minorHAnsi" w:hAnsiTheme="minorHAnsi" w:cstheme="minorHAnsi"/>
        </w:rPr>
        <w:t xml:space="preserve"> his reservations over both the time and resources that will be made available to teachers to introduce these new standards. The idea of the over-prescription of specific curricula is key to the evolution of the new cross-curricular responsibilities that are expected of educators. Evidently these links can be stated across similar subjects within an AoLE. For instance, explicit links can be made throughout the Humanities AoLE, which include Geography, History and RE  but will be harder to implement across different AoLEs, such as Expressive Arts and Maths and Numeracy. </w:t>
      </w:r>
      <w:r>
        <w:rPr>
          <w:rFonts w:asciiTheme="minorHAnsi" w:hAnsiTheme="minorHAnsi" w:cstheme="minorHAnsi"/>
        </w:rPr>
        <w:t xml:space="preserve">This is claimed by Hayes, when he notes the shortcomings of a cross-curricular approach. He states, </w:t>
      </w:r>
      <w:r>
        <w:rPr>
          <w:rFonts w:asciiTheme="minorHAnsi" w:hAnsiTheme="minorHAnsi" w:cstheme="minorHAnsi"/>
          <w:szCs w:val="22"/>
        </w:rPr>
        <w:t>“C</w:t>
      </w:r>
      <w:r w:rsidRPr="006812B9">
        <w:rPr>
          <w:rFonts w:asciiTheme="minorHAnsi" w:hAnsiTheme="minorHAnsi" w:cstheme="minorHAnsi"/>
          <w:szCs w:val="22"/>
        </w:rPr>
        <w:t>ross-curricular links between some subjects are more natural than they are between others</w:t>
      </w:r>
      <w:r>
        <w:rPr>
          <w:rFonts w:asciiTheme="minorHAnsi" w:hAnsiTheme="minorHAnsi" w:cstheme="minorHAnsi"/>
          <w:szCs w:val="22"/>
        </w:rPr>
        <w:t xml:space="preserve">” </w:t>
      </w:r>
      <w:r>
        <w:rPr>
          <w:rFonts w:asciiTheme="minorHAnsi" w:hAnsiTheme="minorHAnsi" w:cstheme="minorHAnsi"/>
          <w:b/>
          <w:bCs/>
          <w:szCs w:val="22"/>
        </w:rPr>
        <w:t xml:space="preserve">(Hayes, D. 2010: 384). </w:t>
      </w:r>
    </w:p>
    <w:p w:rsidR="00CE476C" w:rsidRDefault="00CE476C" w:rsidP="004D3321">
      <w:pPr>
        <w:pStyle w:val="NormalWeb"/>
        <w:ind w:firstLine="720"/>
        <w:rPr>
          <w:rFonts w:asciiTheme="minorHAnsi" w:hAnsiTheme="minorHAnsi" w:cstheme="minorHAnsi"/>
          <w:b/>
          <w:bCs/>
          <w:sz w:val="32"/>
          <w:szCs w:val="32"/>
        </w:rPr>
      </w:pPr>
      <w:r>
        <w:rPr>
          <w:rFonts w:asciiTheme="minorHAnsi" w:hAnsiTheme="minorHAnsi" w:cstheme="minorHAnsi"/>
        </w:rPr>
        <w:t>On the other hand,</w:t>
      </w:r>
      <w:r w:rsidRPr="007134E4">
        <w:rPr>
          <w:rFonts w:asciiTheme="minorHAnsi" w:hAnsiTheme="minorHAnsi" w:cstheme="minorHAnsi"/>
        </w:rPr>
        <w:t xml:space="preserve"> skills such as literacy are beneficial across all areas of learning. This is stated by Donaldson in </w:t>
      </w:r>
      <w:r w:rsidRPr="007134E4">
        <w:rPr>
          <w:rFonts w:asciiTheme="minorHAnsi" w:hAnsiTheme="minorHAnsi" w:cstheme="minorHAnsi"/>
          <w:i/>
          <w:iCs/>
        </w:rPr>
        <w:t>Successful Futures</w:t>
      </w:r>
      <w:r w:rsidRPr="007134E4">
        <w:rPr>
          <w:rFonts w:asciiTheme="minorHAnsi" w:hAnsiTheme="minorHAnsi" w:cstheme="minorHAnsi"/>
        </w:rPr>
        <w:t xml:space="preserve">. </w:t>
      </w:r>
      <w:r>
        <w:rPr>
          <w:rFonts w:asciiTheme="minorHAnsi" w:hAnsiTheme="minorHAnsi" w:cstheme="minorHAnsi"/>
        </w:rPr>
        <w:t>“</w:t>
      </w:r>
      <w:r w:rsidRPr="007134E4">
        <w:rPr>
          <w:rFonts w:asciiTheme="minorHAnsi" w:hAnsiTheme="minorHAnsi" w:cstheme="minorHAnsi"/>
        </w:rPr>
        <w:t>Competence in literacy, including competence in the spoken word, syntax and spelling, is essential for learning across the curriculum, not least because of the fundamental role of language in thinking</w:t>
      </w:r>
      <w:r>
        <w:rPr>
          <w:rFonts w:asciiTheme="minorHAnsi" w:hAnsiTheme="minorHAnsi" w:cstheme="minorHAnsi"/>
        </w:rPr>
        <w:t xml:space="preserve">” </w:t>
      </w:r>
      <w:r>
        <w:rPr>
          <w:rFonts w:asciiTheme="minorHAnsi" w:hAnsiTheme="minorHAnsi" w:cstheme="minorHAnsi"/>
          <w:b/>
          <w:bCs/>
        </w:rPr>
        <w:t xml:space="preserve">(Donaldson. G, 2015: 40). </w:t>
      </w:r>
      <w:r>
        <w:rPr>
          <w:rFonts w:asciiTheme="minorHAnsi" w:hAnsiTheme="minorHAnsi" w:cstheme="minorHAnsi"/>
        </w:rPr>
        <w:t>An example of cross-curricular literacy can be seen in Appendix 5 and 6, where different tasks were set with the intention to improve pupils’ sentence structure and spelling. Specifically, in Appendix 5, by focussing on the basic structure and punctuation in a short, simple sentence will enhance pupils’ performance across all AoLEs. This example lesson was held in a literacy-specific lesson, that occurs weekly; with the intention of improving pupils’ literacy skills.</w:t>
      </w:r>
    </w:p>
    <w:p w:rsidR="004D3321" w:rsidRPr="004D3321" w:rsidRDefault="004D3321" w:rsidP="004D3321">
      <w:pPr>
        <w:pStyle w:val="NormalWeb"/>
        <w:rPr>
          <w:rFonts w:asciiTheme="minorHAnsi" w:hAnsiTheme="minorHAnsi" w:cstheme="minorHAnsi"/>
          <w:b/>
          <w:bCs/>
          <w:sz w:val="32"/>
          <w:szCs w:val="32"/>
        </w:rPr>
      </w:pPr>
    </w:p>
    <w:p w:rsidR="004D3321" w:rsidRDefault="004D3321" w:rsidP="004D3321">
      <w:pPr>
        <w:pStyle w:val="NormalWeb"/>
        <w:rPr>
          <w:rFonts w:asciiTheme="minorHAnsi" w:hAnsiTheme="minorHAnsi" w:cstheme="minorHAnsi"/>
        </w:rPr>
      </w:pPr>
      <w:r w:rsidRPr="00D36B38">
        <w:rPr>
          <w:rFonts w:asciiTheme="minorHAnsi" w:hAnsiTheme="minorHAnsi" w:cstheme="minorHAnsi"/>
        </w:rPr>
        <w:t>The third pedagogical principle to be discussed is, “</w:t>
      </w:r>
      <w:r w:rsidRPr="00D36B38">
        <w:rPr>
          <w:rFonts w:asciiTheme="minorHAnsi" w:hAnsiTheme="minorHAnsi" w:cstheme="minorHAnsi"/>
          <w:shd w:val="clear" w:color="auto" w:fill="FFFFFF"/>
        </w:rPr>
        <w:t xml:space="preserve">Good teaching and learning means employing a blend of approaches including direct teaching.” </w:t>
      </w:r>
      <w:r w:rsidRPr="00D36B38">
        <w:rPr>
          <w:rFonts w:asciiTheme="minorHAnsi" w:hAnsiTheme="minorHAnsi" w:cstheme="minorHAnsi"/>
          <w:b/>
          <w:bCs/>
          <w:shd w:val="clear" w:color="auto" w:fill="FFFFFF"/>
        </w:rPr>
        <w:t xml:space="preserve">(Donaldson, 2015). </w:t>
      </w:r>
      <w:r w:rsidRPr="00D36B38">
        <w:rPr>
          <w:rFonts w:asciiTheme="minorHAnsi" w:hAnsiTheme="minorHAnsi" w:cstheme="minorHAnsi"/>
        </w:rPr>
        <w:t xml:space="preserve">There is much contention over the most effective teaching style in a classroom environment. Arguably, there isn’t one, as teachers are expected to, now more than ever, adapt their teaching style depending on multiple factors. As Woods states, one such factor is the general mood of both pupils and the teacher. “Children interpret the mood of the teacher and the teacher interprets the mood of the children” </w:t>
      </w:r>
      <w:r w:rsidRPr="00D36B38">
        <w:rPr>
          <w:rFonts w:asciiTheme="minorHAnsi" w:hAnsiTheme="minorHAnsi" w:cstheme="minorHAnsi"/>
          <w:b/>
          <w:bCs/>
        </w:rPr>
        <w:t xml:space="preserve">(Wood, P. 2012: 51). </w:t>
      </w:r>
      <w:r w:rsidRPr="00D36B38">
        <w:rPr>
          <w:rFonts w:asciiTheme="minorHAnsi" w:hAnsiTheme="minorHAnsi" w:cstheme="minorHAnsi"/>
        </w:rPr>
        <w:t xml:space="preserve">Similarly, a hotly-debated style of teaching is the more traditional method of ‘chalk and talk’; where the teacher would simply inform the class of all the necessary information in a presentation-style format from the front of the class using the white board. Moreover, an adversary of the ‘chalk and talk’ method is Barlow, who asserts that, </w:t>
      </w:r>
      <w:r>
        <w:rPr>
          <w:rFonts w:asciiTheme="minorHAnsi" w:hAnsiTheme="minorHAnsi" w:cstheme="minorHAnsi"/>
        </w:rPr>
        <w:t>“T</w:t>
      </w:r>
      <w:r w:rsidRPr="00D36B38">
        <w:rPr>
          <w:rFonts w:asciiTheme="minorHAnsi" w:hAnsiTheme="minorHAnsi" w:cstheme="minorHAnsi"/>
        </w:rPr>
        <w:t>he use of 'chalk and talk' as</w:t>
      </w:r>
      <w:r>
        <w:rPr>
          <w:rFonts w:asciiTheme="minorHAnsi" w:hAnsiTheme="minorHAnsi" w:cstheme="minorHAnsi"/>
        </w:rPr>
        <w:t xml:space="preserve"> </w:t>
      </w:r>
      <w:r w:rsidRPr="00D36B38">
        <w:rPr>
          <w:rFonts w:asciiTheme="minorHAnsi" w:hAnsiTheme="minorHAnsi" w:cstheme="minorHAnsi"/>
        </w:rPr>
        <w:t>a</w:t>
      </w:r>
      <w:r>
        <w:rPr>
          <w:rFonts w:asciiTheme="minorHAnsi" w:hAnsiTheme="minorHAnsi" w:cstheme="minorHAnsi"/>
        </w:rPr>
        <w:t xml:space="preserve"> </w:t>
      </w:r>
      <w:r w:rsidRPr="00D36B38">
        <w:rPr>
          <w:rFonts w:asciiTheme="minorHAnsi" w:hAnsiTheme="minorHAnsi" w:cstheme="minorHAnsi"/>
        </w:rPr>
        <w:t>teaching methodology created</w:t>
      </w:r>
      <w:r>
        <w:rPr>
          <w:rFonts w:asciiTheme="minorHAnsi" w:hAnsiTheme="minorHAnsi" w:cstheme="minorHAnsi"/>
        </w:rPr>
        <w:t xml:space="preserve"> </w:t>
      </w:r>
      <w:r w:rsidRPr="00D36B38">
        <w:rPr>
          <w:rFonts w:asciiTheme="minorHAnsi" w:hAnsiTheme="minorHAnsi" w:cstheme="minorHAnsi"/>
        </w:rPr>
        <w:t>an environment where students were passive recipients of information</w:t>
      </w:r>
      <w:r>
        <w:rPr>
          <w:rFonts w:asciiTheme="minorHAnsi" w:hAnsiTheme="minorHAnsi" w:cstheme="minorHAnsi"/>
        </w:rPr>
        <w:t xml:space="preserve">” </w:t>
      </w:r>
      <w:r>
        <w:rPr>
          <w:rFonts w:asciiTheme="minorHAnsi" w:hAnsiTheme="minorHAnsi" w:cstheme="minorHAnsi"/>
          <w:b/>
          <w:bCs/>
        </w:rPr>
        <w:t xml:space="preserve">(Barlow, T. 2012: 57). </w:t>
      </w:r>
      <w:r>
        <w:rPr>
          <w:rFonts w:asciiTheme="minorHAnsi" w:hAnsiTheme="minorHAnsi" w:cstheme="minorHAnsi"/>
        </w:rPr>
        <w:t xml:space="preserve">This view is one which is supported by many educationalists, such as Wiliam. </w:t>
      </w:r>
    </w:p>
    <w:p w:rsidR="004D3321" w:rsidRDefault="004D3321" w:rsidP="004D3321">
      <w:pPr>
        <w:pStyle w:val="NormalWeb"/>
        <w:rPr>
          <w:rFonts w:asciiTheme="minorHAnsi" w:hAnsiTheme="minorHAnsi" w:cstheme="minorHAnsi"/>
        </w:rPr>
      </w:pPr>
      <w:r>
        <w:rPr>
          <w:rFonts w:asciiTheme="minorHAnsi" w:hAnsiTheme="minorHAnsi" w:cstheme="minorHAnsi"/>
        </w:rPr>
        <w:t xml:space="preserve">However, there are indeed many teaching styles that can be used in a classroom. The two main schools of thought with regards to methods of teaching are Constructivism and Behaviourism. Educationalists that support the latter often refer to the ‘learnt behaviour’ that a child presents in the school environment, as Pritchard states, “Behaviourism is based around the central notion of a reaction being made to a particular stimulus” </w:t>
      </w:r>
      <w:r>
        <w:rPr>
          <w:rFonts w:asciiTheme="minorHAnsi" w:hAnsiTheme="minorHAnsi" w:cstheme="minorHAnsi"/>
          <w:b/>
          <w:bCs/>
        </w:rPr>
        <w:t xml:space="preserve">(Pritchard, A. 2014: 6). </w:t>
      </w:r>
      <w:r>
        <w:rPr>
          <w:rFonts w:asciiTheme="minorHAnsi" w:hAnsiTheme="minorHAnsi" w:cstheme="minorHAnsi"/>
        </w:rPr>
        <w:t xml:space="preserve">By considering this definition, a pupil repeating their times tables aloud might not necessarily demonstrate understanding, but rather parrot-style repeating of learnt answers. </w:t>
      </w:r>
      <w:r>
        <w:rPr>
          <w:rFonts w:asciiTheme="minorHAnsi" w:hAnsiTheme="minorHAnsi" w:cstheme="minorHAnsi"/>
        </w:rPr>
        <w:lastRenderedPageBreak/>
        <w:t xml:space="preserve">Therefore, a greater degree of assessment would be needed, to ensure that answers are understood not just simply recalled. Criticisms of the Behaviourist are aplenty, but in essence, critics claim that a behaviourist approach in teaching doesn’t create a well-rounded, well-informed cohort of pupils; but rather pupils who simply have good memory recall. </w:t>
      </w:r>
    </w:p>
    <w:p w:rsidR="004D3321" w:rsidRPr="001C0590" w:rsidRDefault="004D3321" w:rsidP="004D3321">
      <w:pPr>
        <w:pStyle w:val="NormalWeb"/>
        <w:rPr>
          <w:rFonts w:asciiTheme="minorHAnsi" w:hAnsiTheme="minorHAnsi" w:cstheme="minorHAnsi"/>
        </w:rPr>
      </w:pPr>
      <w:r>
        <w:rPr>
          <w:rFonts w:asciiTheme="minorHAnsi" w:hAnsiTheme="minorHAnsi" w:cstheme="minorHAnsi"/>
        </w:rPr>
        <w:t xml:space="preserve">On the other hand, the Constructivist approach, allows for pupils to have a much greater impact on their own learning. Pritchard provides a definition of Constructivism by stating, “Learning takes place when new information is built into and added onto an individual’s current structure of knowledge, understanding and skills” </w:t>
      </w:r>
      <w:r>
        <w:rPr>
          <w:rFonts w:asciiTheme="minorHAnsi" w:hAnsiTheme="minorHAnsi" w:cstheme="minorHAnsi"/>
          <w:b/>
          <w:bCs/>
        </w:rPr>
        <w:t xml:space="preserve">(Pritchard, A. 2014: 18). </w:t>
      </w:r>
      <w:r>
        <w:rPr>
          <w:rFonts w:asciiTheme="minorHAnsi" w:hAnsiTheme="minorHAnsi" w:cstheme="minorHAnsi"/>
        </w:rPr>
        <w:t xml:space="preserve">There are many branches under the Constructivist approach, but their general ethos is that a pupil will thrive in an environment where they are an active participant in their own learning, and where their individual abilities are considered during assessments. </w:t>
      </w:r>
    </w:p>
    <w:p w:rsidR="004D3321" w:rsidRDefault="004D3321" w:rsidP="004D3321">
      <w:pPr>
        <w:pStyle w:val="NormalWeb"/>
        <w:rPr>
          <w:rFonts w:asciiTheme="minorHAnsi" w:hAnsiTheme="minorHAnsi" w:cstheme="minorHAnsi"/>
        </w:rPr>
      </w:pPr>
      <w:r>
        <w:rPr>
          <w:rFonts w:asciiTheme="minorHAnsi" w:hAnsiTheme="minorHAnsi" w:cstheme="minorHAnsi"/>
        </w:rPr>
        <w:t xml:space="preserve">The method displayed in the attached portfolio is direct teaching. While there are educationalists who strongly oppose the method of direct teaching, there are undoubtedly occasions where this teaching method is essential to pupils learning. For example, in Appendix 7, the lesson was taught to a previously lower attaining ability group, and the concept of annotation and the introduction of the use of adjectives was quite a daunting prospect. Therefore, by modelling an annotated example on the whiteboard, and by providing all pupils with a glossary ensured that all pupils knew how to complete the task successfully. </w:t>
      </w:r>
    </w:p>
    <w:p w:rsidR="004D3321" w:rsidRDefault="004D3321" w:rsidP="004D3321">
      <w:pPr>
        <w:pStyle w:val="NormalWeb"/>
        <w:rPr>
          <w:rFonts w:asciiTheme="minorHAnsi" w:hAnsiTheme="minorHAnsi" w:cstheme="minorHAnsi"/>
        </w:rPr>
      </w:pPr>
      <w:r>
        <w:rPr>
          <w:rFonts w:asciiTheme="minorHAnsi" w:hAnsiTheme="minorHAnsi" w:cstheme="minorHAnsi"/>
        </w:rPr>
        <w:t xml:space="preserve">Additionally, an example of a pupils’ work from the class is provided and labelled </w:t>
      </w:r>
      <w:r w:rsidRPr="00E1284D">
        <w:rPr>
          <w:rFonts w:asciiTheme="minorHAnsi" w:hAnsiTheme="minorHAnsi" w:cstheme="minorHAnsi"/>
        </w:rPr>
        <w:t>Appendix 7a. The use of modelled examples are also referred to as scaffolding. Belland asserts that</w:t>
      </w:r>
      <w:r>
        <w:rPr>
          <w:rFonts w:asciiTheme="minorHAnsi" w:hAnsiTheme="minorHAnsi" w:cstheme="minorHAnsi"/>
        </w:rPr>
        <w:t>, “S</w:t>
      </w:r>
      <w:r w:rsidRPr="00E1284D">
        <w:rPr>
          <w:rFonts w:asciiTheme="minorHAnsi" w:hAnsiTheme="minorHAnsi" w:cstheme="minorHAnsi"/>
        </w:rPr>
        <w:t xml:space="preserve">caffolding needs to support current performance but also lead to the ability to perform the target skill </w:t>
      </w:r>
      <w:r w:rsidRPr="00FE4840">
        <w:rPr>
          <w:rFonts w:asciiTheme="minorHAnsi" w:hAnsiTheme="minorHAnsi" w:cstheme="minorHAnsi"/>
        </w:rPr>
        <w:t xml:space="preserve">independently in the future” </w:t>
      </w:r>
      <w:r w:rsidRPr="00FE4840">
        <w:rPr>
          <w:rFonts w:asciiTheme="minorHAnsi" w:hAnsiTheme="minorHAnsi" w:cstheme="minorHAnsi"/>
          <w:b/>
          <w:bCs/>
        </w:rPr>
        <w:t xml:space="preserve">(Belland, B. 2017: 5). </w:t>
      </w:r>
      <w:r>
        <w:rPr>
          <w:rFonts w:asciiTheme="minorHAnsi" w:hAnsiTheme="minorHAnsi" w:cstheme="minorHAnsi"/>
        </w:rPr>
        <w:t>Furthermore, the use of scaffolding should be used with caution, as providing too much can lead to indolent pupils and removing scaffolding too soon, can destabilise a pupil’s learning. However, using both modelling and scaffolding at the introduction of a new subject or topic can help to solidify pupils’ initial understanding. As stated by Fletcher, “It</w:t>
      </w:r>
      <w:r w:rsidRPr="00FE4840">
        <w:rPr>
          <w:rFonts w:asciiTheme="minorHAnsi" w:hAnsiTheme="minorHAnsi" w:cstheme="minorHAnsi"/>
        </w:rPr>
        <w:t xml:space="preserve"> is essential that teachers scaffold the development of students’ self-efficacy and skill development in self-regulating their learning</w:t>
      </w:r>
      <w:r>
        <w:rPr>
          <w:rFonts w:asciiTheme="minorHAnsi" w:hAnsiTheme="minorHAnsi" w:cstheme="minorHAnsi"/>
        </w:rPr>
        <w:t xml:space="preserve">” </w:t>
      </w:r>
      <w:r>
        <w:rPr>
          <w:rFonts w:asciiTheme="minorHAnsi" w:hAnsiTheme="minorHAnsi" w:cstheme="minorHAnsi"/>
          <w:b/>
          <w:bCs/>
        </w:rPr>
        <w:t xml:space="preserve">(Fletcher, A. 2016: 401). </w:t>
      </w:r>
      <w:r>
        <w:rPr>
          <w:rFonts w:asciiTheme="minorHAnsi" w:hAnsiTheme="minorHAnsi" w:cstheme="minorHAnsi"/>
        </w:rPr>
        <w:t>Rather, it is equally important to not only support pupils’ learning but equip them with the skills to complete their own independent learning. In addition, as evidenced in Appendix 9, in a class with older pupils and a higher ability, by modelling a simple example on the whiteboard, enables all pupils to produce detailed work. This can be seen in the example of a pupil’s work in Appendix 9a.</w:t>
      </w:r>
    </w:p>
    <w:p w:rsidR="00AC1C75" w:rsidRPr="00AC1C75" w:rsidRDefault="00AC1C75" w:rsidP="00AC1C75">
      <w:pPr>
        <w:pStyle w:val="NormalWeb"/>
        <w:rPr>
          <w:rFonts w:asciiTheme="minorHAnsi" w:hAnsiTheme="minorHAnsi" w:cstheme="minorHAnsi"/>
          <w:u w:val="single"/>
        </w:rPr>
      </w:pPr>
      <w:r w:rsidRPr="00AC1C75">
        <w:rPr>
          <w:rFonts w:asciiTheme="minorHAnsi" w:hAnsiTheme="minorHAnsi" w:cstheme="minorHAnsi"/>
          <w:u w:val="single"/>
        </w:rPr>
        <w:t>Conclusions about progress</w:t>
      </w:r>
    </w:p>
    <w:p w:rsidR="00EC413B" w:rsidRDefault="00EC413B" w:rsidP="00EC413B">
      <w:pPr>
        <w:rPr>
          <w:rFonts w:eastAsia="Times New Roman" w:cstheme="minorHAnsi"/>
          <w:lang w:eastAsia="en-GB"/>
        </w:rPr>
      </w:pPr>
      <w:r>
        <w:t xml:space="preserve">The first pedagogical principle was implemented to the best of my ability. As briefly </w:t>
      </w:r>
      <w:r w:rsidRPr="00AB4D5B">
        <w:rPr>
          <w:rFonts w:cstheme="minorHAnsi"/>
        </w:rPr>
        <w:t xml:space="preserve">aforementioned, assessment for learning (AFL) is used throughout my lessons. The evidence provided in the Welsh Government Report and by Topping, state that the benefits of a consistent AFL framework for pupils is paramount. This is most prevalent in Appendix 3, where there was a clear success criteria given to all pupils during their literacy lesson. Additionally, since the literacy lessons are predominantly skills-based, by providing a success criteria, there is usually a ‘wrong’ or ‘right’ method to completing the task. Thus, providing  </w:t>
      </w:r>
      <w:r w:rsidRPr="00AB4D5B">
        <w:rPr>
          <w:rFonts w:cstheme="minorHAnsi"/>
        </w:rPr>
        <w:lastRenderedPageBreak/>
        <w:t xml:space="preserve">a success criteria meant that for pupils who encountered any difficulties were usually able to unravel the problem themselves, by referring to the handout. In this particular lesson, the pupils’ learning was of a high standard. </w:t>
      </w:r>
      <w:r>
        <w:rPr>
          <w:rFonts w:cstheme="minorHAnsi"/>
        </w:rPr>
        <w:t>However, there is some criticism over the effectiveness of success criteria in classrooms. As claimed by Crichton and McDaid in their study, “</w:t>
      </w:r>
      <w:r w:rsidRPr="00AB4D5B">
        <w:rPr>
          <w:rFonts w:eastAsia="Times New Roman" w:cstheme="minorHAnsi"/>
          <w:lang w:eastAsia="en-GB"/>
        </w:rPr>
        <w:t>Learners in the Junior Phase all seemed to understand why LIs and SC were used and were able to provide clear definitions for both</w:t>
      </w:r>
      <w:r>
        <w:rPr>
          <w:rFonts w:eastAsia="Times New Roman" w:cstheme="minorHAnsi"/>
          <w:lang w:eastAsia="en-GB"/>
        </w:rPr>
        <w:t xml:space="preserve">” </w:t>
      </w:r>
      <w:r>
        <w:rPr>
          <w:rFonts w:eastAsia="Times New Roman" w:cstheme="minorHAnsi"/>
          <w:b/>
          <w:bCs/>
          <w:lang w:eastAsia="en-GB"/>
        </w:rPr>
        <w:t xml:space="preserve">(Crichton. H &amp; McDaid A. 2016: 197). </w:t>
      </w:r>
      <w:r>
        <w:rPr>
          <w:rFonts w:eastAsia="Times New Roman" w:cstheme="minorHAnsi"/>
          <w:lang w:eastAsia="en-GB"/>
        </w:rPr>
        <w:t>This would indicate that older pupils are less receptive to the use of success criteria. However, since this lesson was in a year eight class, it is of my opinion that the class responded well to a structured success criteria. This was see in the standard of work produced by pupils, as well as there being fewer hands raised throughout the lesson. Nevertheless, for future lessons, the consideration of success criteria will be re-evaluated and it will be used not so frequently with older pupils.</w:t>
      </w:r>
    </w:p>
    <w:p w:rsidR="00EC413B" w:rsidRDefault="00EC413B" w:rsidP="00EC413B">
      <w:pPr>
        <w:rPr>
          <w:rFonts w:eastAsia="Times New Roman" w:cstheme="minorHAnsi"/>
          <w:lang w:eastAsia="en-GB"/>
        </w:rPr>
      </w:pPr>
    </w:p>
    <w:p w:rsidR="00EC413B" w:rsidRDefault="00EC413B" w:rsidP="00EC413B">
      <w:pPr>
        <w:rPr>
          <w:rFonts w:eastAsia="Times New Roman" w:cstheme="minorHAnsi"/>
          <w:u w:val="single"/>
          <w:lang w:eastAsia="en-GB"/>
        </w:rPr>
      </w:pPr>
    </w:p>
    <w:p w:rsidR="00EC413B" w:rsidRDefault="00EC413B" w:rsidP="00EC413B">
      <w:r>
        <w:rPr>
          <w:rFonts w:eastAsia="Times New Roman" w:cstheme="minorHAnsi"/>
          <w:lang w:eastAsia="en-GB"/>
        </w:rPr>
        <w:t>Two of the three integral cross-curriculum responsibilities of digital competency and literacy are regularly used in many of my lessons. As evidenced in Appendix 4, the use of computers to enhance learning was used with a high degree of success. Since pupils had previously hand-written a letter, by typing their work up on a computer, encouraged pupils to use new skills. Namely, changing the text alignment and choosing a font of their own preference. This meant that pupils were not only improving their work by correcting their own spelling errors, but also improving their digital skills by using Word in a way they hadn’t before. This success can be seen in the example provided, but also during the classroom environment where this lesson took place, as all student enjoyed this task, as it was different to what they had been doing previously. The importance of using digital skills in every AoLE is essential in an ever-changing digital age. This is recognised by many educationalists, but is evident in the following,</w:t>
      </w:r>
      <w:r>
        <w:rPr>
          <w:rFonts w:cstheme="minorHAnsi"/>
        </w:rPr>
        <w:t xml:space="preserve"> </w:t>
      </w:r>
      <w:r>
        <w:t xml:space="preserve">“Teachers’ knowledge of the range of literacy practices in which children engage in their homes is also essential… and to recognise the important influence of the digital literacies that young children have access to at home” </w:t>
      </w:r>
      <w:r>
        <w:rPr>
          <w:b/>
          <w:bCs/>
        </w:rPr>
        <w:t xml:space="preserve">(Cremin, Dombey &amp; Bearne: 2009: 70). </w:t>
      </w:r>
      <w:r>
        <w:t xml:space="preserve">This research is similar to that of Silcock’s and in alignment with the Welsh curriculum reform following Donaldson’s </w:t>
      </w:r>
      <w:r w:rsidRPr="00C14AF2">
        <w:rPr>
          <w:i/>
          <w:iCs/>
        </w:rPr>
        <w:t>Successful Futures.</w:t>
      </w:r>
      <w:r>
        <w:rPr>
          <w:i/>
          <w:iCs/>
        </w:rPr>
        <w:t xml:space="preserve"> </w:t>
      </w:r>
      <w:r>
        <w:t xml:space="preserve">Moreover, the use of designated literacy lessons for all Key Stage 3 pupils is an example of the importance that is placed on the cross-curriculum responsibilities that schools are taking to support and enhance literacy levels in younger students. Similarly, as shown in Appendix 5, by including a lesson for a year seven class that focuses solely on the correct structure and punctuation of a sentence is beneficial across all AoLEs as it is an essential skill in learning. </w:t>
      </w:r>
    </w:p>
    <w:p w:rsidR="00657D3B" w:rsidRDefault="00657D3B">
      <w:pPr>
        <w:rPr>
          <w:rFonts w:eastAsia="Times New Roman" w:cstheme="minorHAnsi"/>
          <w:lang w:eastAsia="en-GB"/>
        </w:rPr>
      </w:pPr>
    </w:p>
    <w:p w:rsidR="009E5DD4" w:rsidRPr="00000A05" w:rsidRDefault="009E5DD4" w:rsidP="009E5DD4">
      <w:pPr>
        <w:rPr>
          <w:rFonts w:eastAsia="Times New Roman" w:cstheme="minorHAnsi"/>
          <w:lang w:eastAsia="en-GB"/>
        </w:rPr>
      </w:pPr>
      <w:r>
        <w:rPr>
          <w:rFonts w:cstheme="minorHAnsi"/>
        </w:rPr>
        <w:t xml:space="preserve">The use of a direct teaching approach in the classroom is one of great contention as many educationalists believe that newer approaches with Constructivist tendencies are more effective than a ‘chalk and talk’ style of teaching. </w:t>
      </w:r>
      <w:r w:rsidR="00000A05">
        <w:rPr>
          <w:rFonts w:cstheme="minorHAnsi"/>
        </w:rPr>
        <w:t>Hattie defines direct teaching as, “</w:t>
      </w:r>
      <w:r w:rsidR="00000A05">
        <w:rPr>
          <w:rFonts w:eastAsia="Times New Roman" w:cstheme="minorHAnsi"/>
          <w:lang w:eastAsia="en-GB"/>
        </w:rPr>
        <w:t xml:space="preserve">Direct instruction demonstrates the power of stating the learning intentions and success criteria up front, and then engaging students in moving towards these” </w:t>
      </w:r>
      <w:r w:rsidR="00000A05">
        <w:rPr>
          <w:rFonts w:eastAsia="Times New Roman" w:cstheme="minorHAnsi"/>
          <w:b/>
          <w:bCs/>
          <w:lang w:eastAsia="en-GB"/>
        </w:rPr>
        <w:t xml:space="preserve">(Hattie. J, 2013: 66). </w:t>
      </w:r>
      <w:r>
        <w:rPr>
          <w:rFonts w:cstheme="minorHAnsi"/>
        </w:rPr>
        <w:t xml:space="preserve">Yet, as briefly mentioned there is a time and place for different teaching styles, and there are occasions where direct teaching is necessary; such as introducing a new topic or explaining a rule or pattern of a skill or text. This is seen in Appendix 7 through 9, where different examples of direct teaching are used across Key Stage 3. Specifically, in Appendix 8, where the structure of the P.E.E format was being introduced and explained, I felt that it was essential that direct teaching occurred here in order to inform the whole class of this </w:t>
      </w:r>
      <w:r>
        <w:rPr>
          <w:rFonts w:cstheme="minorHAnsi"/>
        </w:rPr>
        <w:lastRenderedPageBreak/>
        <w:t xml:space="preserve">essential skill. Likewise, in Appendix 9 and 9a, by modelling one example on the board (Appendix 9) meant that pupils were prepared to complete the work themselves, and in great detail (Appendix 9a). Therefore, I would state that the use of direct teaching in all of these examples was a success, </w:t>
      </w:r>
      <w:r w:rsidR="00000A05">
        <w:rPr>
          <w:rFonts w:cstheme="minorHAnsi"/>
        </w:rPr>
        <w:t xml:space="preserve">whilst recognising that the use of direct teaching is not appropriate in all circumstances. </w:t>
      </w:r>
    </w:p>
    <w:p w:rsidR="009E5DD4" w:rsidRDefault="009E5DD4">
      <w:pPr>
        <w:rPr>
          <w:rFonts w:eastAsia="Times New Roman" w:cstheme="minorHAnsi"/>
          <w:lang w:eastAsia="en-GB"/>
        </w:rPr>
      </w:pPr>
    </w:p>
    <w:p w:rsidR="00DA1C19" w:rsidRDefault="00DA1C19">
      <w:pPr>
        <w:rPr>
          <w:rFonts w:eastAsia="Times New Roman" w:cstheme="minorHAnsi"/>
          <w:lang w:eastAsia="en-GB"/>
        </w:rPr>
      </w:pPr>
      <w:r>
        <w:rPr>
          <w:rFonts w:eastAsia="Times New Roman" w:cstheme="minorHAnsi"/>
          <w:lang w:eastAsia="en-GB"/>
        </w:rPr>
        <w:t xml:space="preserve">In conclusion, </w:t>
      </w:r>
      <w:r w:rsidR="00611BBE">
        <w:rPr>
          <w:rFonts w:eastAsia="Times New Roman" w:cstheme="minorHAnsi"/>
          <w:lang w:eastAsia="en-GB"/>
        </w:rPr>
        <w:t xml:space="preserve">as with all industries, the teaching community is ever-evolving and the scope for improvement is </w:t>
      </w:r>
      <w:r w:rsidR="007E3E6C">
        <w:rPr>
          <w:rFonts w:eastAsia="Times New Roman" w:cstheme="minorHAnsi"/>
          <w:lang w:eastAsia="en-GB"/>
        </w:rPr>
        <w:t xml:space="preserve">more predominant than ever. Personally, the area that I feel that needs the most development in my own teaching practice would be the cross-curriculum responsibilities, especially with regards to the expectations laid out in Donaldson’s </w:t>
      </w:r>
      <w:r w:rsidR="007E3E6C">
        <w:rPr>
          <w:rFonts w:eastAsia="Times New Roman" w:cstheme="minorHAnsi"/>
          <w:i/>
          <w:iCs/>
          <w:lang w:eastAsia="en-GB"/>
        </w:rPr>
        <w:t xml:space="preserve">Successful Futures. </w:t>
      </w:r>
      <w:r w:rsidR="007E3E6C">
        <w:rPr>
          <w:rFonts w:eastAsia="Times New Roman" w:cstheme="minorHAnsi"/>
          <w:lang w:eastAsia="en-GB"/>
        </w:rPr>
        <w:t xml:space="preserve">As mentioned above, the Welsh educational reform is placing </w:t>
      </w:r>
      <w:r w:rsidR="00FB546A">
        <w:rPr>
          <w:rFonts w:eastAsia="Times New Roman" w:cstheme="minorHAnsi"/>
          <w:lang w:eastAsia="en-GB"/>
        </w:rPr>
        <w:t>a much greater</w:t>
      </w:r>
      <w:r w:rsidR="007E3E6C">
        <w:rPr>
          <w:rFonts w:eastAsia="Times New Roman" w:cstheme="minorHAnsi"/>
          <w:lang w:eastAsia="en-GB"/>
        </w:rPr>
        <w:t xml:space="preserve"> responsibility on teachers to branch out and </w:t>
      </w:r>
      <w:r w:rsidR="00FB546A">
        <w:rPr>
          <w:rFonts w:eastAsia="Times New Roman" w:cstheme="minorHAnsi"/>
          <w:lang w:eastAsia="en-GB"/>
        </w:rPr>
        <w:t xml:space="preserve">assist pupils in other AoLEs. However, as Hayes stated, these links will be easier across some AoLEs than they will others. Therefore, while I did include </w:t>
      </w:r>
      <w:r w:rsidR="00217EB4">
        <w:rPr>
          <w:rFonts w:eastAsia="Times New Roman" w:cstheme="minorHAnsi"/>
          <w:lang w:eastAsia="en-GB"/>
        </w:rPr>
        <w:t xml:space="preserve">a </w:t>
      </w:r>
      <w:r w:rsidR="00FB546A">
        <w:rPr>
          <w:rFonts w:eastAsia="Times New Roman" w:cstheme="minorHAnsi"/>
          <w:lang w:eastAsia="en-GB"/>
        </w:rPr>
        <w:t>digital competency</w:t>
      </w:r>
      <w:r w:rsidR="00217EB4">
        <w:rPr>
          <w:rFonts w:eastAsia="Times New Roman" w:cstheme="minorHAnsi"/>
          <w:lang w:eastAsia="en-GB"/>
        </w:rPr>
        <w:t xml:space="preserve"> element</w:t>
      </w:r>
      <w:r w:rsidR="00FB546A">
        <w:rPr>
          <w:rFonts w:eastAsia="Times New Roman" w:cstheme="minorHAnsi"/>
          <w:lang w:eastAsia="en-GB"/>
        </w:rPr>
        <w:t xml:space="preserve"> in many of my lessons, I </w:t>
      </w:r>
      <w:r w:rsidR="00217EB4">
        <w:rPr>
          <w:rFonts w:eastAsia="Times New Roman" w:cstheme="minorHAnsi"/>
          <w:lang w:eastAsia="en-GB"/>
        </w:rPr>
        <w:t>chose not to focus on numeracy, simply because I didn’t feel as though it was possible to successfully, and smoothly, include all ele</w:t>
      </w:r>
      <w:r w:rsidR="002B374B">
        <w:rPr>
          <w:rFonts w:eastAsia="Times New Roman" w:cstheme="minorHAnsi"/>
          <w:lang w:eastAsia="en-GB"/>
        </w:rPr>
        <w:t xml:space="preserve">ments of the cross-curriculum responsibilities in my lessons. Yet, following consultations with peers and researching the work of Silcock and Hayes, there are in fact ways that numeracy can be interlinked with English, specifically in lessons starters and plenaries. Furthermore, since discovering the research of Crichton and McDaid, to name but a few, the use of explicit success criteria will be used </w:t>
      </w:r>
      <w:r w:rsidR="000819A4">
        <w:rPr>
          <w:rFonts w:eastAsia="Times New Roman" w:cstheme="minorHAnsi"/>
          <w:lang w:eastAsia="en-GB"/>
        </w:rPr>
        <w:t xml:space="preserve">less with older year groups, as it’s claimed that they aren’t as receptive as younger pupils. Similarly, in practical terms, these amendments will be implemented in my teaching practice following discussion with the necessary mentors. </w:t>
      </w:r>
    </w:p>
    <w:p w:rsidR="005677B9" w:rsidRDefault="005677B9">
      <w:pPr>
        <w:rPr>
          <w:rFonts w:eastAsia="Times New Roman" w:cstheme="minorHAnsi"/>
          <w:lang w:eastAsia="en-GB"/>
        </w:rPr>
      </w:pPr>
    </w:p>
    <w:p w:rsidR="005677B9" w:rsidRDefault="005677B9">
      <w:pPr>
        <w:rPr>
          <w:rFonts w:eastAsia="Times New Roman" w:cstheme="minorHAnsi"/>
          <w:lang w:eastAsia="en-GB"/>
        </w:rPr>
      </w:pPr>
      <w:r>
        <w:rPr>
          <w:rFonts w:eastAsia="Times New Roman" w:cstheme="minorHAnsi"/>
          <w:lang w:eastAsia="en-GB"/>
        </w:rPr>
        <w:t xml:space="preserve">References </w:t>
      </w:r>
    </w:p>
    <w:p w:rsidR="005677B9" w:rsidRDefault="005677B9">
      <w:pPr>
        <w:rPr>
          <w:rFonts w:eastAsia="Times New Roman" w:cstheme="minorHAnsi"/>
          <w:lang w:eastAsia="en-GB"/>
        </w:rPr>
      </w:pPr>
    </w:p>
    <w:p w:rsidR="005677B9" w:rsidRDefault="005677B9" w:rsidP="005677B9">
      <w:r w:rsidRPr="006E7685">
        <w:rPr>
          <w:b/>
          <w:bCs/>
        </w:rPr>
        <w:t xml:space="preserve">“Inspection Report of </w:t>
      </w:r>
      <w:r w:rsidRPr="006E7685">
        <w:rPr>
          <w:b/>
          <w:bCs/>
          <w:highlight w:val="black"/>
        </w:rPr>
        <w:t>Ysgol Gyfun Emlyn</w:t>
      </w:r>
      <w:r w:rsidRPr="006E7685">
        <w:rPr>
          <w:b/>
          <w:bCs/>
        </w:rPr>
        <w:t xml:space="preserve"> 2019”</w:t>
      </w:r>
      <w:r>
        <w:t xml:space="preserve"> (2019). Available at: </w:t>
      </w:r>
      <w:hyperlink r:id="rId4" w:history="1">
        <w:proofErr w:type="spellStart"/>
        <w:r w:rsidRPr="00675F61">
          <w:rPr>
            <w:rStyle w:val="Hyperlink"/>
          </w:rPr>
          <w:t>Estyn.gov.wales</w:t>
        </w:r>
        <w:proofErr w:type="spellEnd"/>
      </w:hyperlink>
    </w:p>
    <w:p w:rsidR="005677B9" w:rsidRDefault="005677B9" w:rsidP="005677B9"/>
    <w:p w:rsidR="005677B9" w:rsidRDefault="005677B9" w:rsidP="005677B9">
      <w:r>
        <w:rPr>
          <w:b/>
          <w:bCs/>
        </w:rPr>
        <w:t xml:space="preserve">Barlow, T. (2012), “The Journal of the Australian Science Teachers: The End of Chalk and Talk” </w:t>
      </w:r>
      <w:r>
        <w:t xml:space="preserve">Page 57. Available at: </w:t>
      </w:r>
      <w:hyperlink r:id="rId5" w:history="1">
        <w:r w:rsidRPr="00890C81">
          <w:rPr>
            <w:rStyle w:val="Hyperlink"/>
          </w:rPr>
          <w:t>web-b-ebschost-com.ezproxy.uwtsd.ac.uk</w:t>
        </w:r>
      </w:hyperlink>
    </w:p>
    <w:p w:rsidR="005677B9" w:rsidRDefault="005677B9" w:rsidP="005677B9"/>
    <w:p w:rsidR="005677B9" w:rsidRDefault="005677B9" w:rsidP="005677B9">
      <w:r>
        <w:rPr>
          <w:b/>
          <w:bCs/>
        </w:rPr>
        <w:t xml:space="preserve">Belland, B. (2017), “Instructional Scaffolding in STEM Education” </w:t>
      </w:r>
      <w:r>
        <w:t xml:space="preserve">Page 5. Available at: </w:t>
      </w:r>
      <w:hyperlink r:id="rId6" w:history="1">
        <w:r w:rsidRPr="00890C81">
          <w:rPr>
            <w:rStyle w:val="Hyperlink"/>
          </w:rPr>
          <w:t>web-b-ebschost-com.ezproxy.uwtsd.ac.uk</w:t>
        </w:r>
      </w:hyperlink>
    </w:p>
    <w:p w:rsidR="005677B9" w:rsidRDefault="005677B9" w:rsidP="005677B9"/>
    <w:p w:rsidR="005677B9" w:rsidRDefault="005677B9" w:rsidP="005677B9">
      <w:r>
        <w:rPr>
          <w:b/>
          <w:bCs/>
        </w:rPr>
        <w:t xml:space="preserve">Bhavani, S. &amp; Mohammad Badrul M. &amp; Dessalegn Getie M. (2018), “Accounting Education: Students’ perceptions of Peer Assessment Effectiveness: An Explorative Study” </w:t>
      </w:r>
      <w:r>
        <w:t xml:space="preserve">Available at: </w:t>
      </w:r>
      <w:hyperlink r:id="rId7" w:history="1">
        <w:r w:rsidRPr="000D6A74">
          <w:rPr>
            <w:rStyle w:val="Hyperlink"/>
          </w:rPr>
          <w:t>whel-primo.hosted.exlibrisgroup.com</w:t>
        </w:r>
      </w:hyperlink>
    </w:p>
    <w:p w:rsidR="005677B9" w:rsidRDefault="005677B9" w:rsidP="005677B9"/>
    <w:p w:rsidR="005677B9" w:rsidRDefault="005677B9" w:rsidP="005677B9">
      <w:r>
        <w:rPr>
          <w:b/>
          <w:bCs/>
        </w:rPr>
        <w:t xml:space="preserve">Cowie, B. &amp; Bell, B. (1999), “A Model of Formative Assessment in Science Education, Vol. 6, No. 1” </w:t>
      </w:r>
      <w:r>
        <w:t xml:space="preserve">Page 101. Available at: </w:t>
      </w:r>
      <w:hyperlink r:id="rId8" w:history="1">
        <w:r w:rsidRPr="0014399E">
          <w:rPr>
            <w:rStyle w:val="Hyperlink"/>
          </w:rPr>
          <w:t>www.tandfonline-com.ezproxy.uwtsd.ac.uk</w:t>
        </w:r>
      </w:hyperlink>
    </w:p>
    <w:p w:rsidR="005677B9" w:rsidRDefault="005677B9" w:rsidP="005677B9"/>
    <w:p w:rsidR="005677B9" w:rsidRDefault="005677B9" w:rsidP="005677B9">
      <w:r>
        <w:rPr>
          <w:b/>
          <w:bCs/>
        </w:rPr>
        <w:t xml:space="preserve">Cremin, T. &amp; </w:t>
      </w:r>
      <w:proofErr w:type="spellStart"/>
      <w:r>
        <w:rPr>
          <w:b/>
          <w:bCs/>
        </w:rPr>
        <w:t>Dombrey</w:t>
      </w:r>
      <w:proofErr w:type="spellEnd"/>
      <w:r>
        <w:rPr>
          <w:b/>
          <w:bCs/>
        </w:rPr>
        <w:t xml:space="preserve">, H. &amp; Bearne, E. (2009), “Teaching English Creatively” </w:t>
      </w:r>
      <w:r>
        <w:t xml:space="preserve">Page 70. Available at: </w:t>
      </w:r>
      <w:hyperlink r:id="rId9" w:history="1">
        <w:r w:rsidRPr="0014399E">
          <w:rPr>
            <w:rStyle w:val="Hyperlink"/>
          </w:rPr>
          <w:t>www.dawsonera-com.ezproxy..uwtsd.ac.uk</w:t>
        </w:r>
      </w:hyperlink>
    </w:p>
    <w:p w:rsidR="005677B9" w:rsidRDefault="005677B9" w:rsidP="005677B9"/>
    <w:p w:rsidR="005677B9" w:rsidRDefault="005677B9" w:rsidP="005677B9">
      <w:r>
        <w:rPr>
          <w:b/>
          <w:bCs/>
        </w:rPr>
        <w:t xml:space="preserve">Crichton, H &amp; McDaid, A. (2016), “The Curriculum Journal: Learning Intentions and Success Criteria: Learners’ and Teachers’ Views, Vol. 27, No. 2” </w:t>
      </w:r>
      <w:r>
        <w:t xml:space="preserve">Page 197. Available at: </w:t>
      </w:r>
      <w:hyperlink r:id="rId10" w:history="1">
        <w:r w:rsidRPr="00890C81">
          <w:rPr>
            <w:rStyle w:val="Hyperlink"/>
          </w:rPr>
          <w:t>web-b-ebschost-com.ezproxy.uwtsd.ac.uk</w:t>
        </w:r>
      </w:hyperlink>
    </w:p>
    <w:p w:rsidR="005677B9" w:rsidRDefault="005677B9" w:rsidP="005677B9"/>
    <w:p w:rsidR="005677B9" w:rsidRDefault="005677B9" w:rsidP="005677B9">
      <w:r>
        <w:rPr>
          <w:b/>
          <w:bCs/>
        </w:rPr>
        <w:t>Donaldson, G. (2015), “Successful Futures”</w:t>
      </w:r>
      <w:r>
        <w:t xml:space="preserve"> Page 40. Available at: </w:t>
      </w:r>
      <w:proofErr w:type="spellStart"/>
      <w:r>
        <w:t>gov.</w:t>
      </w:r>
      <w:hyperlink r:id="rId11" w:history="1">
        <w:r w:rsidRPr="00675F61">
          <w:rPr>
            <w:rStyle w:val="Hyperlink"/>
          </w:rPr>
          <w:t>wales</w:t>
        </w:r>
        <w:proofErr w:type="spellEnd"/>
      </w:hyperlink>
    </w:p>
    <w:p w:rsidR="005677B9" w:rsidRDefault="005677B9" w:rsidP="005677B9"/>
    <w:p w:rsidR="005677B9" w:rsidRDefault="005677B9" w:rsidP="005677B9">
      <w:r>
        <w:rPr>
          <w:b/>
          <w:bCs/>
        </w:rPr>
        <w:t>Donaldson, G. (2015), “Successful Futures”</w:t>
      </w:r>
      <w:r>
        <w:t xml:space="preserve"> Page 65. Available at: </w:t>
      </w:r>
      <w:proofErr w:type="spellStart"/>
      <w:r>
        <w:t>gov.</w:t>
      </w:r>
      <w:hyperlink r:id="rId12" w:history="1">
        <w:r w:rsidRPr="00675F61">
          <w:rPr>
            <w:rStyle w:val="Hyperlink"/>
          </w:rPr>
          <w:t>wales</w:t>
        </w:r>
        <w:proofErr w:type="spellEnd"/>
      </w:hyperlink>
    </w:p>
    <w:p w:rsidR="005677B9" w:rsidRDefault="005677B9" w:rsidP="005677B9"/>
    <w:p w:rsidR="005677B9" w:rsidRDefault="005677B9" w:rsidP="005677B9">
      <w:r>
        <w:rPr>
          <w:b/>
          <w:bCs/>
        </w:rPr>
        <w:t>Donaldson, G. (2015), “Successful Futures”</w:t>
      </w:r>
      <w:r>
        <w:t xml:space="preserve"> Page 65. Available at: </w:t>
      </w:r>
      <w:proofErr w:type="spellStart"/>
      <w:r>
        <w:t>gov.</w:t>
      </w:r>
      <w:hyperlink r:id="rId13" w:history="1">
        <w:r w:rsidRPr="00675F61">
          <w:rPr>
            <w:rStyle w:val="Hyperlink"/>
          </w:rPr>
          <w:t>wales</w:t>
        </w:r>
        <w:proofErr w:type="spellEnd"/>
      </w:hyperlink>
    </w:p>
    <w:p w:rsidR="005677B9" w:rsidRDefault="005677B9" w:rsidP="005677B9"/>
    <w:p w:rsidR="005677B9" w:rsidRDefault="005677B9" w:rsidP="005677B9">
      <w:r>
        <w:rPr>
          <w:b/>
          <w:bCs/>
        </w:rPr>
        <w:t>Donaldson, G. (2015), “Successful Futures”</w:t>
      </w:r>
      <w:r>
        <w:t xml:space="preserve"> Page 69. Available at: </w:t>
      </w:r>
      <w:proofErr w:type="spellStart"/>
      <w:r>
        <w:t>gov.</w:t>
      </w:r>
      <w:hyperlink r:id="rId14" w:history="1">
        <w:r w:rsidRPr="00675F61">
          <w:rPr>
            <w:rStyle w:val="Hyperlink"/>
          </w:rPr>
          <w:t>wales</w:t>
        </w:r>
        <w:proofErr w:type="spellEnd"/>
      </w:hyperlink>
    </w:p>
    <w:p w:rsidR="005677B9" w:rsidRDefault="005677B9" w:rsidP="005677B9"/>
    <w:p w:rsidR="005677B9" w:rsidRDefault="005677B9" w:rsidP="005677B9">
      <w:r>
        <w:rPr>
          <w:b/>
          <w:bCs/>
        </w:rPr>
        <w:t xml:space="preserve">Fletcher, A.K. (2016), “Educational Research: Exceeding Expectations: Scaffolding Agentic Engagement Through Assessment As Learning, 58:4” </w:t>
      </w:r>
      <w:r>
        <w:t xml:space="preserve">Page 401. Available at: </w:t>
      </w:r>
      <w:hyperlink r:id="rId15" w:history="1">
        <w:r w:rsidRPr="0014399E">
          <w:rPr>
            <w:rStyle w:val="Hyperlink"/>
          </w:rPr>
          <w:t>www.tandfonline-com.ezproxy.uwtsd.ac.uk</w:t>
        </w:r>
      </w:hyperlink>
    </w:p>
    <w:p w:rsidR="005677B9" w:rsidRDefault="005677B9" w:rsidP="005677B9"/>
    <w:p w:rsidR="005677B9" w:rsidRDefault="005677B9" w:rsidP="005677B9">
      <w:r>
        <w:rPr>
          <w:b/>
          <w:bCs/>
        </w:rPr>
        <w:t xml:space="preserve">Hattie, J. (2013), “Learning and Instruction: Calibration and Confidence: Where to Next? Vol. 24” </w:t>
      </w:r>
      <w:r>
        <w:t xml:space="preserve">Page 66. Available at: </w:t>
      </w:r>
      <w:hyperlink r:id="rId16" w:history="1">
        <w:r w:rsidRPr="0014399E">
          <w:rPr>
            <w:rStyle w:val="Hyperlink"/>
          </w:rPr>
          <w:t>www.dawsonera-com.ezproxy..uwtsd.ac.uk</w:t>
        </w:r>
      </w:hyperlink>
    </w:p>
    <w:p w:rsidR="005677B9" w:rsidRDefault="005677B9" w:rsidP="005677B9"/>
    <w:p w:rsidR="005677B9" w:rsidRDefault="005677B9" w:rsidP="005677B9">
      <w:r>
        <w:rPr>
          <w:b/>
          <w:bCs/>
        </w:rPr>
        <w:t xml:space="preserve">Hayes, D. (2010), “The Seductive Chars of a Cross-Curricular Approach” </w:t>
      </w:r>
      <w:r>
        <w:t xml:space="preserve">Page 384. Available at: </w:t>
      </w:r>
      <w:hyperlink r:id="rId17" w:history="1">
        <w:r w:rsidRPr="0014399E">
          <w:rPr>
            <w:rStyle w:val="Hyperlink"/>
          </w:rPr>
          <w:t>www.tandfonline-com.ezproxy.uwtsd.ac.uk</w:t>
        </w:r>
      </w:hyperlink>
    </w:p>
    <w:p w:rsidR="005677B9" w:rsidRDefault="005677B9" w:rsidP="005677B9"/>
    <w:p w:rsidR="005677B9" w:rsidRDefault="005677B9" w:rsidP="005677B9">
      <w:r>
        <w:rPr>
          <w:b/>
          <w:bCs/>
        </w:rPr>
        <w:t>Pritchard, A. (2014), “Ways of Learning: Learning Theories and Learning Styles in the Classroom, 3</w:t>
      </w:r>
      <w:r w:rsidRPr="006E67AC">
        <w:rPr>
          <w:b/>
          <w:bCs/>
          <w:vertAlign w:val="superscript"/>
        </w:rPr>
        <w:t>rd</w:t>
      </w:r>
      <w:r>
        <w:rPr>
          <w:b/>
          <w:bCs/>
        </w:rPr>
        <w:t xml:space="preserve"> Edition” </w:t>
      </w:r>
      <w:r>
        <w:t xml:space="preserve">Page 6. Available at: </w:t>
      </w:r>
      <w:hyperlink r:id="rId18" w:history="1">
        <w:r w:rsidRPr="0014399E">
          <w:rPr>
            <w:rStyle w:val="Hyperlink"/>
          </w:rPr>
          <w:t>www.dawsonera-com.ezproxy..uwtsd.ac.uk</w:t>
        </w:r>
      </w:hyperlink>
    </w:p>
    <w:p w:rsidR="005677B9" w:rsidRDefault="005677B9" w:rsidP="005677B9"/>
    <w:p w:rsidR="005677B9" w:rsidRDefault="005677B9" w:rsidP="005677B9">
      <w:r>
        <w:rPr>
          <w:b/>
          <w:bCs/>
        </w:rPr>
        <w:t>Pritchard, A. (2014), “Ways of Learning: Learning Theories and Learning Styles in the Classroom, 3</w:t>
      </w:r>
      <w:r w:rsidRPr="006E67AC">
        <w:rPr>
          <w:b/>
          <w:bCs/>
          <w:vertAlign w:val="superscript"/>
        </w:rPr>
        <w:t>rd</w:t>
      </w:r>
      <w:r>
        <w:rPr>
          <w:b/>
          <w:bCs/>
        </w:rPr>
        <w:t xml:space="preserve"> Edition” </w:t>
      </w:r>
      <w:r>
        <w:t xml:space="preserve">Page 18. Available at: </w:t>
      </w:r>
      <w:hyperlink r:id="rId19" w:history="1">
        <w:r w:rsidRPr="0014399E">
          <w:rPr>
            <w:rStyle w:val="Hyperlink"/>
          </w:rPr>
          <w:t>www.dawsonera-com.ezproxy..uwtsd.ac.uk</w:t>
        </w:r>
      </w:hyperlink>
    </w:p>
    <w:p w:rsidR="005677B9" w:rsidRDefault="005677B9" w:rsidP="005677B9"/>
    <w:p w:rsidR="005677B9" w:rsidRDefault="005677B9" w:rsidP="005677B9">
      <w:r>
        <w:rPr>
          <w:b/>
          <w:bCs/>
        </w:rPr>
        <w:t xml:space="preserve">Silcock, P. (2010), “Entitlement Means Prescription: Exploring The Rose Review, Education 3-13” </w:t>
      </w:r>
      <w:r>
        <w:t xml:space="preserve">Page 349. Available at: </w:t>
      </w:r>
      <w:hyperlink r:id="rId20" w:history="1">
        <w:r w:rsidRPr="0014399E">
          <w:rPr>
            <w:rStyle w:val="Hyperlink"/>
          </w:rPr>
          <w:t>www.tandfonline-com.ezproxy.uwtsd.ac.uk</w:t>
        </w:r>
      </w:hyperlink>
    </w:p>
    <w:p w:rsidR="005677B9" w:rsidRDefault="005677B9" w:rsidP="005677B9"/>
    <w:p w:rsidR="005677B9" w:rsidRDefault="005677B9" w:rsidP="005677B9">
      <w:r>
        <w:rPr>
          <w:b/>
          <w:bCs/>
        </w:rPr>
        <w:t xml:space="preserve">Silcock, P. (2010), “Entitlement Means Prescription: Exploring The Rose Review, Education 3-13” </w:t>
      </w:r>
      <w:r>
        <w:t xml:space="preserve">Page 345. Available at: </w:t>
      </w:r>
      <w:hyperlink r:id="rId21" w:history="1">
        <w:r w:rsidRPr="0014399E">
          <w:rPr>
            <w:rStyle w:val="Hyperlink"/>
          </w:rPr>
          <w:t>www.tandfonline-com.ezproxy.uwtsd.ac.uk</w:t>
        </w:r>
      </w:hyperlink>
    </w:p>
    <w:p w:rsidR="005677B9" w:rsidRDefault="005677B9" w:rsidP="005677B9"/>
    <w:p w:rsidR="005677B9" w:rsidRDefault="005677B9" w:rsidP="005677B9">
      <w:r>
        <w:rPr>
          <w:b/>
          <w:bCs/>
        </w:rPr>
        <w:t xml:space="preserve">Topping, K. (2009), “Theory Into Practice: Peer Assessment, Vol. 48, No. 1” </w:t>
      </w:r>
      <w:r>
        <w:t xml:space="preserve">Page 20. Available at: </w:t>
      </w:r>
      <w:hyperlink r:id="rId22" w:history="1">
        <w:r w:rsidRPr="000D6A74">
          <w:rPr>
            <w:rStyle w:val="Hyperlink"/>
          </w:rPr>
          <w:t>whel-primo.hosted.exlibrisgroup.com</w:t>
        </w:r>
      </w:hyperlink>
      <w:r>
        <w:t xml:space="preserve"> </w:t>
      </w:r>
    </w:p>
    <w:p w:rsidR="005677B9" w:rsidRDefault="005677B9" w:rsidP="005677B9"/>
    <w:p w:rsidR="005677B9" w:rsidRDefault="005677B9" w:rsidP="005677B9">
      <w:r>
        <w:rPr>
          <w:b/>
          <w:bCs/>
        </w:rPr>
        <w:t xml:space="preserve">Welsh Government (2010), “Why Develop Thinking and Assessment for Learning in the Classroom” </w:t>
      </w:r>
      <w:r>
        <w:t xml:space="preserve">Page 8. Available at: </w:t>
      </w:r>
      <w:hyperlink r:id="rId23" w:history="1">
        <w:r w:rsidRPr="000D6A74">
          <w:rPr>
            <w:rStyle w:val="Hyperlink"/>
          </w:rPr>
          <w:t>s3-eu-west-1.amazonaws.com</w:t>
        </w:r>
      </w:hyperlink>
      <w:r>
        <w:t xml:space="preserve"> </w:t>
      </w:r>
    </w:p>
    <w:p w:rsidR="005677B9" w:rsidRDefault="005677B9" w:rsidP="005677B9"/>
    <w:p w:rsidR="005677B9" w:rsidRDefault="005677B9" w:rsidP="005677B9">
      <w:r>
        <w:rPr>
          <w:b/>
          <w:bCs/>
        </w:rPr>
        <w:t xml:space="preserve">Wiliam, D. &amp; Black, P. (1998), “Inside The Black Box” </w:t>
      </w:r>
      <w:r>
        <w:t xml:space="preserve">Page 17. Available at: </w:t>
      </w:r>
      <w:hyperlink r:id="rId24" w:history="1">
        <w:r w:rsidRPr="000D6A74">
          <w:rPr>
            <w:rStyle w:val="Hyperlink"/>
          </w:rPr>
          <w:t>books.google.co.uk</w:t>
        </w:r>
      </w:hyperlink>
    </w:p>
    <w:p w:rsidR="005677B9" w:rsidRDefault="005677B9" w:rsidP="005677B9"/>
    <w:p w:rsidR="005677B9" w:rsidRDefault="005677B9" w:rsidP="005677B9">
      <w:r>
        <w:rPr>
          <w:b/>
          <w:bCs/>
        </w:rPr>
        <w:t xml:space="preserve">Woods, P. (2012), “Teacher Strategies: Explorations in the Sociology of the School” </w:t>
      </w:r>
      <w:r>
        <w:t xml:space="preserve">Page 51. Available at: </w:t>
      </w:r>
      <w:hyperlink r:id="rId25" w:history="1">
        <w:r w:rsidRPr="000D6A74">
          <w:rPr>
            <w:rStyle w:val="Hyperlink"/>
          </w:rPr>
          <w:t>books.google.co.uk</w:t>
        </w:r>
      </w:hyperlink>
    </w:p>
    <w:p w:rsidR="005677B9" w:rsidRDefault="005677B9" w:rsidP="005677B9"/>
    <w:p w:rsidR="005677B9" w:rsidRPr="00A301D1" w:rsidRDefault="005677B9" w:rsidP="005677B9"/>
    <w:p w:rsidR="005677B9" w:rsidRPr="00890C81" w:rsidRDefault="005677B9" w:rsidP="005677B9"/>
    <w:p w:rsidR="005677B9" w:rsidRPr="00890C81" w:rsidRDefault="005677B9" w:rsidP="005677B9"/>
    <w:p w:rsidR="005677B9" w:rsidRDefault="005677B9" w:rsidP="005677B9"/>
    <w:p w:rsidR="005677B9" w:rsidRDefault="005677B9" w:rsidP="005677B9"/>
    <w:p w:rsidR="005677B9" w:rsidRPr="000D6A74" w:rsidRDefault="005677B9" w:rsidP="005677B9"/>
    <w:p w:rsidR="005677B9" w:rsidRDefault="005677B9" w:rsidP="005677B9"/>
    <w:p w:rsidR="005677B9" w:rsidRPr="00BE5A63" w:rsidRDefault="005677B9" w:rsidP="005677B9">
      <w:pPr>
        <w:rPr>
          <w:b/>
          <w:bCs/>
        </w:rPr>
      </w:pPr>
    </w:p>
    <w:p w:rsidR="005677B9" w:rsidRDefault="005677B9" w:rsidP="005677B9"/>
    <w:p w:rsidR="005677B9" w:rsidRPr="00675F61" w:rsidRDefault="005677B9" w:rsidP="005677B9"/>
    <w:p w:rsidR="005677B9" w:rsidRPr="007E3E6C" w:rsidRDefault="005677B9">
      <w:pPr>
        <w:rPr>
          <w:rFonts w:eastAsia="Times New Roman" w:cstheme="minorHAnsi"/>
          <w:lang w:eastAsia="en-GB"/>
        </w:rPr>
      </w:pPr>
      <w:bookmarkStart w:id="0" w:name="_GoBack"/>
      <w:bookmarkEnd w:id="0"/>
    </w:p>
    <w:sectPr w:rsidR="005677B9" w:rsidRPr="007E3E6C" w:rsidSect="0091519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744"/>
    <w:rsid w:val="00000A05"/>
    <w:rsid w:val="00012B59"/>
    <w:rsid w:val="000819A4"/>
    <w:rsid w:val="000A03FD"/>
    <w:rsid w:val="000A13EB"/>
    <w:rsid w:val="000F09AC"/>
    <w:rsid w:val="002051F7"/>
    <w:rsid w:val="00217EB4"/>
    <w:rsid w:val="00247CA5"/>
    <w:rsid w:val="002B374B"/>
    <w:rsid w:val="004D3321"/>
    <w:rsid w:val="005677B9"/>
    <w:rsid w:val="00611BBE"/>
    <w:rsid w:val="00653D8C"/>
    <w:rsid w:val="00657D3B"/>
    <w:rsid w:val="006F7E31"/>
    <w:rsid w:val="007E3E6C"/>
    <w:rsid w:val="00915193"/>
    <w:rsid w:val="009335FC"/>
    <w:rsid w:val="00986EB8"/>
    <w:rsid w:val="009E5DD4"/>
    <w:rsid w:val="00A56FDD"/>
    <w:rsid w:val="00AC0744"/>
    <w:rsid w:val="00AC1C75"/>
    <w:rsid w:val="00AF3211"/>
    <w:rsid w:val="00B12C01"/>
    <w:rsid w:val="00B544AA"/>
    <w:rsid w:val="00BD04C7"/>
    <w:rsid w:val="00C006CC"/>
    <w:rsid w:val="00C3523B"/>
    <w:rsid w:val="00C53976"/>
    <w:rsid w:val="00CB7F41"/>
    <w:rsid w:val="00CE476C"/>
    <w:rsid w:val="00D31DDE"/>
    <w:rsid w:val="00DA1C19"/>
    <w:rsid w:val="00E7423A"/>
    <w:rsid w:val="00E76F6D"/>
    <w:rsid w:val="00EC413B"/>
    <w:rsid w:val="00EE5726"/>
    <w:rsid w:val="00FB5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C7D2EB"/>
  <w15:chartTrackingRefBased/>
  <w15:docId w15:val="{E73C275C-BC87-DC41-ADA6-3790E65D7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C0744"/>
  </w:style>
  <w:style w:type="character" w:customStyle="1" w:styleId="apple-converted-space">
    <w:name w:val="apple-converted-space"/>
    <w:basedOn w:val="DefaultParagraphFont"/>
    <w:rsid w:val="00AC0744"/>
  </w:style>
  <w:style w:type="character" w:customStyle="1" w:styleId="eop">
    <w:name w:val="eop"/>
    <w:basedOn w:val="DefaultParagraphFont"/>
    <w:rsid w:val="00AC0744"/>
  </w:style>
  <w:style w:type="paragraph" w:styleId="NormalWeb">
    <w:name w:val="Normal (Web)"/>
    <w:basedOn w:val="Normal"/>
    <w:uiPriority w:val="99"/>
    <w:unhideWhenUsed/>
    <w:rsid w:val="00A56FD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677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266161">
      <w:bodyDiv w:val="1"/>
      <w:marLeft w:val="0"/>
      <w:marRight w:val="0"/>
      <w:marTop w:val="0"/>
      <w:marBottom w:val="0"/>
      <w:divBdr>
        <w:top w:val="none" w:sz="0" w:space="0" w:color="auto"/>
        <w:left w:val="none" w:sz="0" w:space="0" w:color="auto"/>
        <w:bottom w:val="none" w:sz="0" w:space="0" w:color="auto"/>
        <w:right w:val="none" w:sz="0" w:space="0" w:color="auto"/>
      </w:divBdr>
      <w:divsChild>
        <w:div w:id="2102605891">
          <w:marLeft w:val="0"/>
          <w:marRight w:val="0"/>
          <w:marTop w:val="0"/>
          <w:marBottom w:val="0"/>
          <w:divBdr>
            <w:top w:val="none" w:sz="0" w:space="0" w:color="auto"/>
            <w:left w:val="none" w:sz="0" w:space="0" w:color="auto"/>
            <w:bottom w:val="none" w:sz="0" w:space="0" w:color="auto"/>
            <w:right w:val="none" w:sz="0" w:space="0" w:color="auto"/>
          </w:divBdr>
          <w:divsChild>
            <w:div w:id="734091667">
              <w:marLeft w:val="0"/>
              <w:marRight w:val="0"/>
              <w:marTop w:val="0"/>
              <w:marBottom w:val="0"/>
              <w:divBdr>
                <w:top w:val="none" w:sz="0" w:space="0" w:color="auto"/>
                <w:left w:val="none" w:sz="0" w:space="0" w:color="auto"/>
                <w:bottom w:val="none" w:sz="0" w:space="0" w:color="auto"/>
                <w:right w:val="none" w:sz="0" w:space="0" w:color="auto"/>
              </w:divBdr>
              <w:divsChild>
                <w:div w:id="905604101">
                  <w:marLeft w:val="0"/>
                  <w:marRight w:val="0"/>
                  <w:marTop w:val="0"/>
                  <w:marBottom w:val="0"/>
                  <w:divBdr>
                    <w:top w:val="none" w:sz="0" w:space="0" w:color="auto"/>
                    <w:left w:val="none" w:sz="0" w:space="0" w:color="auto"/>
                    <w:bottom w:val="none" w:sz="0" w:space="0" w:color="auto"/>
                    <w:right w:val="none" w:sz="0" w:space="0" w:color="auto"/>
                  </w:divBdr>
                  <w:divsChild>
                    <w:div w:id="203025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755076">
      <w:bodyDiv w:val="1"/>
      <w:marLeft w:val="0"/>
      <w:marRight w:val="0"/>
      <w:marTop w:val="0"/>
      <w:marBottom w:val="0"/>
      <w:divBdr>
        <w:top w:val="none" w:sz="0" w:space="0" w:color="auto"/>
        <w:left w:val="none" w:sz="0" w:space="0" w:color="auto"/>
        <w:bottom w:val="none" w:sz="0" w:space="0" w:color="auto"/>
        <w:right w:val="none" w:sz="0" w:space="0" w:color="auto"/>
      </w:divBdr>
    </w:div>
    <w:div w:id="1370565682">
      <w:bodyDiv w:val="1"/>
      <w:marLeft w:val="0"/>
      <w:marRight w:val="0"/>
      <w:marTop w:val="0"/>
      <w:marBottom w:val="0"/>
      <w:divBdr>
        <w:top w:val="none" w:sz="0" w:space="0" w:color="auto"/>
        <w:left w:val="none" w:sz="0" w:space="0" w:color="auto"/>
        <w:bottom w:val="none" w:sz="0" w:space="0" w:color="auto"/>
        <w:right w:val="none" w:sz="0" w:space="0" w:color="auto"/>
      </w:divBdr>
    </w:div>
    <w:div w:id="1621185759">
      <w:bodyDiv w:val="1"/>
      <w:marLeft w:val="0"/>
      <w:marRight w:val="0"/>
      <w:marTop w:val="0"/>
      <w:marBottom w:val="0"/>
      <w:divBdr>
        <w:top w:val="none" w:sz="0" w:space="0" w:color="auto"/>
        <w:left w:val="none" w:sz="0" w:space="0" w:color="auto"/>
        <w:bottom w:val="none" w:sz="0" w:space="0" w:color="auto"/>
        <w:right w:val="none" w:sz="0" w:space="0" w:color="auto"/>
      </w:divBdr>
    </w:div>
    <w:div w:id="193091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ezproxy.uwtsd.ac.uk" TargetMode="External"/><Relationship Id="rId13" Type="http://schemas.openxmlformats.org/officeDocument/2006/relationships/hyperlink" Target="gov.wales" TargetMode="External"/><Relationship Id="rId18" Type="http://schemas.openxmlformats.org/officeDocument/2006/relationships/hyperlink" Target="http://www.dawsonera-com.ezproxy..uwtsd.ac.u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tandfonline-com.ezproxy.uwtsd.ac.uk" TargetMode="External"/><Relationship Id="rId7" Type="http://schemas.openxmlformats.org/officeDocument/2006/relationships/hyperlink" Target="http://whel-primo.hosted.exlibrisgroup.com/" TargetMode="External"/><Relationship Id="rId12" Type="http://schemas.openxmlformats.org/officeDocument/2006/relationships/hyperlink" Target="gov.wales" TargetMode="External"/><Relationship Id="rId17" Type="http://schemas.openxmlformats.org/officeDocument/2006/relationships/hyperlink" Target="http://www.tandfonline-com.ezproxy.uwtsd.ac.uk" TargetMode="External"/><Relationship Id="rId25" Type="http://schemas.openxmlformats.org/officeDocument/2006/relationships/hyperlink" Target="books.google.co.uk" TargetMode="External"/><Relationship Id="rId2" Type="http://schemas.openxmlformats.org/officeDocument/2006/relationships/settings" Target="settings.xml"/><Relationship Id="rId16" Type="http://schemas.openxmlformats.org/officeDocument/2006/relationships/hyperlink" Target="http://www.dawsonera-com.ezproxy..uwtsd.ac.uk" TargetMode="External"/><Relationship Id="rId20" Type="http://schemas.openxmlformats.org/officeDocument/2006/relationships/hyperlink" Target="http://www.tandfonline-com.ezproxy.uwtsd.ac.uk" TargetMode="External"/><Relationship Id="rId1" Type="http://schemas.openxmlformats.org/officeDocument/2006/relationships/styles" Target="styles.xml"/><Relationship Id="rId6" Type="http://schemas.openxmlformats.org/officeDocument/2006/relationships/hyperlink" Target="web-b-ebschost-com.ezproxy.uwtsd.ac.uk" TargetMode="External"/><Relationship Id="rId11" Type="http://schemas.openxmlformats.org/officeDocument/2006/relationships/hyperlink" Target="gov.wales" TargetMode="External"/><Relationship Id="rId24" Type="http://schemas.openxmlformats.org/officeDocument/2006/relationships/hyperlink" Target="books.google.co.uk" TargetMode="External"/><Relationship Id="rId5" Type="http://schemas.openxmlformats.org/officeDocument/2006/relationships/hyperlink" Target="web-b-ebschost-com.ezproxy.uwtsd.ac.uk" TargetMode="External"/><Relationship Id="rId15" Type="http://schemas.openxmlformats.org/officeDocument/2006/relationships/hyperlink" Target="http://www.tandfonline-com.ezproxy.uwtsd.ac.uk" TargetMode="External"/><Relationship Id="rId23" Type="http://schemas.openxmlformats.org/officeDocument/2006/relationships/hyperlink" Target="http://s3-eu-west-1.amazonaws.com/" TargetMode="External"/><Relationship Id="rId10" Type="http://schemas.openxmlformats.org/officeDocument/2006/relationships/hyperlink" Target="web-b-ebschost-com.ezproxy.uwtsd.ac.uk" TargetMode="External"/><Relationship Id="rId19" Type="http://schemas.openxmlformats.org/officeDocument/2006/relationships/hyperlink" Target="http://www.dawsonera-com.ezproxy..uwtsd.ac.uk" TargetMode="External"/><Relationship Id="rId4" Type="http://schemas.openxmlformats.org/officeDocument/2006/relationships/hyperlink" Target="http://estyn.gov.wales/" TargetMode="External"/><Relationship Id="rId9" Type="http://schemas.openxmlformats.org/officeDocument/2006/relationships/hyperlink" Target="http://www.dawsonera-com.ezproxy..uwtsd.ac.uk" TargetMode="External"/><Relationship Id="rId14" Type="http://schemas.openxmlformats.org/officeDocument/2006/relationships/hyperlink" Target="gov.wales" TargetMode="External"/><Relationship Id="rId22" Type="http://schemas.openxmlformats.org/officeDocument/2006/relationships/hyperlink" Target="http://whel-primo.hosted.exlibrisgroup.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8</Pages>
  <Words>3913</Words>
  <Characters>20975</Characters>
  <Application>Microsoft Office Word</Application>
  <DocSecurity>0</DocSecurity>
  <Lines>299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10</cp:revision>
  <dcterms:created xsi:type="dcterms:W3CDTF">2019-12-20T12:42:00Z</dcterms:created>
  <dcterms:modified xsi:type="dcterms:W3CDTF">2020-01-04T15:13:00Z</dcterms:modified>
</cp:coreProperties>
</file>