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DFFE4" w14:textId="270C856E" w:rsidR="00F8256B" w:rsidRDefault="00F8256B" w:rsidP="00F8256B">
      <w:pPr>
        <w:spacing w:line="360" w:lineRule="auto"/>
      </w:pPr>
    </w:p>
    <w:p w14:paraId="6FB96003" w14:textId="3E83BC45" w:rsidR="00F8256B" w:rsidRDefault="00F8256B" w:rsidP="00F8256B">
      <w:pPr>
        <w:spacing w:line="360" w:lineRule="auto"/>
      </w:pPr>
      <w:bookmarkStart w:id="0" w:name="_zasuwarlxcho" w:colFirst="0" w:colLast="0"/>
      <w:bookmarkEnd w:id="0"/>
    </w:p>
    <w:p w14:paraId="2DC03991" w14:textId="26678F6D" w:rsidR="00F8256B" w:rsidRDefault="00F8256B" w:rsidP="00F8256B">
      <w:pPr>
        <w:spacing w:line="360" w:lineRule="auto"/>
      </w:pPr>
      <w:r w:rsidRPr="00A406E5">
        <w:rPr>
          <w:noProof/>
        </w:rPr>
        <w:drawing>
          <wp:anchor distT="0" distB="0" distL="114300" distR="114300" simplePos="0" relativeHeight="251659264" behindDoc="0" locked="0" layoutInCell="1" allowOverlap="1" wp14:anchorId="29FD1696" wp14:editId="6DF6007E">
            <wp:simplePos x="0" y="0"/>
            <wp:positionH relativeFrom="margin">
              <wp:align>center</wp:align>
            </wp:positionH>
            <wp:positionV relativeFrom="paragraph">
              <wp:posOffset>11430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12C525A" w14:textId="4C604540" w:rsidR="00F8256B" w:rsidRDefault="00F8256B" w:rsidP="00F8256B">
      <w:pPr>
        <w:spacing w:line="360" w:lineRule="auto"/>
      </w:pPr>
    </w:p>
    <w:p w14:paraId="244D7A26" w14:textId="4C0C1D06" w:rsidR="00F8256B" w:rsidRDefault="00F8256B" w:rsidP="00F8256B">
      <w:pPr>
        <w:spacing w:line="360" w:lineRule="auto"/>
      </w:pPr>
    </w:p>
    <w:p w14:paraId="07C24B0C" w14:textId="43C5B2FF" w:rsidR="00F8256B" w:rsidRDefault="00F8256B" w:rsidP="00F8256B">
      <w:pPr>
        <w:spacing w:line="360" w:lineRule="auto"/>
      </w:pPr>
    </w:p>
    <w:p w14:paraId="1270BDDA" w14:textId="0A30062D" w:rsidR="00F8256B" w:rsidRDefault="00F8256B" w:rsidP="00F8256B">
      <w:pPr>
        <w:spacing w:line="360" w:lineRule="auto"/>
      </w:pPr>
    </w:p>
    <w:p w14:paraId="6F69A5BD" w14:textId="77777777" w:rsidR="00F8256B" w:rsidRDefault="00F8256B" w:rsidP="00F8256B">
      <w:pPr>
        <w:spacing w:line="360" w:lineRule="auto"/>
      </w:pPr>
    </w:p>
    <w:p w14:paraId="68BBD385" w14:textId="77777777" w:rsidR="00F8256B" w:rsidRDefault="00F8256B" w:rsidP="00F8256B">
      <w:pPr>
        <w:spacing w:line="360" w:lineRule="auto"/>
      </w:pPr>
    </w:p>
    <w:p w14:paraId="5ACC42C1" w14:textId="6929D6BA" w:rsidR="00F8256B" w:rsidRPr="00F8256B" w:rsidRDefault="00F8256B" w:rsidP="00F8256B">
      <w:pPr>
        <w:spacing w:before="120" w:after="120" w:line="360" w:lineRule="auto"/>
        <w:jc w:val="center"/>
        <w:rPr>
          <w:b/>
          <w:bCs/>
          <w:sz w:val="32"/>
          <w:szCs w:val="32"/>
        </w:rPr>
      </w:pPr>
      <w:r w:rsidRPr="00F8256B">
        <w:rPr>
          <w:b/>
          <w:bCs/>
          <w:sz w:val="32"/>
          <w:szCs w:val="32"/>
        </w:rPr>
        <w:t>Course Name: CertHE Policing Profession</w:t>
      </w:r>
    </w:p>
    <w:p w14:paraId="37830CD6" w14:textId="12CE5E21" w:rsidR="00F8256B" w:rsidRPr="00F8256B" w:rsidRDefault="00F8256B" w:rsidP="00F8256B">
      <w:pPr>
        <w:spacing w:before="120" w:after="120" w:line="360" w:lineRule="auto"/>
        <w:jc w:val="center"/>
        <w:rPr>
          <w:b/>
          <w:bCs/>
          <w:sz w:val="32"/>
          <w:szCs w:val="32"/>
        </w:rPr>
      </w:pPr>
      <w:r w:rsidRPr="00F8256B">
        <w:rPr>
          <w:b/>
          <w:bCs/>
          <w:sz w:val="32"/>
          <w:szCs w:val="32"/>
        </w:rPr>
        <w:t xml:space="preserve">Module Name: </w:t>
      </w:r>
      <w:bookmarkStart w:id="1" w:name="_Hlk169617636"/>
      <w:r w:rsidRPr="00F8256B">
        <w:rPr>
          <w:b/>
          <w:bCs/>
          <w:sz w:val="32"/>
          <w:szCs w:val="32"/>
        </w:rPr>
        <w:t>Criminal law</w:t>
      </w:r>
      <w:bookmarkEnd w:id="1"/>
    </w:p>
    <w:p w14:paraId="4AE9DC5C" w14:textId="0F1424A4" w:rsidR="00F8256B" w:rsidRPr="00F8256B" w:rsidRDefault="00F8256B" w:rsidP="00F8256B">
      <w:pPr>
        <w:spacing w:line="360" w:lineRule="auto"/>
        <w:jc w:val="center"/>
        <w:rPr>
          <w:b/>
          <w:bCs/>
          <w:sz w:val="32"/>
          <w:szCs w:val="32"/>
        </w:rPr>
      </w:pPr>
      <w:r w:rsidRPr="00F8256B">
        <w:rPr>
          <w:b/>
          <w:bCs/>
          <w:sz w:val="32"/>
          <w:szCs w:val="32"/>
        </w:rPr>
        <w:t>Module Leader: Laura Knight</w:t>
      </w:r>
    </w:p>
    <w:p w14:paraId="6201CE96" w14:textId="49F1C542" w:rsidR="00F8256B" w:rsidRPr="00F8256B" w:rsidRDefault="00F8256B" w:rsidP="00F8256B">
      <w:pPr>
        <w:spacing w:line="360" w:lineRule="auto"/>
        <w:jc w:val="center"/>
        <w:rPr>
          <w:b/>
          <w:bCs/>
          <w:sz w:val="32"/>
          <w:szCs w:val="32"/>
        </w:rPr>
      </w:pPr>
      <w:r w:rsidRPr="00F8256B">
        <w:rPr>
          <w:b/>
          <w:bCs/>
          <w:sz w:val="32"/>
          <w:szCs w:val="32"/>
        </w:rPr>
        <w:t>Student Name: Gabriel Calin Moldovan</w:t>
      </w:r>
    </w:p>
    <w:p w14:paraId="23731155" w14:textId="04AE9859" w:rsidR="00F8256B" w:rsidRDefault="00F8256B" w:rsidP="00F8256B">
      <w:pPr>
        <w:spacing w:line="360" w:lineRule="auto"/>
        <w:jc w:val="center"/>
        <w:rPr>
          <w:b/>
          <w:bCs/>
          <w:sz w:val="32"/>
          <w:szCs w:val="32"/>
        </w:rPr>
      </w:pPr>
      <w:r w:rsidRPr="00F8256B">
        <w:rPr>
          <w:b/>
          <w:bCs/>
          <w:sz w:val="32"/>
          <w:szCs w:val="32"/>
        </w:rPr>
        <w:t>Student ID:</w:t>
      </w:r>
      <w:r w:rsidR="009575F4">
        <w:rPr>
          <w:b/>
          <w:bCs/>
          <w:sz w:val="32"/>
          <w:szCs w:val="32"/>
        </w:rPr>
        <w:t>2314720</w:t>
      </w:r>
    </w:p>
    <w:p w14:paraId="27CACBDF" w14:textId="77777777" w:rsidR="00F8256B" w:rsidRDefault="00F8256B" w:rsidP="00F8256B">
      <w:pPr>
        <w:spacing w:line="360" w:lineRule="auto"/>
        <w:rPr>
          <w:b/>
          <w:bCs/>
          <w:sz w:val="32"/>
          <w:szCs w:val="32"/>
        </w:rPr>
      </w:pPr>
      <w:r>
        <w:rPr>
          <w:b/>
          <w:bCs/>
          <w:sz w:val="32"/>
          <w:szCs w:val="32"/>
        </w:rPr>
        <w:br w:type="page"/>
      </w:r>
    </w:p>
    <w:sdt>
      <w:sdtPr>
        <w:rPr>
          <w:rFonts w:ascii="Arial" w:eastAsia="Arial" w:hAnsi="Arial" w:cs="Arial"/>
          <w:color w:val="auto"/>
          <w:sz w:val="22"/>
          <w:szCs w:val="22"/>
          <w:lang w:val="en-GB"/>
        </w:rPr>
        <w:id w:val="-1568796014"/>
        <w:docPartObj>
          <w:docPartGallery w:val="Table of Contents"/>
          <w:docPartUnique/>
        </w:docPartObj>
      </w:sdtPr>
      <w:sdtEndPr>
        <w:rPr>
          <w:b/>
          <w:bCs/>
          <w:noProof/>
        </w:rPr>
      </w:sdtEndPr>
      <w:sdtContent>
        <w:p w14:paraId="607153AA" w14:textId="209E4236" w:rsidR="0001271A" w:rsidRDefault="0001271A">
          <w:pPr>
            <w:pStyle w:val="TOCHeading"/>
          </w:pPr>
          <w:r>
            <w:t>Table of Contents</w:t>
          </w:r>
        </w:p>
        <w:p w14:paraId="04C41CCA" w14:textId="37F44D55" w:rsidR="0001271A" w:rsidRDefault="0001271A">
          <w:pPr>
            <w:pStyle w:val="TOC1"/>
            <w:tabs>
              <w:tab w:val="right" w:leader="dot" w:pos="9019"/>
            </w:tabs>
            <w:rPr>
              <w:noProof/>
            </w:rPr>
          </w:pPr>
          <w:r>
            <w:fldChar w:fldCharType="begin"/>
          </w:r>
          <w:r>
            <w:instrText xml:space="preserve"> TOC \o "1-3" \h \z \u </w:instrText>
          </w:r>
          <w:r>
            <w:fldChar w:fldCharType="separate"/>
          </w:r>
          <w:hyperlink w:anchor="_Toc169618221" w:history="1">
            <w:r w:rsidRPr="00CC4D5B">
              <w:rPr>
                <w:rStyle w:val="Hyperlink"/>
                <w:noProof/>
              </w:rPr>
              <w:t>Task A</w:t>
            </w:r>
            <w:r>
              <w:rPr>
                <w:noProof/>
                <w:webHidden/>
              </w:rPr>
              <w:tab/>
            </w:r>
            <w:r>
              <w:rPr>
                <w:noProof/>
                <w:webHidden/>
              </w:rPr>
              <w:fldChar w:fldCharType="begin"/>
            </w:r>
            <w:r>
              <w:rPr>
                <w:noProof/>
                <w:webHidden/>
              </w:rPr>
              <w:instrText xml:space="preserve"> PAGEREF _Toc169618221 \h </w:instrText>
            </w:r>
            <w:r>
              <w:rPr>
                <w:noProof/>
                <w:webHidden/>
              </w:rPr>
            </w:r>
            <w:r>
              <w:rPr>
                <w:noProof/>
                <w:webHidden/>
              </w:rPr>
              <w:fldChar w:fldCharType="separate"/>
            </w:r>
            <w:r>
              <w:rPr>
                <w:noProof/>
                <w:webHidden/>
              </w:rPr>
              <w:t>3</w:t>
            </w:r>
            <w:r>
              <w:rPr>
                <w:noProof/>
                <w:webHidden/>
              </w:rPr>
              <w:fldChar w:fldCharType="end"/>
            </w:r>
          </w:hyperlink>
        </w:p>
        <w:p w14:paraId="72912335" w14:textId="6F8D71DF" w:rsidR="0001271A" w:rsidRDefault="00000000">
          <w:pPr>
            <w:pStyle w:val="TOC2"/>
            <w:tabs>
              <w:tab w:val="right" w:leader="dot" w:pos="9019"/>
            </w:tabs>
            <w:rPr>
              <w:noProof/>
            </w:rPr>
          </w:pPr>
          <w:hyperlink w:anchor="_Toc169618222" w:history="1">
            <w:r w:rsidR="0001271A" w:rsidRPr="00CC4D5B">
              <w:rPr>
                <w:rStyle w:val="Hyperlink"/>
                <w:noProof/>
              </w:rPr>
              <w:t>1. Possibility of general duty to act in criminal law</w:t>
            </w:r>
            <w:r w:rsidR="0001271A">
              <w:rPr>
                <w:noProof/>
                <w:webHidden/>
              </w:rPr>
              <w:tab/>
            </w:r>
            <w:r w:rsidR="0001271A">
              <w:rPr>
                <w:noProof/>
                <w:webHidden/>
              </w:rPr>
              <w:fldChar w:fldCharType="begin"/>
            </w:r>
            <w:r w:rsidR="0001271A">
              <w:rPr>
                <w:noProof/>
                <w:webHidden/>
              </w:rPr>
              <w:instrText xml:space="preserve"> PAGEREF _Toc169618222 \h </w:instrText>
            </w:r>
            <w:r w:rsidR="0001271A">
              <w:rPr>
                <w:noProof/>
                <w:webHidden/>
              </w:rPr>
            </w:r>
            <w:r w:rsidR="0001271A">
              <w:rPr>
                <w:noProof/>
                <w:webHidden/>
              </w:rPr>
              <w:fldChar w:fldCharType="separate"/>
            </w:r>
            <w:r w:rsidR="0001271A">
              <w:rPr>
                <w:noProof/>
                <w:webHidden/>
              </w:rPr>
              <w:t>3</w:t>
            </w:r>
            <w:r w:rsidR="0001271A">
              <w:rPr>
                <w:noProof/>
                <w:webHidden/>
              </w:rPr>
              <w:fldChar w:fldCharType="end"/>
            </w:r>
          </w:hyperlink>
        </w:p>
        <w:p w14:paraId="4500A070" w14:textId="56E8C36B" w:rsidR="0001271A" w:rsidRDefault="00000000">
          <w:pPr>
            <w:pStyle w:val="TOC2"/>
            <w:tabs>
              <w:tab w:val="right" w:leader="dot" w:pos="9019"/>
            </w:tabs>
            <w:rPr>
              <w:noProof/>
            </w:rPr>
          </w:pPr>
          <w:hyperlink w:anchor="_Toc169618223" w:history="1">
            <w:r w:rsidR="0001271A" w:rsidRPr="00CC4D5B">
              <w:rPr>
                <w:rStyle w:val="Hyperlink"/>
                <w:noProof/>
              </w:rPr>
              <w:t>2. Requirements for a crime to be committed by omission</w:t>
            </w:r>
            <w:r w:rsidR="0001271A">
              <w:rPr>
                <w:noProof/>
                <w:webHidden/>
              </w:rPr>
              <w:tab/>
            </w:r>
            <w:r w:rsidR="0001271A">
              <w:rPr>
                <w:noProof/>
                <w:webHidden/>
              </w:rPr>
              <w:fldChar w:fldCharType="begin"/>
            </w:r>
            <w:r w:rsidR="0001271A">
              <w:rPr>
                <w:noProof/>
                <w:webHidden/>
              </w:rPr>
              <w:instrText xml:space="preserve"> PAGEREF _Toc169618223 \h </w:instrText>
            </w:r>
            <w:r w:rsidR="0001271A">
              <w:rPr>
                <w:noProof/>
                <w:webHidden/>
              </w:rPr>
            </w:r>
            <w:r w:rsidR="0001271A">
              <w:rPr>
                <w:noProof/>
                <w:webHidden/>
              </w:rPr>
              <w:fldChar w:fldCharType="separate"/>
            </w:r>
            <w:r w:rsidR="0001271A">
              <w:rPr>
                <w:noProof/>
                <w:webHidden/>
              </w:rPr>
              <w:t>3</w:t>
            </w:r>
            <w:r w:rsidR="0001271A">
              <w:rPr>
                <w:noProof/>
                <w:webHidden/>
              </w:rPr>
              <w:fldChar w:fldCharType="end"/>
            </w:r>
          </w:hyperlink>
        </w:p>
        <w:p w14:paraId="4417D004" w14:textId="2739F040" w:rsidR="0001271A" w:rsidRDefault="00000000">
          <w:pPr>
            <w:pStyle w:val="TOC2"/>
            <w:tabs>
              <w:tab w:val="right" w:leader="dot" w:pos="9019"/>
            </w:tabs>
            <w:rPr>
              <w:noProof/>
            </w:rPr>
          </w:pPr>
          <w:hyperlink w:anchor="_Toc169618224" w:history="1">
            <w:r w:rsidR="0001271A" w:rsidRPr="00CC4D5B">
              <w:rPr>
                <w:rStyle w:val="Hyperlink"/>
                <w:noProof/>
              </w:rPr>
              <w:t>3. Presentation of statutory duty to act</w:t>
            </w:r>
            <w:r w:rsidR="0001271A">
              <w:rPr>
                <w:noProof/>
                <w:webHidden/>
              </w:rPr>
              <w:tab/>
            </w:r>
            <w:r w:rsidR="0001271A">
              <w:rPr>
                <w:noProof/>
                <w:webHidden/>
              </w:rPr>
              <w:fldChar w:fldCharType="begin"/>
            </w:r>
            <w:r w:rsidR="0001271A">
              <w:rPr>
                <w:noProof/>
                <w:webHidden/>
              </w:rPr>
              <w:instrText xml:space="preserve"> PAGEREF _Toc169618224 \h </w:instrText>
            </w:r>
            <w:r w:rsidR="0001271A">
              <w:rPr>
                <w:noProof/>
                <w:webHidden/>
              </w:rPr>
            </w:r>
            <w:r w:rsidR="0001271A">
              <w:rPr>
                <w:noProof/>
                <w:webHidden/>
              </w:rPr>
              <w:fldChar w:fldCharType="separate"/>
            </w:r>
            <w:r w:rsidR="0001271A">
              <w:rPr>
                <w:noProof/>
                <w:webHidden/>
              </w:rPr>
              <w:t>3</w:t>
            </w:r>
            <w:r w:rsidR="0001271A">
              <w:rPr>
                <w:noProof/>
                <w:webHidden/>
              </w:rPr>
              <w:fldChar w:fldCharType="end"/>
            </w:r>
          </w:hyperlink>
        </w:p>
        <w:p w14:paraId="6093EF6F" w14:textId="27C0614D" w:rsidR="0001271A" w:rsidRDefault="00000000">
          <w:pPr>
            <w:pStyle w:val="TOC2"/>
            <w:tabs>
              <w:tab w:val="right" w:leader="dot" w:pos="9019"/>
            </w:tabs>
            <w:rPr>
              <w:noProof/>
            </w:rPr>
          </w:pPr>
          <w:hyperlink w:anchor="_Toc169618225" w:history="1">
            <w:r w:rsidR="0001271A" w:rsidRPr="00CC4D5B">
              <w:rPr>
                <w:rStyle w:val="Hyperlink"/>
                <w:noProof/>
              </w:rPr>
              <w:t>4. Contractual/ duty based on office</w:t>
            </w:r>
            <w:r w:rsidR="0001271A">
              <w:rPr>
                <w:noProof/>
                <w:webHidden/>
              </w:rPr>
              <w:tab/>
            </w:r>
            <w:r w:rsidR="0001271A">
              <w:rPr>
                <w:noProof/>
                <w:webHidden/>
              </w:rPr>
              <w:fldChar w:fldCharType="begin"/>
            </w:r>
            <w:r w:rsidR="0001271A">
              <w:rPr>
                <w:noProof/>
                <w:webHidden/>
              </w:rPr>
              <w:instrText xml:space="preserve"> PAGEREF _Toc169618225 \h </w:instrText>
            </w:r>
            <w:r w:rsidR="0001271A">
              <w:rPr>
                <w:noProof/>
                <w:webHidden/>
              </w:rPr>
            </w:r>
            <w:r w:rsidR="0001271A">
              <w:rPr>
                <w:noProof/>
                <w:webHidden/>
              </w:rPr>
              <w:fldChar w:fldCharType="separate"/>
            </w:r>
            <w:r w:rsidR="0001271A">
              <w:rPr>
                <w:noProof/>
                <w:webHidden/>
              </w:rPr>
              <w:t>4</w:t>
            </w:r>
            <w:r w:rsidR="0001271A">
              <w:rPr>
                <w:noProof/>
                <w:webHidden/>
              </w:rPr>
              <w:fldChar w:fldCharType="end"/>
            </w:r>
          </w:hyperlink>
        </w:p>
        <w:p w14:paraId="26556831" w14:textId="18415A72" w:rsidR="0001271A" w:rsidRDefault="00000000">
          <w:pPr>
            <w:pStyle w:val="TOC2"/>
            <w:tabs>
              <w:tab w:val="right" w:leader="dot" w:pos="9019"/>
            </w:tabs>
            <w:rPr>
              <w:noProof/>
            </w:rPr>
          </w:pPr>
          <w:hyperlink w:anchor="_Toc169618226" w:history="1">
            <w:r w:rsidR="0001271A" w:rsidRPr="00CC4D5B">
              <w:rPr>
                <w:rStyle w:val="Hyperlink"/>
                <w:noProof/>
              </w:rPr>
              <w:t>5. Development of assumed responsibility</w:t>
            </w:r>
            <w:r w:rsidR="0001271A">
              <w:rPr>
                <w:noProof/>
                <w:webHidden/>
              </w:rPr>
              <w:tab/>
            </w:r>
            <w:r w:rsidR="0001271A">
              <w:rPr>
                <w:noProof/>
                <w:webHidden/>
              </w:rPr>
              <w:fldChar w:fldCharType="begin"/>
            </w:r>
            <w:r w:rsidR="0001271A">
              <w:rPr>
                <w:noProof/>
                <w:webHidden/>
              </w:rPr>
              <w:instrText xml:space="preserve"> PAGEREF _Toc169618226 \h </w:instrText>
            </w:r>
            <w:r w:rsidR="0001271A">
              <w:rPr>
                <w:noProof/>
                <w:webHidden/>
              </w:rPr>
            </w:r>
            <w:r w:rsidR="0001271A">
              <w:rPr>
                <w:noProof/>
                <w:webHidden/>
              </w:rPr>
              <w:fldChar w:fldCharType="separate"/>
            </w:r>
            <w:r w:rsidR="0001271A">
              <w:rPr>
                <w:noProof/>
                <w:webHidden/>
              </w:rPr>
              <w:t>4</w:t>
            </w:r>
            <w:r w:rsidR="0001271A">
              <w:rPr>
                <w:noProof/>
                <w:webHidden/>
              </w:rPr>
              <w:fldChar w:fldCharType="end"/>
            </w:r>
          </w:hyperlink>
        </w:p>
        <w:p w14:paraId="358AE4BC" w14:textId="2B5F7C2B" w:rsidR="0001271A" w:rsidRDefault="00000000">
          <w:pPr>
            <w:pStyle w:val="TOC1"/>
            <w:tabs>
              <w:tab w:val="right" w:leader="dot" w:pos="9019"/>
            </w:tabs>
            <w:rPr>
              <w:noProof/>
            </w:rPr>
          </w:pPr>
          <w:hyperlink w:anchor="_Toc169618227" w:history="1">
            <w:r w:rsidR="0001271A" w:rsidRPr="00CC4D5B">
              <w:rPr>
                <w:rStyle w:val="Hyperlink"/>
                <w:noProof/>
              </w:rPr>
              <w:t>TASK B</w:t>
            </w:r>
            <w:r w:rsidR="0001271A">
              <w:rPr>
                <w:noProof/>
                <w:webHidden/>
              </w:rPr>
              <w:tab/>
            </w:r>
            <w:r w:rsidR="0001271A">
              <w:rPr>
                <w:noProof/>
                <w:webHidden/>
              </w:rPr>
              <w:fldChar w:fldCharType="begin"/>
            </w:r>
            <w:r w:rsidR="0001271A">
              <w:rPr>
                <w:noProof/>
                <w:webHidden/>
              </w:rPr>
              <w:instrText xml:space="preserve"> PAGEREF _Toc169618227 \h </w:instrText>
            </w:r>
            <w:r w:rsidR="0001271A">
              <w:rPr>
                <w:noProof/>
                <w:webHidden/>
              </w:rPr>
            </w:r>
            <w:r w:rsidR="0001271A">
              <w:rPr>
                <w:noProof/>
                <w:webHidden/>
              </w:rPr>
              <w:fldChar w:fldCharType="separate"/>
            </w:r>
            <w:r w:rsidR="0001271A">
              <w:rPr>
                <w:noProof/>
                <w:webHidden/>
              </w:rPr>
              <w:t>6</w:t>
            </w:r>
            <w:r w:rsidR="0001271A">
              <w:rPr>
                <w:noProof/>
                <w:webHidden/>
              </w:rPr>
              <w:fldChar w:fldCharType="end"/>
            </w:r>
          </w:hyperlink>
        </w:p>
        <w:p w14:paraId="2C75DE55" w14:textId="6A6398E0" w:rsidR="0001271A" w:rsidRDefault="00000000">
          <w:pPr>
            <w:pStyle w:val="TOC1"/>
            <w:tabs>
              <w:tab w:val="right" w:leader="dot" w:pos="9019"/>
            </w:tabs>
            <w:rPr>
              <w:noProof/>
            </w:rPr>
          </w:pPr>
          <w:hyperlink w:anchor="_Toc169618228" w:history="1">
            <w:r w:rsidR="0001271A" w:rsidRPr="00CC4D5B">
              <w:rPr>
                <w:rStyle w:val="Hyperlink"/>
                <w:noProof/>
              </w:rPr>
              <w:t>Introduction</w:t>
            </w:r>
            <w:r w:rsidR="0001271A">
              <w:rPr>
                <w:noProof/>
                <w:webHidden/>
              </w:rPr>
              <w:tab/>
            </w:r>
            <w:r w:rsidR="0001271A">
              <w:rPr>
                <w:noProof/>
                <w:webHidden/>
              </w:rPr>
              <w:fldChar w:fldCharType="begin"/>
            </w:r>
            <w:r w:rsidR="0001271A">
              <w:rPr>
                <w:noProof/>
                <w:webHidden/>
              </w:rPr>
              <w:instrText xml:space="preserve"> PAGEREF _Toc169618228 \h </w:instrText>
            </w:r>
            <w:r w:rsidR="0001271A">
              <w:rPr>
                <w:noProof/>
                <w:webHidden/>
              </w:rPr>
            </w:r>
            <w:r w:rsidR="0001271A">
              <w:rPr>
                <w:noProof/>
                <w:webHidden/>
              </w:rPr>
              <w:fldChar w:fldCharType="separate"/>
            </w:r>
            <w:r w:rsidR="0001271A">
              <w:rPr>
                <w:noProof/>
                <w:webHidden/>
              </w:rPr>
              <w:t>6</w:t>
            </w:r>
            <w:r w:rsidR="0001271A">
              <w:rPr>
                <w:noProof/>
                <w:webHidden/>
              </w:rPr>
              <w:fldChar w:fldCharType="end"/>
            </w:r>
          </w:hyperlink>
        </w:p>
        <w:p w14:paraId="40DF3B25" w14:textId="21C70CD2" w:rsidR="0001271A" w:rsidRDefault="00000000">
          <w:pPr>
            <w:pStyle w:val="TOC2"/>
            <w:tabs>
              <w:tab w:val="right" w:leader="dot" w:pos="9019"/>
            </w:tabs>
            <w:rPr>
              <w:noProof/>
            </w:rPr>
          </w:pPr>
          <w:hyperlink w:anchor="_Toc169618229" w:history="1">
            <w:r w:rsidR="0001271A" w:rsidRPr="00CC4D5B">
              <w:rPr>
                <w:rStyle w:val="Hyperlink"/>
                <w:noProof/>
              </w:rPr>
              <w:t>General duty to act within the criminal law of England and Wales</w:t>
            </w:r>
            <w:r w:rsidR="0001271A">
              <w:rPr>
                <w:noProof/>
                <w:webHidden/>
              </w:rPr>
              <w:tab/>
            </w:r>
            <w:r w:rsidR="0001271A">
              <w:rPr>
                <w:noProof/>
                <w:webHidden/>
              </w:rPr>
              <w:fldChar w:fldCharType="begin"/>
            </w:r>
            <w:r w:rsidR="0001271A">
              <w:rPr>
                <w:noProof/>
                <w:webHidden/>
              </w:rPr>
              <w:instrText xml:space="preserve"> PAGEREF _Toc169618229 \h </w:instrText>
            </w:r>
            <w:r w:rsidR="0001271A">
              <w:rPr>
                <w:noProof/>
                <w:webHidden/>
              </w:rPr>
            </w:r>
            <w:r w:rsidR="0001271A">
              <w:rPr>
                <w:noProof/>
                <w:webHidden/>
              </w:rPr>
              <w:fldChar w:fldCharType="separate"/>
            </w:r>
            <w:r w:rsidR="0001271A">
              <w:rPr>
                <w:noProof/>
                <w:webHidden/>
              </w:rPr>
              <w:t>6</w:t>
            </w:r>
            <w:r w:rsidR="0001271A">
              <w:rPr>
                <w:noProof/>
                <w:webHidden/>
              </w:rPr>
              <w:fldChar w:fldCharType="end"/>
            </w:r>
          </w:hyperlink>
        </w:p>
        <w:p w14:paraId="4EECD33B" w14:textId="351CE68E" w:rsidR="0001271A" w:rsidRDefault="00000000">
          <w:pPr>
            <w:pStyle w:val="TOC2"/>
            <w:tabs>
              <w:tab w:val="right" w:leader="dot" w:pos="9019"/>
            </w:tabs>
            <w:rPr>
              <w:noProof/>
            </w:rPr>
          </w:pPr>
          <w:hyperlink w:anchor="_Toc169618230" w:history="1">
            <w:r w:rsidR="0001271A" w:rsidRPr="00CC4D5B">
              <w:rPr>
                <w:rStyle w:val="Hyperlink"/>
                <w:noProof/>
              </w:rPr>
              <w:t>Arguments for general duty to act</w:t>
            </w:r>
            <w:r w:rsidR="0001271A">
              <w:rPr>
                <w:noProof/>
                <w:webHidden/>
              </w:rPr>
              <w:tab/>
            </w:r>
            <w:r w:rsidR="0001271A">
              <w:rPr>
                <w:noProof/>
                <w:webHidden/>
              </w:rPr>
              <w:fldChar w:fldCharType="begin"/>
            </w:r>
            <w:r w:rsidR="0001271A">
              <w:rPr>
                <w:noProof/>
                <w:webHidden/>
              </w:rPr>
              <w:instrText xml:space="preserve"> PAGEREF _Toc169618230 \h </w:instrText>
            </w:r>
            <w:r w:rsidR="0001271A">
              <w:rPr>
                <w:noProof/>
                <w:webHidden/>
              </w:rPr>
            </w:r>
            <w:r w:rsidR="0001271A">
              <w:rPr>
                <w:noProof/>
                <w:webHidden/>
              </w:rPr>
              <w:fldChar w:fldCharType="separate"/>
            </w:r>
            <w:r w:rsidR="0001271A">
              <w:rPr>
                <w:noProof/>
                <w:webHidden/>
              </w:rPr>
              <w:t>6</w:t>
            </w:r>
            <w:r w:rsidR="0001271A">
              <w:rPr>
                <w:noProof/>
                <w:webHidden/>
              </w:rPr>
              <w:fldChar w:fldCharType="end"/>
            </w:r>
          </w:hyperlink>
        </w:p>
        <w:p w14:paraId="6E7061A3" w14:textId="1C966EA6" w:rsidR="0001271A" w:rsidRDefault="00000000">
          <w:pPr>
            <w:pStyle w:val="TOC2"/>
            <w:tabs>
              <w:tab w:val="right" w:leader="dot" w:pos="9019"/>
            </w:tabs>
            <w:rPr>
              <w:noProof/>
            </w:rPr>
          </w:pPr>
          <w:hyperlink w:anchor="_Toc169618231" w:history="1">
            <w:r w:rsidR="0001271A" w:rsidRPr="00CC4D5B">
              <w:rPr>
                <w:rStyle w:val="Hyperlink"/>
                <w:noProof/>
              </w:rPr>
              <w:t>Arguments against the general duty to act</w:t>
            </w:r>
            <w:r w:rsidR="0001271A">
              <w:rPr>
                <w:noProof/>
                <w:webHidden/>
              </w:rPr>
              <w:tab/>
            </w:r>
            <w:r w:rsidR="0001271A">
              <w:rPr>
                <w:noProof/>
                <w:webHidden/>
              </w:rPr>
              <w:fldChar w:fldCharType="begin"/>
            </w:r>
            <w:r w:rsidR="0001271A">
              <w:rPr>
                <w:noProof/>
                <w:webHidden/>
              </w:rPr>
              <w:instrText xml:space="preserve"> PAGEREF _Toc169618231 \h </w:instrText>
            </w:r>
            <w:r w:rsidR="0001271A">
              <w:rPr>
                <w:noProof/>
                <w:webHidden/>
              </w:rPr>
            </w:r>
            <w:r w:rsidR="0001271A">
              <w:rPr>
                <w:noProof/>
                <w:webHidden/>
              </w:rPr>
              <w:fldChar w:fldCharType="separate"/>
            </w:r>
            <w:r w:rsidR="0001271A">
              <w:rPr>
                <w:noProof/>
                <w:webHidden/>
              </w:rPr>
              <w:t>7</w:t>
            </w:r>
            <w:r w:rsidR="0001271A">
              <w:rPr>
                <w:noProof/>
                <w:webHidden/>
              </w:rPr>
              <w:fldChar w:fldCharType="end"/>
            </w:r>
          </w:hyperlink>
        </w:p>
        <w:p w14:paraId="685E96EF" w14:textId="256DA2D0" w:rsidR="0001271A" w:rsidRDefault="00000000">
          <w:pPr>
            <w:pStyle w:val="TOC1"/>
            <w:tabs>
              <w:tab w:val="right" w:leader="dot" w:pos="9019"/>
            </w:tabs>
            <w:rPr>
              <w:noProof/>
            </w:rPr>
          </w:pPr>
          <w:hyperlink w:anchor="_Toc169618232" w:history="1">
            <w:r w:rsidR="0001271A" w:rsidRPr="00CC4D5B">
              <w:rPr>
                <w:rStyle w:val="Hyperlink"/>
                <w:noProof/>
              </w:rPr>
              <w:t>Conclusion</w:t>
            </w:r>
            <w:r w:rsidR="0001271A">
              <w:rPr>
                <w:noProof/>
                <w:webHidden/>
              </w:rPr>
              <w:tab/>
            </w:r>
            <w:r w:rsidR="0001271A">
              <w:rPr>
                <w:noProof/>
                <w:webHidden/>
              </w:rPr>
              <w:fldChar w:fldCharType="begin"/>
            </w:r>
            <w:r w:rsidR="0001271A">
              <w:rPr>
                <w:noProof/>
                <w:webHidden/>
              </w:rPr>
              <w:instrText xml:space="preserve"> PAGEREF _Toc169618232 \h </w:instrText>
            </w:r>
            <w:r w:rsidR="0001271A">
              <w:rPr>
                <w:noProof/>
                <w:webHidden/>
              </w:rPr>
            </w:r>
            <w:r w:rsidR="0001271A">
              <w:rPr>
                <w:noProof/>
                <w:webHidden/>
              </w:rPr>
              <w:fldChar w:fldCharType="separate"/>
            </w:r>
            <w:r w:rsidR="0001271A">
              <w:rPr>
                <w:noProof/>
                <w:webHidden/>
              </w:rPr>
              <w:t>8</w:t>
            </w:r>
            <w:r w:rsidR="0001271A">
              <w:rPr>
                <w:noProof/>
                <w:webHidden/>
              </w:rPr>
              <w:fldChar w:fldCharType="end"/>
            </w:r>
          </w:hyperlink>
        </w:p>
        <w:p w14:paraId="0FD13E3F" w14:textId="5D780224" w:rsidR="0001271A" w:rsidRDefault="00000000">
          <w:pPr>
            <w:pStyle w:val="TOC1"/>
            <w:tabs>
              <w:tab w:val="right" w:leader="dot" w:pos="9019"/>
            </w:tabs>
            <w:rPr>
              <w:noProof/>
            </w:rPr>
          </w:pPr>
          <w:hyperlink w:anchor="_Toc169618233" w:history="1">
            <w:r w:rsidR="0001271A" w:rsidRPr="00CC4D5B">
              <w:rPr>
                <w:rStyle w:val="Hyperlink"/>
                <w:noProof/>
              </w:rPr>
              <w:t>References</w:t>
            </w:r>
            <w:r w:rsidR="0001271A">
              <w:rPr>
                <w:noProof/>
                <w:webHidden/>
              </w:rPr>
              <w:tab/>
            </w:r>
            <w:r w:rsidR="0001271A">
              <w:rPr>
                <w:noProof/>
                <w:webHidden/>
              </w:rPr>
              <w:fldChar w:fldCharType="begin"/>
            </w:r>
            <w:r w:rsidR="0001271A">
              <w:rPr>
                <w:noProof/>
                <w:webHidden/>
              </w:rPr>
              <w:instrText xml:space="preserve"> PAGEREF _Toc169618233 \h </w:instrText>
            </w:r>
            <w:r w:rsidR="0001271A">
              <w:rPr>
                <w:noProof/>
                <w:webHidden/>
              </w:rPr>
            </w:r>
            <w:r w:rsidR="0001271A">
              <w:rPr>
                <w:noProof/>
                <w:webHidden/>
              </w:rPr>
              <w:fldChar w:fldCharType="separate"/>
            </w:r>
            <w:r w:rsidR="0001271A">
              <w:rPr>
                <w:noProof/>
                <w:webHidden/>
              </w:rPr>
              <w:t>9</w:t>
            </w:r>
            <w:r w:rsidR="0001271A">
              <w:rPr>
                <w:noProof/>
                <w:webHidden/>
              </w:rPr>
              <w:fldChar w:fldCharType="end"/>
            </w:r>
          </w:hyperlink>
        </w:p>
        <w:p w14:paraId="76A38289" w14:textId="5FF6F83E" w:rsidR="0001271A" w:rsidRDefault="0001271A">
          <w:r>
            <w:rPr>
              <w:b/>
              <w:bCs/>
              <w:noProof/>
            </w:rPr>
            <w:fldChar w:fldCharType="end"/>
          </w:r>
        </w:p>
      </w:sdtContent>
    </w:sdt>
    <w:p w14:paraId="20F452C0" w14:textId="77777777" w:rsidR="0001271A" w:rsidRDefault="0001271A">
      <w:pPr>
        <w:rPr>
          <w:b/>
          <w:color w:val="000000" w:themeColor="text1"/>
          <w:sz w:val="28"/>
          <w:szCs w:val="28"/>
        </w:rPr>
      </w:pPr>
      <w:r>
        <w:rPr>
          <w:szCs w:val="28"/>
        </w:rPr>
        <w:br w:type="page"/>
      </w:r>
    </w:p>
    <w:p w14:paraId="00000001" w14:textId="5FE2F596" w:rsidR="00EF0F49" w:rsidRDefault="00E076FF" w:rsidP="00F8256B">
      <w:pPr>
        <w:pStyle w:val="Heading1"/>
        <w:tabs>
          <w:tab w:val="left" w:pos="6225"/>
        </w:tabs>
        <w:rPr>
          <w:b w:val="0"/>
          <w:szCs w:val="28"/>
        </w:rPr>
      </w:pPr>
      <w:bookmarkStart w:id="2" w:name="_Toc169618221"/>
      <w:r>
        <w:rPr>
          <w:szCs w:val="28"/>
        </w:rPr>
        <w:lastRenderedPageBreak/>
        <w:t>Task A</w:t>
      </w:r>
      <w:bookmarkEnd w:id="2"/>
      <w:r>
        <w:rPr>
          <w:szCs w:val="28"/>
        </w:rPr>
        <w:t xml:space="preserve"> </w:t>
      </w:r>
      <w:r w:rsidR="00F8256B">
        <w:rPr>
          <w:szCs w:val="28"/>
        </w:rPr>
        <w:tab/>
      </w:r>
    </w:p>
    <w:p w14:paraId="00000002" w14:textId="77777777" w:rsidR="00EF0F49" w:rsidRDefault="00E076FF" w:rsidP="009070D5">
      <w:pPr>
        <w:pStyle w:val="Heading2"/>
      </w:pPr>
      <w:bookmarkStart w:id="3" w:name="_Toc169618222"/>
      <w:r>
        <w:t>1. Possibility of general duty to act in criminal law</w:t>
      </w:r>
      <w:bookmarkEnd w:id="3"/>
    </w:p>
    <w:p w14:paraId="00000003" w14:textId="6D26C545" w:rsidR="00EF0F49" w:rsidRDefault="00E076FF" w:rsidP="00F8256B">
      <w:pPr>
        <w:spacing w:line="360" w:lineRule="auto"/>
        <w:jc w:val="both"/>
        <w:rPr>
          <w:sz w:val="24"/>
          <w:szCs w:val="24"/>
        </w:rPr>
      </w:pPr>
      <w:r>
        <w:rPr>
          <w:sz w:val="24"/>
          <w:szCs w:val="24"/>
        </w:rPr>
        <w:t>The legal system which aims at providing punishment to offenders is often known as criminal law. This framework falls under the area where the body of law relates to crime and punishments of individuals who commit crimes. The general concept of duty to act requires a party to take necessary actions in order to prevent harm to another individual. There is a general duty to act within the criminal law and is often referred to as criminal liability. The general idea of criminal law duty is the commitment to act under conditions where an individual is isolated by creating danger or taking help from others. Within the English Law, there is no liability to failure of duty to act and the approach taken by the English Criminal Law is to recognise a legal duty. Acting under specific circumstances is of utter importance rather than a general duty to act according to the British Legal system</w:t>
      </w:r>
      <w:r w:rsidR="003A0E13">
        <w:rPr>
          <w:sz w:val="24"/>
          <w:szCs w:val="24"/>
        </w:rPr>
        <w:t xml:space="preserve"> </w:t>
      </w:r>
      <w:sdt>
        <w:sdtPr>
          <w:rPr>
            <w:sz w:val="24"/>
            <w:szCs w:val="24"/>
          </w:rPr>
          <w:id w:val="936025827"/>
          <w:citation/>
        </w:sdtPr>
        <w:sdtContent>
          <w:r w:rsidR="003A0E13">
            <w:rPr>
              <w:sz w:val="24"/>
              <w:szCs w:val="24"/>
            </w:rPr>
            <w:fldChar w:fldCharType="begin"/>
          </w:r>
          <w:r w:rsidR="003A0E13">
            <w:rPr>
              <w:sz w:val="24"/>
              <w:szCs w:val="24"/>
              <w:lang w:val="en-US"/>
            </w:rPr>
            <w:instrText xml:space="preserve"> CITATION GOV2417 \l 1033 </w:instrText>
          </w:r>
          <w:r w:rsidR="003A0E13">
            <w:rPr>
              <w:sz w:val="24"/>
              <w:szCs w:val="24"/>
            </w:rPr>
            <w:fldChar w:fldCharType="separate"/>
          </w:r>
          <w:r w:rsidR="003A0E13" w:rsidRPr="003A0E13">
            <w:rPr>
              <w:noProof/>
              <w:sz w:val="24"/>
              <w:szCs w:val="24"/>
              <w:lang w:val="en-US"/>
            </w:rPr>
            <w:t>(GOV.UK, 2024)</w:t>
          </w:r>
          <w:r w:rsidR="003A0E13">
            <w:rPr>
              <w:sz w:val="24"/>
              <w:szCs w:val="24"/>
            </w:rPr>
            <w:fldChar w:fldCharType="end"/>
          </w:r>
        </w:sdtContent>
      </w:sdt>
      <w:r>
        <w:rPr>
          <w:sz w:val="24"/>
          <w:szCs w:val="24"/>
        </w:rPr>
        <w:t xml:space="preserve">. </w:t>
      </w:r>
    </w:p>
    <w:p w14:paraId="00000004" w14:textId="77777777" w:rsidR="00EF0F49" w:rsidRDefault="00E076FF" w:rsidP="009070D5">
      <w:pPr>
        <w:pStyle w:val="Heading2"/>
      </w:pPr>
      <w:bookmarkStart w:id="4" w:name="_Toc169618223"/>
      <w:r>
        <w:t>2. Requirements for a crime to be committed by omission</w:t>
      </w:r>
      <w:bookmarkEnd w:id="4"/>
    </w:p>
    <w:p w14:paraId="00000005" w14:textId="484F0295" w:rsidR="00EF0F49" w:rsidRDefault="00E076FF" w:rsidP="00F8256B">
      <w:pPr>
        <w:spacing w:line="360" w:lineRule="auto"/>
        <w:jc w:val="both"/>
        <w:rPr>
          <w:sz w:val="24"/>
          <w:szCs w:val="24"/>
        </w:rPr>
      </w:pPr>
      <w:r>
        <w:rPr>
          <w:sz w:val="24"/>
          <w:szCs w:val="24"/>
        </w:rPr>
        <w:t>Generally</w:t>
      </w:r>
      <w:r w:rsidR="005B614F">
        <w:rPr>
          <w:sz w:val="24"/>
          <w:szCs w:val="24"/>
        </w:rPr>
        <w:t>,</w:t>
      </w:r>
      <w:r>
        <w:rPr>
          <w:sz w:val="24"/>
          <w:szCs w:val="24"/>
        </w:rPr>
        <w:t xml:space="preserve"> the term omission refers to the failure to act however it is not a crime to fail to act according to the English Legal System. Based on criminal law, an omission is often described as an actus reus and solely results in accountability. This fundamental concept imposes a duty to act when the defendant completely fails to fulfil that obligation.  Primary </w:t>
      </w:r>
      <w:r w:rsidR="005B614F">
        <w:rPr>
          <w:sz w:val="24"/>
          <w:szCs w:val="24"/>
        </w:rPr>
        <w:t>requirement</w:t>
      </w:r>
      <w:r>
        <w:rPr>
          <w:sz w:val="24"/>
          <w:szCs w:val="24"/>
        </w:rPr>
        <w:t xml:space="preserve"> within omission is to define the cause of the harm that ultimately resulted in the failure to perform a legal duty. </w:t>
      </w:r>
      <w:r w:rsidR="005B614F">
        <w:rPr>
          <w:sz w:val="24"/>
          <w:szCs w:val="24"/>
        </w:rPr>
        <w:t>Therefore,</w:t>
      </w:r>
      <w:r>
        <w:rPr>
          <w:sz w:val="24"/>
          <w:szCs w:val="24"/>
        </w:rPr>
        <w:t xml:space="preserve"> it can be stated that a crime is committed when a specific act is not performed. This as a result creates the overall basis of criminal liability and an individual is held responsible for </w:t>
      </w:r>
      <w:r w:rsidR="005B614F">
        <w:rPr>
          <w:sz w:val="24"/>
          <w:szCs w:val="24"/>
        </w:rPr>
        <w:t xml:space="preserve">a </w:t>
      </w:r>
      <w:r>
        <w:rPr>
          <w:sz w:val="24"/>
          <w:szCs w:val="24"/>
        </w:rPr>
        <w:t xml:space="preserve">particular action. </w:t>
      </w:r>
      <w:r w:rsidR="005B614F">
        <w:rPr>
          <w:sz w:val="24"/>
          <w:szCs w:val="24"/>
        </w:rPr>
        <w:t>Furthermore,</w:t>
      </w:r>
      <w:r>
        <w:rPr>
          <w:sz w:val="24"/>
          <w:szCs w:val="24"/>
        </w:rPr>
        <w:t xml:space="preserve"> the general requirements of any crime include the voluntary act of omission which is often linked with mens rea or a certain state of mind</w:t>
      </w:r>
      <w:r w:rsidR="003A0E13">
        <w:rPr>
          <w:sz w:val="24"/>
          <w:szCs w:val="24"/>
        </w:rPr>
        <w:t xml:space="preserve"> </w:t>
      </w:r>
      <w:sdt>
        <w:sdtPr>
          <w:rPr>
            <w:sz w:val="24"/>
            <w:szCs w:val="24"/>
          </w:rPr>
          <w:id w:val="-1949229098"/>
          <w:citation/>
        </w:sdtPr>
        <w:sdtContent>
          <w:r w:rsidR="003A0E13">
            <w:rPr>
              <w:sz w:val="24"/>
              <w:szCs w:val="24"/>
            </w:rPr>
            <w:fldChar w:fldCharType="begin"/>
          </w:r>
          <w:r w:rsidR="003A0E13">
            <w:rPr>
              <w:sz w:val="24"/>
              <w:szCs w:val="24"/>
              <w:lang w:val="en-US"/>
            </w:rPr>
            <w:instrText xml:space="preserve"> CITATION Pet23 \l 1033 </w:instrText>
          </w:r>
          <w:r w:rsidR="003A0E13">
            <w:rPr>
              <w:sz w:val="24"/>
              <w:szCs w:val="24"/>
            </w:rPr>
            <w:fldChar w:fldCharType="separate"/>
          </w:r>
          <w:r w:rsidR="003A0E13" w:rsidRPr="003A0E13">
            <w:rPr>
              <w:noProof/>
              <w:sz w:val="24"/>
              <w:szCs w:val="24"/>
              <w:lang w:val="en-US"/>
            </w:rPr>
            <w:t>(Clarke, 2023)</w:t>
          </w:r>
          <w:r w:rsidR="003A0E13">
            <w:rPr>
              <w:sz w:val="24"/>
              <w:szCs w:val="24"/>
            </w:rPr>
            <w:fldChar w:fldCharType="end"/>
          </w:r>
        </w:sdtContent>
      </w:sdt>
      <w:r>
        <w:rPr>
          <w:sz w:val="24"/>
          <w:szCs w:val="24"/>
        </w:rPr>
        <w:t xml:space="preserve">. </w:t>
      </w:r>
    </w:p>
    <w:p w14:paraId="00000006" w14:textId="77777777" w:rsidR="00EF0F49" w:rsidRDefault="00E076FF" w:rsidP="009070D5">
      <w:pPr>
        <w:pStyle w:val="Heading2"/>
      </w:pPr>
      <w:bookmarkStart w:id="5" w:name="_Toc169618224"/>
      <w:r>
        <w:t>3. Presentation of statutory duty to act</w:t>
      </w:r>
      <w:bookmarkEnd w:id="5"/>
    </w:p>
    <w:p w14:paraId="00000007" w14:textId="180C1A7E" w:rsidR="00EF0F49" w:rsidRDefault="00E076FF" w:rsidP="00F8256B">
      <w:pPr>
        <w:spacing w:line="360" w:lineRule="auto"/>
        <w:jc w:val="both"/>
        <w:rPr>
          <w:sz w:val="24"/>
          <w:szCs w:val="24"/>
        </w:rPr>
      </w:pPr>
      <w:r>
        <w:rPr>
          <w:sz w:val="24"/>
          <w:szCs w:val="24"/>
        </w:rPr>
        <w:t>Statutory duty is regarded as a law that companies and members of any other profession must obey in order to maintain harmony. Whenever</w:t>
      </w:r>
      <w:r w:rsidR="00F8256B">
        <w:rPr>
          <w:sz w:val="24"/>
          <w:szCs w:val="24"/>
        </w:rPr>
        <w:t xml:space="preserve"> </w:t>
      </w:r>
      <w:r>
        <w:rPr>
          <w:sz w:val="24"/>
          <w:szCs w:val="24"/>
        </w:rPr>
        <w:t>situations of breach within organisations</w:t>
      </w:r>
      <w:r w:rsidR="00F8256B">
        <w:rPr>
          <w:sz w:val="24"/>
          <w:szCs w:val="24"/>
        </w:rPr>
        <w:t xml:space="preserve"> arises</w:t>
      </w:r>
      <w:r>
        <w:rPr>
          <w:sz w:val="24"/>
          <w:szCs w:val="24"/>
        </w:rPr>
        <w:t xml:space="preserve">, this legal act comes into action. Suppose, a company is charging a high price for electricity then it is a case of complete violation of statutory </w:t>
      </w:r>
      <w:r>
        <w:rPr>
          <w:sz w:val="24"/>
          <w:szCs w:val="24"/>
        </w:rPr>
        <w:lastRenderedPageBreak/>
        <w:t xml:space="preserve">law. This type of duty is imposed under any written law which is officially approved by the governing authority. Through this duty of act the overall protection of business firms are maintained efficiently. Contemporary business world often aims </w:t>
      </w:r>
      <w:r w:rsidR="005B614F">
        <w:rPr>
          <w:sz w:val="24"/>
          <w:szCs w:val="24"/>
        </w:rPr>
        <w:t>to adhere</w:t>
      </w:r>
      <w:r>
        <w:rPr>
          <w:sz w:val="24"/>
          <w:szCs w:val="24"/>
        </w:rPr>
        <w:t xml:space="preserve"> to this statutory duty so that disruptions are avoided which could be harmful for the brand image. When an individual faces a particular damage within any organisational field, this duty to act aims at safeguarding basic human rights. </w:t>
      </w:r>
      <w:r w:rsidR="005B614F">
        <w:rPr>
          <w:sz w:val="24"/>
          <w:szCs w:val="24"/>
        </w:rPr>
        <w:t>Additionally,</w:t>
      </w:r>
      <w:r>
        <w:rPr>
          <w:sz w:val="24"/>
          <w:szCs w:val="24"/>
        </w:rPr>
        <w:t xml:space="preserve"> during commitment as well as prohibition, statutes are created in order to protect public rights according to the English Law</w:t>
      </w:r>
      <w:r w:rsidR="003A0E13">
        <w:rPr>
          <w:sz w:val="24"/>
          <w:szCs w:val="24"/>
        </w:rPr>
        <w:t xml:space="preserve"> </w:t>
      </w:r>
      <w:sdt>
        <w:sdtPr>
          <w:rPr>
            <w:sz w:val="24"/>
            <w:szCs w:val="24"/>
          </w:rPr>
          <w:id w:val="773523534"/>
          <w:citation/>
        </w:sdtPr>
        <w:sdtContent>
          <w:r w:rsidR="003A0E13">
            <w:rPr>
              <w:sz w:val="24"/>
              <w:szCs w:val="24"/>
            </w:rPr>
            <w:fldChar w:fldCharType="begin"/>
          </w:r>
          <w:r w:rsidR="003A0E13">
            <w:rPr>
              <w:sz w:val="24"/>
              <w:szCs w:val="24"/>
              <w:lang w:val="en-US"/>
            </w:rPr>
            <w:instrText xml:space="preserve"> CITATION Jef22 \l 1033 </w:instrText>
          </w:r>
          <w:r w:rsidR="003A0E13">
            <w:rPr>
              <w:sz w:val="24"/>
              <w:szCs w:val="24"/>
            </w:rPr>
            <w:fldChar w:fldCharType="separate"/>
          </w:r>
          <w:r w:rsidR="003A0E13" w:rsidRPr="003A0E13">
            <w:rPr>
              <w:noProof/>
              <w:sz w:val="24"/>
              <w:szCs w:val="24"/>
              <w:lang w:val="en-US"/>
            </w:rPr>
            <w:t>(Jeffrey Johnson, 2022)</w:t>
          </w:r>
          <w:r w:rsidR="003A0E13">
            <w:rPr>
              <w:sz w:val="24"/>
              <w:szCs w:val="24"/>
            </w:rPr>
            <w:fldChar w:fldCharType="end"/>
          </w:r>
        </w:sdtContent>
      </w:sdt>
      <w:r>
        <w:rPr>
          <w:sz w:val="24"/>
          <w:szCs w:val="24"/>
        </w:rPr>
        <w:t xml:space="preserve">. </w:t>
      </w:r>
    </w:p>
    <w:p w14:paraId="00000008" w14:textId="77777777" w:rsidR="00EF0F49" w:rsidRDefault="00E076FF" w:rsidP="009070D5">
      <w:pPr>
        <w:pStyle w:val="Heading2"/>
      </w:pPr>
      <w:bookmarkStart w:id="6" w:name="_Toc169618225"/>
      <w:r>
        <w:t>4. Contractual/ duty based on office</w:t>
      </w:r>
      <w:bookmarkEnd w:id="6"/>
    </w:p>
    <w:p w14:paraId="00000009" w14:textId="0DA6B508" w:rsidR="00EF0F49" w:rsidRDefault="00E076FF" w:rsidP="00F8256B">
      <w:pPr>
        <w:spacing w:line="360" w:lineRule="auto"/>
        <w:jc w:val="both"/>
        <w:rPr>
          <w:sz w:val="24"/>
          <w:szCs w:val="24"/>
        </w:rPr>
      </w:pPr>
      <w:r>
        <w:rPr>
          <w:sz w:val="24"/>
          <w:szCs w:val="24"/>
        </w:rPr>
        <w:t xml:space="preserve">Various contracts are formed with desire and responsibility between two parties in order to accomplish a particular goal. Before the mutually agreed paperwork, a contractual obligation or duty is performed. This is a way to make a promise between two individuals and ultimately carries out the desired task. Legal relations are created with the help of this agreement and both parties are prescribed to perform the responsibilities through contract. Duty based on contracts are referred to as commitments </w:t>
      </w:r>
      <w:r w:rsidR="005B614F">
        <w:rPr>
          <w:sz w:val="24"/>
          <w:szCs w:val="24"/>
        </w:rPr>
        <w:t>that</w:t>
      </w:r>
      <w:r>
        <w:rPr>
          <w:sz w:val="24"/>
          <w:szCs w:val="24"/>
        </w:rPr>
        <w:t xml:space="preserve"> two or more parties aim to perform under any given circumstances. Compliance </w:t>
      </w:r>
      <w:r w:rsidR="005B614F">
        <w:rPr>
          <w:sz w:val="24"/>
          <w:szCs w:val="24"/>
        </w:rPr>
        <w:t>with</w:t>
      </w:r>
      <w:r>
        <w:rPr>
          <w:sz w:val="24"/>
          <w:szCs w:val="24"/>
        </w:rPr>
        <w:t xml:space="preserve"> these contractual duties the ultimate goal of agreements </w:t>
      </w:r>
      <w:r w:rsidR="005B614F">
        <w:rPr>
          <w:sz w:val="24"/>
          <w:szCs w:val="24"/>
        </w:rPr>
        <w:t>is</w:t>
      </w:r>
      <w:r>
        <w:rPr>
          <w:sz w:val="24"/>
          <w:szCs w:val="24"/>
        </w:rPr>
        <w:t xml:space="preserve"> met with the help of the legal system. Contractual obligations play a significant role in fulfilling the duties as per the agreed statements while protecting their basic human rights according to the Contracts Act 1990. The overall formation of contracts </w:t>
      </w:r>
      <w:r w:rsidR="005B614F">
        <w:rPr>
          <w:sz w:val="24"/>
          <w:szCs w:val="24"/>
        </w:rPr>
        <w:t>is</w:t>
      </w:r>
      <w:r>
        <w:rPr>
          <w:sz w:val="24"/>
          <w:szCs w:val="24"/>
        </w:rPr>
        <w:t xml:space="preserve"> presented through offer, acceptance and consideration. Finally</w:t>
      </w:r>
      <w:r w:rsidR="005B614F">
        <w:rPr>
          <w:sz w:val="24"/>
          <w:szCs w:val="24"/>
        </w:rPr>
        <w:t>,</w:t>
      </w:r>
      <w:r>
        <w:rPr>
          <w:sz w:val="24"/>
          <w:szCs w:val="24"/>
        </w:rPr>
        <w:t xml:space="preserve"> with the mutual intention to form a legally binding agreement</w:t>
      </w:r>
      <w:r w:rsidR="005B614F">
        <w:rPr>
          <w:sz w:val="24"/>
          <w:szCs w:val="24"/>
        </w:rPr>
        <w:t>,</w:t>
      </w:r>
      <w:r>
        <w:rPr>
          <w:sz w:val="24"/>
          <w:szCs w:val="24"/>
        </w:rPr>
        <w:t xml:space="preserve"> the purpose of the contract is generated</w:t>
      </w:r>
      <w:r w:rsidR="003A0E13">
        <w:rPr>
          <w:sz w:val="24"/>
          <w:szCs w:val="24"/>
        </w:rPr>
        <w:t xml:space="preserve"> </w:t>
      </w:r>
      <w:sdt>
        <w:sdtPr>
          <w:rPr>
            <w:sz w:val="24"/>
            <w:szCs w:val="24"/>
          </w:rPr>
          <w:id w:val="177239221"/>
          <w:citation/>
        </w:sdtPr>
        <w:sdtContent>
          <w:r w:rsidR="003A0E13">
            <w:rPr>
              <w:sz w:val="24"/>
              <w:szCs w:val="24"/>
            </w:rPr>
            <w:fldChar w:fldCharType="begin"/>
          </w:r>
          <w:r w:rsidR="003A0E13">
            <w:rPr>
              <w:sz w:val="24"/>
              <w:szCs w:val="24"/>
              <w:lang w:val="en-US"/>
            </w:rPr>
            <w:instrText xml:space="preserve"> CITATION Leg245 \l 1033 </w:instrText>
          </w:r>
          <w:r w:rsidR="003A0E13">
            <w:rPr>
              <w:sz w:val="24"/>
              <w:szCs w:val="24"/>
            </w:rPr>
            <w:fldChar w:fldCharType="separate"/>
          </w:r>
          <w:r w:rsidR="003A0E13" w:rsidRPr="003A0E13">
            <w:rPr>
              <w:noProof/>
              <w:sz w:val="24"/>
              <w:szCs w:val="24"/>
              <w:lang w:val="en-US"/>
            </w:rPr>
            <w:t>(Legislation.gov.uk, 2024)</w:t>
          </w:r>
          <w:r w:rsidR="003A0E13">
            <w:rPr>
              <w:sz w:val="24"/>
              <w:szCs w:val="24"/>
            </w:rPr>
            <w:fldChar w:fldCharType="end"/>
          </w:r>
        </w:sdtContent>
      </w:sdt>
      <w:r>
        <w:rPr>
          <w:sz w:val="24"/>
          <w:szCs w:val="24"/>
        </w:rPr>
        <w:t xml:space="preserve">. </w:t>
      </w:r>
    </w:p>
    <w:p w14:paraId="0000000A" w14:textId="77777777" w:rsidR="00EF0F49" w:rsidRDefault="00E076FF" w:rsidP="009070D5">
      <w:pPr>
        <w:pStyle w:val="Heading2"/>
      </w:pPr>
      <w:bookmarkStart w:id="7" w:name="_Toc169618226"/>
      <w:r>
        <w:t>5. Development of assumed responsibility</w:t>
      </w:r>
      <w:bookmarkEnd w:id="7"/>
    </w:p>
    <w:p w14:paraId="0000000C" w14:textId="3E530C6A" w:rsidR="005B614F" w:rsidRDefault="00E076FF" w:rsidP="00F8256B">
      <w:pPr>
        <w:spacing w:line="360" w:lineRule="auto"/>
        <w:jc w:val="both"/>
        <w:rPr>
          <w:sz w:val="24"/>
          <w:szCs w:val="24"/>
        </w:rPr>
      </w:pPr>
      <w:r>
        <w:rPr>
          <w:sz w:val="24"/>
          <w:szCs w:val="24"/>
        </w:rPr>
        <w:t xml:space="preserve">The prime idea of an assumption of responsibility occurs when the accused looks for additional information on behalf of the applicant. Some key scenarios which give rise to assumed responsibility is when an individual voluntarily undertakes a role of protection for others. Criminal liability occurs when the defendant fails to perform any specific duty to act such as caretaker of an elderly person. Failure to provide the necessary care often leads to assumed responsibility thereby causing harm. Additionally, in critical situations, when a rescue is stopped mid way, it can cause </w:t>
      </w:r>
      <w:r>
        <w:rPr>
          <w:sz w:val="24"/>
          <w:szCs w:val="24"/>
        </w:rPr>
        <w:lastRenderedPageBreak/>
        <w:t xml:space="preserve">liability as the accused is voluntarily abandoned. Another case of assumed responsibility arises when someone with their own will tries to help individuals with certain disabilities. This is often known as informal assumption even with </w:t>
      </w:r>
      <w:r w:rsidR="005B614F">
        <w:rPr>
          <w:sz w:val="24"/>
          <w:szCs w:val="24"/>
        </w:rPr>
        <w:t xml:space="preserve">the </w:t>
      </w:r>
      <w:r>
        <w:rPr>
          <w:sz w:val="24"/>
          <w:szCs w:val="24"/>
        </w:rPr>
        <w:t>involvement of informal acknowledgement. Ultimately this results in the assumption of duty in order to continue performing the role of acting responsibly</w:t>
      </w:r>
      <w:r w:rsidR="003A0E13">
        <w:rPr>
          <w:sz w:val="24"/>
          <w:szCs w:val="24"/>
        </w:rPr>
        <w:t xml:space="preserve"> </w:t>
      </w:r>
      <w:sdt>
        <w:sdtPr>
          <w:rPr>
            <w:sz w:val="24"/>
            <w:szCs w:val="24"/>
          </w:rPr>
          <w:id w:val="-1157292039"/>
          <w:citation/>
        </w:sdtPr>
        <w:sdtContent>
          <w:r w:rsidR="003A0E13">
            <w:rPr>
              <w:sz w:val="24"/>
              <w:szCs w:val="24"/>
            </w:rPr>
            <w:fldChar w:fldCharType="begin"/>
          </w:r>
          <w:r w:rsidR="003A0E13">
            <w:rPr>
              <w:sz w:val="24"/>
              <w:szCs w:val="24"/>
              <w:lang w:val="en-US"/>
            </w:rPr>
            <w:instrText xml:space="preserve"> CITATION Leg246 \l 1033 </w:instrText>
          </w:r>
          <w:r w:rsidR="003A0E13">
            <w:rPr>
              <w:sz w:val="24"/>
              <w:szCs w:val="24"/>
            </w:rPr>
            <w:fldChar w:fldCharType="separate"/>
          </w:r>
          <w:r w:rsidR="003A0E13" w:rsidRPr="003A0E13">
            <w:rPr>
              <w:noProof/>
              <w:sz w:val="24"/>
              <w:szCs w:val="24"/>
              <w:lang w:val="en-US"/>
            </w:rPr>
            <w:t>(Legislation.gov.uk, 2024)</w:t>
          </w:r>
          <w:r w:rsidR="003A0E13">
            <w:rPr>
              <w:sz w:val="24"/>
              <w:szCs w:val="24"/>
            </w:rPr>
            <w:fldChar w:fldCharType="end"/>
          </w:r>
        </w:sdtContent>
      </w:sdt>
      <w:r>
        <w:rPr>
          <w:sz w:val="24"/>
          <w:szCs w:val="24"/>
        </w:rPr>
        <w:t xml:space="preserve">. </w:t>
      </w:r>
    </w:p>
    <w:p w14:paraId="131016DA" w14:textId="77777777" w:rsidR="005B614F" w:rsidRDefault="005B614F" w:rsidP="00F8256B">
      <w:pPr>
        <w:spacing w:line="360" w:lineRule="auto"/>
        <w:rPr>
          <w:sz w:val="24"/>
          <w:szCs w:val="24"/>
        </w:rPr>
      </w:pPr>
      <w:r>
        <w:rPr>
          <w:sz w:val="24"/>
          <w:szCs w:val="24"/>
        </w:rPr>
        <w:br w:type="page"/>
      </w:r>
    </w:p>
    <w:p w14:paraId="0000000D" w14:textId="77777777" w:rsidR="00EF0F49" w:rsidRDefault="00E076FF" w:rsidP="00F8256B">
      <w:pPr>
        <w:pStyle w:val="Heading1"/>
        <w:rPr>
          <w:b w:val="0"/>
          <w:szCs w:val="28"/>
        </w:rPr>
      </w:pPr>
      <w:bookmarkStart w:id="8" w:name="_3ey27lctfjz7" w:colFirst="0" w:colLast="0"/>
      <w:bookmarkStart w:id="9" w:name="_Toc169618227"/>
      <w:bookmarkEnd w:id="8"/>
      <w:r>
        <w:rPr>
          <w:szCs w:val="28"/>
        </w:rPr>
        <w:lastRenderedPageBreak/>
        <w:t>TASK B</w:t>
      </w:r>
      <w:bookmarkEnd w:id="9"/>
    </w:p>
    <w:p w14:paraId="0000000E" w14:textId="77777777" w:rsidR="00EF0F49" w:rsidRDefault="00E076FF" w:rsidP="00F8256B">
      <w:pPr>
        <w:pStyle w:val="Heading1"/>
        <w:rPr>
          <w:b w:val="0"/>
          <w:szCs w:val="28"/>
        </w:rPr>
      </w:pPr>
      <w:bookmarkStart w:id="10" w:name="_arjn1899szhj" w:colFirst="0" w:colLast="0"/>
      <w:bookmarkStart w:id="11" w:name="_Toc169618228"/>
      <w:bookmarkEnd w:id="10"/>
      <w:r>
        <w:rPr>
          <w:szCs w:val="28"/>
        </w:rPr>
        <w:t>Introduction</w:t>
      </w:r>
      <w:bookmarkEnd w:id="11"/>
    </w:p>
    <w:p w14:paraId="0000000F" w14:textId="3969BADD" w:rsidR="00EF0F49" w:rsidRDefault="00E076FF" w:rsidP="00F8256B">
      <w:pPr>
        <w:spacing w:line="360" w:lineRule="auto"/>
        <w:jc w:val="both"/>
        <w:rPr>
          <w:sz w:val="24"/>
          <w:szCs w:val="24"/>
        </w:rPr>
      </w:pPr>
      <w:r>
        <w:rPr>
          <w:sz w:val="24"/>
          <w:szCs w:val="24"/>
        </w:rPr>
        <w:t xml:space="preserve">General duty to act is defined as the accomplishment of individual responsibilities while adhering to the UK legal system. The second task of the assignment will focus on the arguments for </w:t>
      </w:r>
      <w:r w:rsidR="005B614F">
        <w:rPr>
          <w:sz w:val="24"/>
          <w:szCs w:val="24"/>
        </w:rPr>
        <w:t xml:space="preserve">the </w:t>
      </w:r>
      <w:r>
        <w:rPr>
          <w:sz w:val="24"/>
          <w:szCs w:val="24"/>
        </w:rPr>
        <w:t xml:space="preserve">general duty to act. Similarly, arguments against the general duty to act will also be discussed in depth. </w:t>
      </w:r>
    </w:p>
    <w:p w14:paraId="00000010" w14:textId="77777777" w:rsidR="00EF0F49" w:rsidRDefault="00E076FF" w:rsidP="009070D5">
      <w:pPr>
        <w:pStyle w:val="Heading2"/>
      </w:pPr>
      <w:bookmarkStart w:id="12" w:name="_3wy3gughj05q" w:colFirst="0" w:colLast="0"/>
      <w:bookmarkStart w:id="13" w:name="_Toc169618229"/>
      <w:bookmarkEnd w:id="12"/>
      <w:r>
        <w:t>General duty to act within the criminal law of England and Wales</w:t>
      </w:r>
      <w:bookmarkEnd w:id="13"/>
    </w:p>
    <w:p w14:paraId="00000011" w14:textId="67977B80" w:rsidR="00EF0F49" w:rsidRDefault="00E076FF" w:rsidP="00F8256B">
      <w:pPr>
        <w:spacing w:line="360" w:lineRule="auto"/>
        <w:jc w:val="both"/>
        <w:rPr>
          <w:sz w:val="24"/>
          <w:szCs w:val="24"/>
        </w:rPr>
      </w:pPr>
      <w:r>
        <w:rPr>
          <w:sz w:val="24"/>
          <w:szCs w:val="24"/>
        </w:rPr>
        <w:t xml:space="preserve">Based on criminal grounds of law, there is no such general duty to act even during times of failure to perform such an act. </w:t>
      </w:r>
      <w:r w:rsidR="005B614F">
        <w:rPr>
          <w:sz w:val="24"/>
          <w:szCs w:val="24"/>
        </w:rPr>
        <w:t>Therefore,</w:t>
      </w:r>
      <w:r>
        <w:rPr>
          <w:sz w:val="24"/>
          <w:szCs w:val="24"/>
        </w:rPr>
        <w:t xml:space="preserve"> it can be stated that the general act of duty is a controversial one. Since there is a balance between moral obligations and practicality associated within the legal system, the concept is labelled as debatable. </w:t>
      </w:r>
    </w:p>
    <w:p w14:paraId="00000012" w14:textId="77777777" w:rsidR="00EF0F49" w:rsidRDefault="00E076FF" w:rsidP="009070D5">
      <w:pPr>
        <w:pStyle w:val="Heading2"/>
      </w:pPr>
      <w:bookmarkStart w:id="14" w:name="_ox99xo6bpmvb" w:colFirst="0" w:colLast="0"/>
      <w:bookmarkStart w:id="15" w:name="_Toc169618230"/>
      <w:bookmarkEnd w:id="14"/>
      <w:r>
        <w:t>Arguments for general duty to act</w:t>
      </w:r>
      <w:bookmarkEnd w:id="15"/>
    </w:p>
    <w:p w14:paraId="00000013" w14:textId="77777777" w:rsidR="00EF0F49" w:rsidRDefault="00E076FF" w:rsidP="00F8256B">
      <w:pPr>
        <w:spacing w:line="360" w:lineRule="auto"/>
        <w:jc w:val="both"/>
        <w:rPr>
          <w:b/>
          <w:sz w:val="24"/>
          <w:szCs w:val="24"/>
        </w:rPr>
      </w:pPr>
      <w:r>
        <w:rPr>
          <w:b/>
          <w:sz w:val="24"/>
          <w:szCs w:val="24"/>
        </w:rPr>
        <w:t>Moral responsibility</w:t>
      </w:r>
    </w:p>
    <w:p w14:paraId="00000014" w14:textId="77777777" w:rsidR="00EF0F49" w:rsidRDefault="00E076FF" w:rsidP="00F8256B">
      <w:pPr>
        <w:spacing w:line="360" w:lineRule="auto"/>
        <w:jc w:val="both"/>
        <w:rPr>
          <w:sz w:val="24"/>
          <w:szCs w:val="24"/>
        </w:rPr>
      </w:pPr>
      <w:r>
        <w:rPr>
          <w:sz w:val="24"/>
          <w:szCs w:val="24"/>
        </w:rPr>
        <w:t>Advocates and legal professionals often argue that every individual has the sole responsibility to perform moral duties. During times of distress, those citizens need to showcase utmost assistance to the other individuals. Through such ethical principles, a general duty to act gives rise to societal values of compassion. This often results in behaving in an acceptable manner and ultimately minimises the breach of attaining standards of conduct. The general notion of a solid legal system is to help the community to undertake these social and moral values thereby moving towards a peaceful surrounding environment (</w:t>
      </w:r>
      <w:r>
        <w:rPr>
          <w:color w:val="222222"/>
          <w:sz w:val="24"/>
          <w:szCs w:val="24"/>
          <w:highlight w:val="white"/>
        </w:rPr>
        <w:t>Arlen, 2021)</w:t>
      </w:r>
      <w:r>
        <w:rPr>
          <w:sz w:val="24"/>
          <w:szCs w:val="24"/>
        </w:rPr>
        <w:t xml:space="preserve">. </w:t>
      </w:r>
    </w:p>
    <w:p w14:paraId="00000015" w14:textId="77777777" w:rsidR="00EF0F49" w:rsidRDefault="00E076FF" w:rsidP="00F8256B">
      <w:pPr>
        <w:spacing w:line="360" w:lineRule="auto"/>
        <w:jc w:val="both"/>
        <w:rPr>
          <w:b/>
          <w:sz w:val="24"/>
          <w:szCs w:val="24"/>
        </w:rPr>
      </w:pPr>
      <w:r>
        <w:rPr>
          <w:b/>
          <w:sz w:val="24"/>
          <w:szCs w:val="24"/>
        </w:rPr>
        <w:t>Prevention of harm</w:t>
      </w:r>
    </w:p>
    <w:p w14:paraId="00000016" w14:textId="45FF7302" w:rsidR="00EF0F49" w:rsidRDefault="00E076FF" w:rsidP="00F8256B">
      <w:pPr>
        <w:spacing w:line="360" w:lineRule="auto"/>
        <w:jc w:val="both"/>
        <w:rPr>
          <w:sz w:val="24"/>
          <w:szCs w:val="24"/>
        </w:rPr>
      </w:pPr>
      <w:r>
        <w:rPr>
          <w:sz w:val="24"/>
          <w:szCs w:val="24"/>
        </w:rPr>
        <w:t xml:space="preserve">Inflicting a general duty to act can eventually save </w:t>
      </w:r>
      <w:r w:rsidR="005B614F">
        <w:rPr>
          <w:sz w:val="24"/>
          <w:szCs w:val="24"/>
        </w:rPr>
        <w:t xml:space="preserve">the </w:t>
      </w:r>
      <w:r>
        <w:rPr>
          <w:sz w:val="24"/>
          <w:szCs w:val="24"/>
        </w:rPr>
        <w:t xml:space="preserve">lives of people during times of emergency. Through duty to act, an individual can help another person to prevent significant harm or even death. Due to the imposed moral values within those citizens, harmful situations could be avoided effectively. The general concept of harm reduction or prevention is rooted within the justice and legal system according to the criminal law of England and Wales. Implementation of this approach can extensively create a </w:t>
      </w:r>
      <w:r>
        <w:rPr>
          <w:sz w:val="24"/>
          <w:szCs w:val="24"/>
        </w:rPr>
        <w:lastRenderedPageBreak/>
        <w:t>positive change in the surrounding atmosphere as people become socially conscious (</w:t>
      </w:r>
      <w:r>
        <w:rPr>
          <w:sz w:val="24"/>
          <w:szCs w:val="24"/>
          <w:highlight w:val="white"/>
        </w:rPr>
        <w:t>Taylor, 2018)</w:t>
      </w:r>
      <w:r>
        <w:rPr>
          <w:sz w:val="24"/>
          <w:szCs w:val="24"/>
        </w:rPr>
        <w:t xml:space="preserve">. </w:t>
      </w:r>
    </w:p>
    <w:p w14:paraId="00000017" w14:textId="77777777" w:rsidR="00EF0F49" w:rsidRDefault="00E076FF" w:rsidP="00F8256B">
      <w:pPr>
        <w:spacing w:line="360" w:lineRule="auto"/>
        <w:jc w:val="both"/>
        <w:rPr>
          <w:b/>
          <w:sz w:val="24"/>
          <w:szCs w:val="24"/>
        </w:rPr>
      </w:pPr>
      <w:r>
        <w:rPr>
          <w:b/>
          <w:sz w:val="24"/>
          <w:szCs w:val="24"/>
        </w:rPr>
        <w:t>Social solidarity</w:t>
      </w:r>
    </w:p>
    <w:p w14:paraId="00000018" w14:textId="0CE4F108" w:rsidR="00EF0F49" w:rsidRDefault="00E076FF" w:rsidP="00F8256B">
      <w:pPr>
        <w:spacing w:line="360" w:lineRule="auto"/>
        <w:jc w:val="both"/>
        <w:rPr>
          <w:sz w:val="24"/>
          <w:szCs w:val="24"/>
        </w:rPr>
      </w:pPr>
      <w:r>
        <w:rPr>
          <w:sz w:val="24"/>
          <w:szCs w:val="24"/>
        </w:rPr>
        <w:t>Social solidarity allows an individual to become aware of the fact that a specific act of goodness can enhance the living of another person. This is a core principle within the criminal law of England and Wales and often gives rise to general duty to act. Promotion of a sense of community as well as social solidarity is developed through the compliance to legal frameworks. Additionally</w:t>
      </w:r>
      <w:r w:rsidR="005B614F">
        <w:rPr>
          <w:sz w:val="24"/>
          <w:szCs w:val="24"/>
        </w:rPr>
        <w:t>,</w:t>
      </w:r>
      <w:r>
        <w:rPr>
          <w:sz w:val="24"/>
          <w:szCs w:val="24"/>
        </w:rPr>
        <w:t xml:space="preserve"> these duties have the innate power to encourage people to become responsible and look out for other individuals in times of need. </w:t>
      </w:r>
      <w:r w:rsidR="005B614F">
        <w:rPr>
          <w:sz w:val="24"/>
          <w:szCs w:val="24"/>
        </w:rPr>
        <w:t>Therefore,</w:t>
      </w:r>
      <w:r>
        <w:rPr>
          <w:sz w:val="24"/>
          <w:szCs w:val="24"/>
        </w:rPr>
        <w:t xml:space="preserve"> it can be argued that, </w:t>
      </w:r>
      <w:r w:rsidR="005B614F">
        <w:rPr>
          <w:sz w:val="24"/>
          <w:szCs w:val="24"/>
        </w:rPr>
        <w:t xml:space="preserve">the </w:t>
      </w:r>
      <w:r>
        <w:rPr>
          <w:sz w:val="24"/>
          <w:szCs w:val="24"/>
        </w:rPr>
        <w:t>general duty to act immensely contributes to a safer and cohesive society (</w:t>
      </w:r>
      <w:r>
        <w:rPr>
          <w:sz w:val="24"/>
          <w:szCs w:val="24"/>
          <w:highlight w:val="white"/>
        </w:rPr>
        <w:t>Herring, 2022)</w:t>
      </w:r>
      <w:r>
        <w:rPr>
          <w:sz w:val="24"/>
          <w:szCs w:val="24"/>
        </w:rPr>
        <w:t xml:space="preserve">. </w:t>
      </w:r>
    </w:p>
    <w:p w14:paraId="00000019" w14:textId="77777777" w:rsidR="00EF0F49" w:rsidRDefault="00E076FF" w:rsidP="00F8256B">
      <w:pPr>
        <w:spacing w:line="360" w:lineRule="auto"/>
        <w:jc w:val="both"/>
        <w:rPr>
          <w:b/>
          <w:sz w:val="24"/>
          <w:szCs w:val="24"/>
        </w:rPr>
      </w:pPr>
      <w:r>
        <w:rPr>
          <w:b/>
          <w:sz w:val="24"/>
          <w:szCs w:val="24"/>
        </w:rPr>
        <w:t>Legal consistency</w:t>
      </w:r>
    </w:p>
    <w:p w14:paraId="0000001A" w14:textId="39EA3E20" w:rsidR="00EF0F49" w:rsidRDefault="00E076FF" w:rsidP="00F8256B">
      <w:pPr>
        <w:spacing w:line="360" w:lineRule="auto"/>
        <w:jc w:val="both"/>
        <w:rPr>
          <w:sz w:val="24"/>
          <w:szCs w:val="24"/>
        </w:rPr>
      </w:pPr>
      <w:r>
        <w:rPr>
          <w:sz w:val="24"/>
          <w:szCs w:val="24"/>
        </w:rPr>
        <w:t xml:space="preserve">Consistency in legal terms </w:t>
      </w:r>
      <w:r w:rsidR="005B614F">
        <w:rPr>
          <w:sz w:val="24"/>
          <w:szCs w:val="24"/>
        </w:rPr>
        <w:t xml:space="preserve">is </w:t>
      </w:r>
      <w:r>
        <w:rPr>
          <w:sz w:val="24"/>
          <w:szCs w:val="24"/>
        </w:rPr>
        <w:t xml:space="preserve">often regarded as procedural law which entails </w:t>
      </w:r>
      <w:r w:rsidR="005B614F">
        <w:rPr>
          <w:sz w:val="24"/>
          <w:szCs w:val="24"/>
        </w:rPr>
        <w:t>those legal proceedings</w:t>
      </w:r>
      <w:r>
        <w:rPr>
          <w:sz w:val="24"/>
          <w:szCs w:val="24"/>
        </w:rPr>
        <w:t xml:space="preserve"> should be conducted in a fair manner. This states that criminal cases are supposed to be treated similarly and solely based on established rules. There are various duties to act such as parental duties or duties of public officials. The basic objective of a general duty to act is to create a consistent legal framework thereby enhancing the efficiency of court decisions (</w:t>
      </w:r>
      <w:r>
        <w:rPr>
          <w:sz w:val="24"/>
          <w:szCs w:val="24"/>
          <w:highlight w:val="white"/>
        </w:rPr>
        <w:t>Macdonald, 2018)</w:t>
      </w:r>
      <w:r>
        <w:rPr>
          <w:sz w:val="24"/>
          <w:szCs w:val="24"/>
        </w:rPr>
        <w:t xml:space="preserve">. </w:t>
      </w:r>
    </w:p>
    <w:p w14:paraId="0000001B" w14:textId="11A402B0" w:rsidR="00EF0F49" w:rsidRPr="009070D5" w:rsidRDefault="00E076FF" w:rsidP="009070D5">
      <w:pPr>
        <w:pStyle w:val="Heading2"/>
      </w:pPr>
      <w:bookmarkStart w:id="16" w:name="_hxghu2w8oyys" w:colFirst="0" w:colLast="0"/>
      <w:bookmarkStart w:id="17" w:name="_Toc169618231"/>
      <w:bookmarkEnd w:id="16"/>
      <w:r w:rsidRPr="009070D5">
        <w:t xml:space="preserve">Arguments against </w:t>
      </w:r>
      <w:r w:rsidR="005B614F" w:rsidRPr="009070D5">
        <w:t xml:space="preserve">the </w:t>
      </w:r>
      <w:r w:rsidRPr="009070D5">
        <w:t>general duty to act</w:t>
      </w:r>
      <w:bookmarkEnd w:id="17"/>
    </w:p>
    <w:p w14:paraId="0000001C" w14:textId="77777777" w:rsidR="00EF0F49" w:rsidRDefault="00E076FF" w:rsidP="00F8256B">
      <w:pPr>
        <w:spacing w:line="360" w:lineRule="auto"/>
        <w:jc w:val="both"/>
        <w:rPr>
          <w:b/>
          <w:sz w:val="24"/>
          <w:szCs w:val="24"/>
        </w:rPr>
      </w:pPr>
      <w:r>
        <w:rPr>
          <w:b/>
          <w:sz w:val="24"/>
          <w:szCs w:val="24"/>
        </w:rPr>
        <w:t>Practical Enforcement issues</w:t>
      </w:r>
    </w:p>
    <w:p w14:paraId="0000001D" w14:textId="75F9F7CA" w:rsidR="00EF0F49" w:rsidRDefault="00E076FF" w:rsidP="00F8256B">
      <w:pPr>
        <w:spacing w:line="360" w:lineRule="auto"/>
        <w:jc w:val="both"/>
        <w:rPr>
          <w:sz w:val="24"/>
          <w:szCs w:val="24"/>
        </w:rPr>
      </w:pPr>
      <w:r>
        <w:rPr>
          <w:sz w:val="24"/>
          <w:szCs w:val="24"/>
        </w:rPr>
        <w:t xml:space="preserve">Since the overall concept of general duty to act is a debatable one, the enforcement process is eventually a point of issue. </w:t>
      </w:r>
      <w:r w:rsidR="005B614F">
        <w:rPr>
          <w:sz w:val="24"/>
          <w:szCs w:val="24"/>
        </w:rPr>
        <w:t>Therefore,</w:t>
      </w:r>
      <w:r>
        <w:rPr>
          <w:sz w:val="24"/>
          <w:szCs w:val="24"/>
        </w:rPr>
        <w:t xml:space="preserve"> it can be argued that the entire enforcement procedure is challenging as it fails to determine the responsibilities of an individual. Intervention of people during a critical situation often gives rise to further complications hence this is argued against. </w:t>
      </w:r>
      <w:r w:rsidR="005B614F">
        <w:rPr>
          <w:sz w:val="24"/>
          <w:szCs w:val="24"/>
        </w:rPr>
        <w:t>Interference</w:t>
      </w:r>
      <w:r>
        <w:rPr>
          <w:sz w:val="24"/>
          <w:szCs w:val="24"/>
        </w:rPr>
        <w:t xml:space="preserve"> of individuals at various situations, ultimately leads to inconsistencies and eventually violation of legal act. Considering these issues, the overall enforcement process gets hampered which is not favourable for a legally bound economy (</w:t>
      </w:r>
      <w:r>
        <w:rPr>
          <w:color w:val="222222"/>
          <w:sz w:val="24"/>
          <w:szCs w:val="24"/>
          <w:highlight w:val="white"/>
        </w:rPr>
        <w:t>Attenborough, 2020)</w:t>
      </w:r>
      <w:r>
        <w:rPr>
          <w:sz w:val="24"/>
          <w:szCs w:val="24"/>
        </w:rPr>
        <w:t>.</w:t>
      </w:r>
    </w:p>
    <w:p w14:paraId="0000001E" w14:textId="77777777" w:rsidR="00EF0F49" w:rsidRDefault="00E076FF" w:rsidP="00F8256B">
      <w:pPr>
        <w:spacing w:line="360" w:lineRule="auto"/>
        <w:jc w:val="both"/>
        <w:rPr>
          <w:b/>
          <w:sz w:val="24"/>
          <w:szCs w:val="24"/>
        </w:rPr>
      </w:pPr>
      <w:r>
        <w:rPr>
          <w:b/>
          <w:sz w:val="24"/>
          <w:szCs w:val="24"/>
        </w:rPr>
        <w:t>Potential for abuse</w:t>
      </w:r>
    </w:p>
    <w:p w14:paraId="0000001F" w14:textId="219EDE86" w:rsidR="00EF0F49" w:rsidRDefault="00E076FF" w:rsidP="00F8256B">
      <w:pPr>
        <w:spacing w:line="360" w:lineRule="auto"/>
        <w:jc w:val="both"/>
        <w:rPr>
          <w:sz w:val="24"/>
          <w:szCs w:val="24"/>
        </w:rPr>
      </w:pPr>
      <w:r>
        <w:rPr>
          <w:sz w:val="24"/>
          <w:szCs w:val="24"/>
        </w:rPr>
        <w:t xml:space="preserve">Sometimes a general duty to act leads to excessive criminal charges and individuals are even taken to court for failure of this duty. According to the criminal law of England and Wales, individuals who intervene in dangerous situations often create an even </w:t>
      </w:r>
      <w:r>
        <w:rPr>
          <w:sz w:val="24"/>
          <w:szCs w:val="24"/>
        </w:rPr>
        <w:lastRenderedPageBreak/>
        <w:t>worse atmosphere. Furthermore</w:t>
      </w:r>
      <w:r w:rsidR="005B614F">
        <w:rPr>
          <w:sz w:val="24"/>
          <w:szCs w:val="24"/>
        </w:rPr>
        <w:t>,</w:t>
      </w:r>
      <w:r>
        <w:rPr>
          <w:sz w:val="24"/>
          <w:szCs w:val="24"/>
        </w:rPr>
        <w:t xml:space="preserve"> it can be stated that </w:t>
      </w:r>
      <w:r w:rsidR="005B614F">
        <w:rPr>
          <w:sz w:val="24"/>
          <w:szCs w:val="24"/>
        </w:rPr>
        <w:t xml:space="preserve">the </w:t>
      </w:r>
      <w:r>
        <w:rPr>
          <w:sz w:val="24"/>
          <w:szCs w:val="24"/>
        </w:rPr>
        <w:t xml:space="preserve">general duty to act has the potential to continue abuse. Even though personal intentions are pure, primary interference can have an adverse effect on the overall </w:t>
      </w:r>
      <w:r w:rsidR="005B614F">
        <w:rPr>
          <w:sz w:val="24"/>
          <w:szCs w:val="24"/>
        </w:rPr>
        <w:t>judgment</w:t>
      </w:r>
      <w:r>
        <w:rPr>
          <w:sz w:val="24"/>
          <w:szCs w:val="24"/>
        </w:rPr>
        <w:t xml:space="preserve"> proceedings (</w:t>
      </w:r>
      <w:r>
        <w:rPr>
          <w:sz w:val="24"/>
          <w:szCs w:val="24"/>
          <w:highlight w:val="white"/>
        </w:rPr>
        <w:t>Finch and Fafinski, 2021)</w:t>
      </w:r>
      <w:r>
        <w:rPr>
          <w:sz w:val="24"/>
          <w:szCs w:val="24"/>
        </w:rPr>
        <w:t xml:space="preserve">. </w:t>
      </w:r>
    </w:p>
    <w:p w14:paraId="00000020" w14:textId="77777777" w:rsidR="00EF0F49" w:rsidRDefault="00E076FF" w:rsidP="00F8256B">
      <w:pPr>
        <w:pStyle w:val="Heading1"/>
        <w:rPr>
          <w:b w:val="0"/>
          <w:szCs w:val="28"/>
        </w:rPr>
      </w:pPr>
      <w:bookmarkStart w:id="18" w:name="_eivbthmgtjs9" w:colFirst="0" w:colLast="0"/>
      <w:bookmarkStart w:id="19" w:name="_Toc169618232"/>
      <w:bookmarkEnd w:id="18"/>
      <w:r>
        <w:rPr>
          <w:szCs w:val="28"/>
        </w:rPr>
        <w:t>Conclusion</w:t>
      </w:r>
      <w:bookmarkEnd w:id="19"/>
    </w:p>
    <w:p w14:paraId="00000021" w14:textId="7F9FC9C8" w:rsidR="00EF0F49" w:rsidRDefault="00E076FF" w:rsidP="00F8256B">
      <w:pPr>
        <w:spacing w:line="360" w:lineRule="auto"/>
        <w:jc w:val="both"/>
        <w:rPr>
          <w:sz w:val="24"/>
          <w:szCs w:val="24"/>
        </w:rPr>
      </w:pPr>
      <w:r>
        <w:rPr>
          <w:sz w:val="24"/>
          <w:szCs w:val="24"/>
        </w:rPr>
        <w:t xml:space="preserve">General duty to act has both positive and negative aspects in </w:t>
      </w:r>
      <w:r w:rsidR="005B614F">
        <w:rPr>
          <w:sz w:val="24"/>
          <w:szCs w:val="24"/>
        </w:rPr>
        <w:t xml:space="preserve">the </w:t>
      </w:r>
      <w:r>
        <w:rPr>
          <w:sz w:val="24"/>
          <w:szCs w:val="24"/>
        </w:rPr>
        <w:t xml:space="preserve">context to criminal law. This type of legal framework has the innate ability to enhance the moral and social values of society as well as individuals. Some disadvantages of general duty to act have been discussed in this assignment such as enforcement issues and potential abuse. </w:t>
      </w:r>
    </w:p>
    <w:p w14:paraId="00000022" w14:textId="77777777" w:rsidR="00EF0F49" w:rsidRDefault="00E076FF" w:rsidP="00F8256B">
      <w:pPr>
        <w:spacing w:line="360" w:lineRule="auto"/>
        <w:jc w:val="both"/>
        <w:rPr>
          <w:sz w:val="24"/>
          <w:szCs w:val="24"/>
        </w:rPr>
      </w:pPr>
      <w:r>
        <w:br w:type="page"/>
      </w:r>
    </w:p>
    <w:p w14:paraId="00000023" w14:textId="77777777" w:rsidR="00EF0F49" w:rsidRDefault="00E076FF" w:rsidP="00F8256B">
      <w:pPr>
        <w:pStyle w:val="Heading1"/>
        <w:rPr>
          <w:b w:val="0"/>
          <w:szCs w:val="28"/>
        </w:rPr>
      </w:pPr>
      <w:bookmarkStart w:id="20" w:name="_22a9wj9k2khb" w:colFirst="0" w:colLast="0"/>
      <w:bookmarkStart w:id="21" w:name="_Toc169618233"/>
      <w:bookmarkEnd w:id="20"/>
      <w:r>
        <w:rPr>
          <w:szCs w:val="28"/>
        </w:rPr>
        <w:lastRenderedPageBreak/>
        <w:t>References</w:t>
      </w:r>
      <w:bookmarkEnd w:id="21"/>
    </w:p>
    <w:p w14:paraId="4AA31ADD" w14:textId="77777777" w:rsidR="0001271A" w:rsidRPr="005B614F" w:rsidRDefault="0001271A" w:rsidP="00F8256B">
      <w:pPr>
        <w:spacing w:line="360" w:lineRule="auto"/>
        <w:jc w:val="both"/>
        <w:rPr>
          <w:color w:val="222222"/>
          <w:sz w:val="24"/>
          <w:szCs w:val="24"/>
          <w:highlight w:val="white"/>
        </w:rPr>
      </w:pPr>
      <w:r w:rsidRPr="005B614F">
        <w:rPr>
          <w:color w:val="222222"/>
          <w:sz w:val="24"/>
          <w:szCs w:val="24"/>
          <w:highlight w:val="white"/>
        </w:rPr>
        <w:t xml:space="preserve">Arlen, J., (2021). Countering Capture: A Political Theory of Corporate Criminal Liability. </w:t>
      </w:r>
      <w:r w:rsidRPr="005B614F">
        <w:rPr>
          <w:i/>
          <w:color w:val="222222"/>
          <w:sz w:val="24"/>
          <w:szCs w:val="24"/>
          <w:highlight w:val="white"/>
        </w:rPr>
        <w:t>J. Corp. L.</w:t>
      </w:r>
      <w:r w:rsidRPr="005B614F">
        <w:rPr>
          <w:color w:val="222222"/>
          <w:sz w:val="24"/>
          <w:szCs w:val="24"/>
          <w:highlight w:val="white"/>
        </w:rPr>
        <w:t xml:space="preserve">, </w:t>
      </w:r>
      <w:r w:rsidRPr="005B614F">
        <w:rPr>
          <w:i/>
          <w:color w:val="222222"/>
          <w:sz w:val="24"/>
          <w:szCs w:val="24"/>
          <w:highlight w:val="white"/>
        </w:rPr>
        <w:t>47</w:t>
      </w:r>
      <w:r w:rsidRPr="005B614F">
        <w:rPr>
          <w:color w:val="222222"/>
          <w:sz w:val="24"/>
          <w:szCs w:val="24"/>
          <w:highlight w:val="white"/>
        </w:rPr>
        <w:t>, p.861.</w:t>
      </w:r>
    </w:p>
    <w:p w14:paraId="6E4A7C41" w14:textId="77777777" w:rsidR="0001271A" w:rsidRPr="005B614F" w:rsidRDefault="0001271A" w:rsidP="00F8256B">
      <w:pPr>
        <w:spacing w:line="360" w:lineRule="auto"/>
        <w:jc w:val="both"/>
        <w:rPr>
          <w:color w:val="222222"/>
          <w:sz w:val="24"/>
          <w:szCs w:val="24"/>
          <w:highlight w:val="white"/>
        </w:rPr>
      </w:pPr>
      <w:r w:rsidRPr="005B614F">
        <w:rPr>
          <w:color w:val="222222"/>
          <w:sz w:val="24"/>
          <w:szCs w:val="24"/>
          <w:highlight w:val="white"/>
        </w:rPr>
        <w:t xml:space="preserve">Attenborough, D., (2020). Misreading the directors’ fiduciary duty of good faith. </w:t>
      </w:r>
      <w:r w:rsidRPr="005B614F">
        <w:rPr>
          <w:i/>
          <w:color w:val="222222"/>
          <w:sz w:val="24"/>
          <w:szCs w:val="24"/>
          <w:highlight w:val="white"/>
        </w:rPr>
        <w:t>Journal of Corporate Law Studies</w:t>
      </w:r>
      <w:r w:rsidRPr="005B614F">
        <w:rPr>
          <w:color w:val="222222"/>
          <w:sz w:val="24"/>
          <w:szCs w:val="24"/>
          <w:highlight w:val="white"/>
        </w:rPr>
        <w:t xml:space="preserve">, </w:t>
      </w:r>
      <w:r w:rsidRPr="005B614F">
        <w:rPr>
          <w:i/>
          <w:color w:val="222222"/>
          <w:sz w:val="24"/>
          <w:szCs w:val="24"/>
          <w:highlight w:val="white"/>
        </w:rPr>
        <w:t>20</w:t>
      </w:r>
      <w:r w:rsidRPr="005B614F">
        <w:rPr>
          <w:color w:val="222222"/>
          <w:sz w:val="24"/>
          <w:szCs w:val="24"/>
          <w:highlight w:val="white"/>
        </w:rPr>
        <w:t>(1), pp.73-98.</w:t>
      </w:r>
    </w:p>
    <w:p w14:paraId="3A8DC000" w14:textId="77777777" w:rsidR="0001271A" w:rsidRPr="005B614F" w:rsidRDefault="0001271A" w:rsidP="00F8256B">
      <w:pPr>
        <w:spacing w:line="360" w:lineRule="auto"/>
        <w:jc w:val="both"/>
        <w:rPr>
          <w:noProof/>
          <w:sz w:val="24"/>
          <w:szCs w:val="24"/>
        </w:rPr>
      </w:pPr>
      <w:r w:rsidRPr="005B614F">
        <w:rPr>
          <w:noProof/>
          <w:sz w:val="24"/>
          <w:szCs w:val="24"/>
        </w:rPr>
        <w:t xml:space="preserve">Clarke, P., (2023). </w:t>
      </w:r>
      <w:r w:rsidRPr="005B614F">
        <w:rPr>
          <w:i/>
          <w:iCs/>
          <w:noProof/>
          <w:sz w:val="24"/>
          <w:szCs w:val="24"/>
        </w:rPr>
        <w:t xml:space="preserve">Duty to Act. </w:t>
      </w:r>
      <w:r w:rsidRPr="005B614F">
        <w:rPr>
          <w:noProof/>
          <w:sz w:val="24"/>
          <w:szCs w:val="24"/>
        </w:rPr>
        <w:t xml:space="preserve">[Online]Available at: </w:t>
      </w:r>
      <w:r w:rsidRPr="005B614F">
        <w:rPr>
          <w:noProof/>
          <w:sz w:val="24"/>
          <w:szCs w:val="24"/>
          <w:u w:val="single"/>
        </w:rPr>
        <w:t>https://www.legalmatch.com/law-library/article/duty-to-act.html</w:t>
      </w:r>
      <w:r w:rsidRPr="005B614F">
        <w:rPr>
          <w:noProof/>
          <w:sz w:val="24"/>
          <w:szCs w:val="24"/>
        </w:rPr>
        <w:t>[Accessed 11 June 2024].</w:t>
      </w:r>
    </w:p>
    <w:p w14:paraId="6B0B9989" w14:textId="77777777" w:rsidR="0001271A" w:rsidRPr="005B614F" w:rsidRDefault="0001271A" w:rsidP="00F8256B">
      <w:pPr>
        <w:spacing w:line="360" w:lineRule="auto"/>
        <w:jc w:val="both"/>
        <w:rPr>
          <w:sz w:val="24"/>
          <w:szCs w:val="24"/>
          <w:highlight w:val="white"/>
        </w:rPr>
      </w:pPr>
      <w:r w:rsidRPr="005B614F">
        <w:rPr>
          <w:sz w:val="24"/>
          <w:szCs w:val="24"/>
          <w:highlight w:val="white"/>
        </w:rPr>
        <w:t xml:space="preserve">Finch, E. and Fafinski, S. (2021). </w:t>
      </w:r>
      <w:r w:rsidRPr="005B614F">
        <w:rPr>
          <w:i/>
          <w:sz w:val="24"/>
          <w:szCs w:val="24"/>
          <w:highlight w:val="white"/>
        </w:rPr>
        <w:t>Criminal law</w:t>
      </w:r>
      <w:r w:rsidRPr="005B614F">
        <w:rPr>
          <w:sz w:val="24"/>
          <w:szCs w:val="24"/>
          <w:highlight w:val="white"/>
        </w:rPr>
        <w:t>. 8th edition. Harlow, England: Pearson.</w:t>
      </w:r>
    </w:p>
    <w:p w14:paraId="370E1F4C" w14:textId="77777777" w:rsidR="0001271A" w:rsidRPr="005B614F" w:rsidRDefault="0001271A" w:rsidP="00F8256B">
      <w:pPr>
        <w:spacing w:line="360" w:lineRule="auto"/>
        <w:jc w:val="both"/>
        <w:rPr>
          <w:noProof/>
          <w:sz w:val="24"/>
          <w:szCs w:val="24"/>
        </w:rPr>
      </w:pPr>
      <w:r w:rsidRPr="005B614F">
        <w:rPr>
          <w:noProof/>
          <w:sz w:val="24"/>
          <w:szCs w:val="24"/>
        </w:rPr>
        <w:t xml:space="preserve">GOV.UK, (2024). </w:t>
      </w:r>
      <w:r w:rsidRPr="005B614F">
        <w:rPr>
          <w:i/>
          <w:iCs/>
          <w:noProof/>
          <w:sz w:val="24"/>
          <w:szCs w:val="24"/>
        </w:rPr>
        <w:t xml:space="preserve">Crime, justice and the law. </w:t>
      </w:r>
      <w:r w:rsidRPr="005B614F">
        <w:rPr>
          <w:noProof/>
          <w:sz w:val="24"/>
          <w:szCs w:val="24"/>
        </w:rPr>
        <w:t xml:space="preserve">[Online]Available at: </w:t>
      </w:r>
      <w:r w:rsidRPr="005B614F">
        <w:rPr>
          <w:noProof/>
          <w:sz w:val="24"/>
          <w:szCs w:val="24"/>
          <w:u w:val="single"/>
        </w:rPr>
        <w:t>https://www.gov.uk/browse/justice</w:t>
      </w:r>
      <w:r w:rsidRPr="005B614F">
        <w:rPr>
          <w:noProof/>
          <w:sz w:val="24"/>
          <w:szCs w:val="24"/>
        </w:rPr>
        <w:t>[Accessed 10 June 2024].</w:t>
      </w:r>
    </w:p>
    <w:p w14:paraId="33D36A45" w14:textId="77777777" w:rsidR="0001271A" w:rsidRPr="005B614F" w:rsidRDefault="0001271A" w:rsidP="00F8256B">
      <w:pPr>
        <w:spacing w:line="360" w:lineRule="auto"/>
        <w:jc w:val="both"/>
        <w:rPr>
          <w:sz w:val="24"/>
          <w:szCs w:val="24"/>
          <w:highlight w:val="white"/>
        </w:rPr>
      </w:pPr>
      <w:r w:rsidRPr="005B614F">
        <w:rPr>
          <w:sz w:val="24"/>
          <w:szCs w:val="24"/>
          <w:highlight w:val="white"/>
        </w:rPr>
        <w:t xml:space="preserve">Herring, J. (2022). </w:t>
      </w:r>
      <w:r w:rsidRPr="005B614F">
        <w:rPr>
          <w:i/>
          <w:sz w:val="24"/>
          <w:szCs w:val="24"/>
          <w:highlight w:val="white"/>
        </w:rPr>
        <w:t>Criminal law : text, cases, and materials</w:t>
      </w:r>
      <w:r w:rsidRPr="005B614F">
        <w:rPr>
          <w:sz w:val="24"/>
          <w:szCs w:val="24"/>
          <w:highlight w:val="white"/>
        </w:rPr>
        <w:t>. Tenth edition. Oxford: Oxford University Press.</w:t>
      </w:r>
    </w:p>
    <w:p w14:paraId="50A0B3BB" w14:textId="77777777" w:rsidR="0001271A" w:rsidRPr="005B614F" w:rsidRDefault="0001271A" w:rsidP="00F8256B">
      <w:pPr>
        <w:spacing w:line="360" w:lineRule="auto"/>
        <w:jc w:val="both"/>
        <w:rPr>
          <w:noProof/>
          <w:sz w:val="24"/>
          <w:szCs w:val="24"/>
        </w:rPr>
      </w:pPr>
      <w:r w:rsidRPr="005B614F">
        <w:rPr>
          <w:noProof/>
          <w:sz w:val="24"/>
          <w:szCs w:val="24"/>
        </w:rPr>
        <w:t xml:space="preserve">Jeffrey Johnson, J., (2022). </w:t>
      </w:r>
      <w:r w:rsidRPr="005B614F">
        <w:rPr>
          <w:i/>
          <w:iCs/>
          <w:noProof/>
          <w:sz w:val="24"/>
          <w:szCs w:val="24"/>
        </w:rPr>
        <w:t xml:space="preserve">What Is Breach of Duty? Legal Definition &amp; Examples. </w:t>
      </w:r>
      <w:r w:rsidRPr="005B614F">
        <w:rPr>
          <w:noProof/>
          <w:sz w:val="24"/>
          <w:szCs w:val="24"/>
        </w:rPr>
        <w:t xml:space="preserve">[Online]Available at: </w:t>
      </w:r>
      <w:r w:rsidRPr="005B614F">
        <w:rPr>
          <w:noProof/>
          <w:sz w:val="24"/>
          <w:szCs w:val="24"/>
          <w:u w:val="single"/>
        </w:rPr>
        <w:t>https://www.forbes.com/advisor/legal/personal-injury/breach-of-duty/</w:t>
      </w:r>
      <w:r w:rsidRPr="005B614F">
        <w:rPr>
          <w:noProof/>
          <w:sz w:val="24"/>
          <w:szCs w:val="24"/>
        </w:rPr>
        <w:t>[Accessed 12 June 2024].</w:t>
      </w:r>
    </w:p>
    <w:p w14:paraId="401BDE88" w14:textId="77777777" w:rsidR="0001271A" w:rsidRPr="005B614F" w:rsidRDefault="0001271A" w:rsidP="00F8256B">
      <w:pPr>
        <w:spacing w:line="360" w:lineRule="auto"/>
        <w:jc w:val="both"/>
        <w:rPr>
          <w:noProof/>
          <w:sz w:val="24"/>
          <w:szCs w:val="24"/>
        </w:rPr>
      </w:pPr>
      <w:r w:rsidRPr="005B614F">
        <w:rPr>
          <w:noProof/>
          <w:sz w:val="24"/>
          <w:szCs w:val="24"/>
        </w:rPr>
        <w:t xml:space="preserve">Legislation.gov.uk, (2024). </w:t>
      </w:r>
      <w:r w:rsidRPr="005B614F">
        <w:rPr>
          <w:i/>
          <w:iCs/>
          <w:noProof/>
          <w:sz w:val="24"/>
          <w:szCs w:val="24"/>
        </w:rPr>
        <w:t xml:space="preserve">Contracts (Applicable Law) Act 1990. </w:t>
      </w:r>
      <w:r w:rsidRPr="005B614F">
        <w:rPr>
          <w:noProof/>
          <w:sz w:val="24"/>
          <w:szCs w:val="24"/>
        </w:rPr>
        <w:t xml:space="preserve">[Online]Available at: </w:t>
      </w:r>
      <w:r w:rsidRPr="005B614F">
        <w:rPr>
          <w:noProof/>
          <w:sz w:val="24"/>
          <w:szCs w:val="24"/>
          <w:u w:val="single"/>
        </w:rPr>
        <w:t>https://www.legislation.gov.uk/ukpga/1990/36/contents</w:t>
      </w:r>
      <w:r w:rsidRPr="005B614F">
        <w:rPr>
          <w:noProof/>
          <w:sz w:val="24"/>
          <w:szCs w:val="24"/>
        </w:rPr>
        <w:t>[Accessed 12 June 2024].</w:t>
      </w:r>
    </w:p>
    <w:p w14:paraId="0834D9D5" w14:textId="77777777" w:rsidR="0001271A" w:rsidRPr="005B614F" w:rsidRDefault="0001271A" w:rsidP="00F8256B">
      <w:pPr>
        <w:spacing w:line="360" w:lineRule="auto"/>
        <w:jc w:val="both"/>
        <w:rPr>
          <w:noProof/>
          <w:sz w:val="24"/>
          <w:szCs w:val="24"/>
        </w:rPr>
      </w:pPr>
      <w:r w:rsidRPr="005B614F">
        <w:rPr>
          <w:noProof/>
          <w:sz w:val="24"/>
          <w:szCs w:val="24"/>
        </w:rPr>
        <w:t xml:space="preserve">Legislation.gov.uk, (2024). </w:t>
      </w:r>
      <w:r w:rsidRPr="005B614F">
        <w:rPr>
          <w:i/>
          <w:iCs/>
          <w:noProof/>
          <w:sz w:val="24"/>
          <w:szCs w:val="24"/>
        </w:rPr>
        <w:t xml:space="preserve">Criminal Law Act 1977. </w:t>
      </w:r>
      <w:r w:rsidRPr="005B614F">
        <w:rPr>
          <w:noProof/>
          <w:sz w:val="24"/>
          <w:szCs w:val="24"/>
        </w:rPr>
        <w:t xml:space="preserve">[Online]Available at: </w:t>
      </w:r>
      <w:r w:rsidRPr="005B614F">
        <w:rPr>
          <w:noProof/>
          <w:sz w:val="24"/>
          <w:szCs w:val="24"/>
          <w:u w:val="single"/>
        </w:rPr>
        <w:t>https://www.legislation.gov.uk/ukpga/1977/45</w:t>
      </w:r>
      <w:r w:rsidRPr="005B614F">
        <w:rPr>
          <w:noProof/>
          <w:sz w:val="24"/>
          <w:szCs w:val="24"/>
        </w:rPr>
        <w:t>[Accessed 13 June 2024].</w:t>
      </w:r>
    </w:p>
    <w:p w14:paraId="6E956C5C" w14:textId="77777777" w:rsidR="0001271A" w:rsidRPr="005B614F" w:rsidRDefault="0001271A" w:rsidP="00F8256B">
      <w:pPr>
        <w:spacing w:line="360" w:lineRule="auto"/>
        <w:jc w:val="both"/>
        <w:rPr>
          <w:sz w:val="24"/>
          <w:szCs w:val="24"/>
          <w:highlight w:val="white"/>
        </w:rPr>
      </w:pPr>
      <w:r w:rsidRPr="005B614F">
        <w:rPr>
          <w:sz w:val="24"/>
          <w:szCs w:val="24"/>
          <w:highlight w:val="white"/>
        </w:rPr>
        <w:t xml:space="preserve">Macdonald, S.K. (2018). </w:t>
      </w:r>
      <w:r w:rsidRPr="005B614F">
        <w:rPr>
          <w:i/>
          <w:sz w:val="24"/>
          <w:szCs w:val="24"/>
          <w:highlight w:val="white"/>
        </w:rPr>
        <w:t>Text, cases, and materials on criminal law</w:t>
      </w:r>
      <w:r w:rsidRPr="005B614F">
        <w:rPr>
          <w:sz w:val="24"/>
          <w:szCs w:val="24"/>
          <w:highlight w:val="white"/>
        </w:rPr>
        <w:t>. Second edition. Harlow, England: Pearson Education Limited.</w:t>
      </w:r>
    </w:p>
    <w:p w14:paraId="756AF729" w14:textId="77777777" w:rsidR="0001271A" w:rsidRPr="005B614F" w:rsidRDefault="0001271A" w:rsidP="00F8256B">
      <w:pPr>
        <w:spacing w:line="360" w:lineRule="auto"/>
        <w:jc w:val="both"/>
        <w:rPr>
          <w:sz w:val="24"/>
          <w:szCs w:val="24"/>
          <w:highlight w:val="white"/>
        </w:rPr>
      </w:pPr>
      <w:r w:rsidRPr="005B614F">
        <w:rPr>
          <w:sz w:val="24"/>
          <w:szCs w:val="24"/>
          <w:highlight w:val="white"/>
        </w:rPr>
        <w:t xml:space="preserve">Taylor, L. (2018). </w:t>
      </w:r>
      <w:r w:rsidRPr="005B614F">
        <w:rPr>
          <w:i/>
          <w:sz w:val="24"/>
          <w:szCs w:val="24"/>
          <w:highlight w:val="white"/>
        </w:rPr>
        <w:t>Elliott and Quinn’s criminal law</w:t>
      </w:r>
      <w:r w:rsidRPr="005B614F">
        <w:rPr>
          <w:sz w:val="24"/>
          <w:szCs w:val="24"/>
          <w:highlight w:val="white"/>
        </w:rPr>
        <w:t>. Twelfth edition. Harlow, England ; Pearson Education Limited.</w:t>
      </w:r>
    </w:p>
    <w:p w14:paraId="4F5D6F32" w14:textId="72CDE7BF" w:rsidR="005B614F" w:rsidRDefault="005B614F" w:rsidP="00F8256B">
      <w:pPr>
        <w:spacing w:line="360" w:lineRule="auto"/>
        <w:jc w:val="both"/>
      </w:pPr>
    </w:p>
    <w:p w14:paraId="6E5AC323" w14:textId="77777777" w:rsidR="005B614F" w:rsidRDefault="005B614F" w:rsidP="00F8256B">
      <w:pPr>
        <w:spacing w:before="240" w:after="240" w:line="360" w:lineRule="auto"/>
        <w:jc w:val="both"/>
        <w:rPr>
          <w:color w:val="222222"/>
          <w:sz w:val="24"/>
          <w:szCs w:val="24"/>
          <w:highlight w:val="white"/>
        </w:rPr>
      </w:pPr>
    </w:p>
    <w:p w14:paraId="0000002A" w14:textId="77777777" w:rsidR="00EF0F49" w:rsidRDefault="00EF0F49" w:rsidP="00F8256B">
      <w:pPr>
        <w:spacing w:before="240" w:after="240" w:line="360" w:lineRule="auto"/>
        <w:jc w:val="both"/>
        <w:rPr>
          <w:sz w:val="24"/>
          <w:szCs w:val="24"/>
          <w:highlight w:val="white"/>
        </w:rPr>
      </w:pPr>
    </w:p>
    <w:p w14:paraId="0000002B" w14:textId="77777777" w:rsidR="00EF0F49" w:rsidRDefault="00EF0F49" w:rsidP="00F8256B">
      <w:pPr>
        <w:spacing w:line="360" w:lineRule="auto"/>
        <w:jc w:val="both"/>
        <w:rPr>
          <w:sz w:val="24"/>
          <w:szCs w:val="24"/>
        </w:rPr>
      </w:pPr>
    </w:p>
    <w:p w14:paraId="0000002C" w14:textId="77777777" w:rsidR="00EF0F49" w:rsidRDefault="00EF0F49" w:rsidP="00F8256B">
      <w:pPr>
        <w:spacing w:line="360" w:lineRule="auto"/>
        <w:jc w:val="both"/>
        <w:rPr>
          <w:sz w:val="24"/>
          <w:szCs w:val="24"/>
        </w:rPr>
      </w:pPr>
    </w:p>
    <w:sectPr w:rsidR="00EF0F49" w:rsidSect="00F8256B">
      <w:headerReference w:type="default" r:id="rId10"/>
      <w:footerReference w:type="default" r:id="rId1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15CB0" w14:textId="77777777" w:rsidR="00EE4858" w:rsidRDefault="00EE4858" w:rsidP="00F8256B">
      <w:pPr>
        <w:spacing w:line="240" w:lineRule="auto"/>
      </w:pPr>
      <w:r>
        <w:separator/>
      </w:r>
    </w:p>
  </w:endnote>
  <w:endnote w:type="continuationSeparator" w:id="0">
    <w:p w14:paraId="284200AE" w14:textId="77777777" w:rsidR="00EE4858" w:rsidRDefault="00EE4858" w:rsidP="00F825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0106225"/>
      <w:docPartObj>
        <w:docPartGallery w:val="Page Numbers (Bottom of Page)"/>
        <w:docPartUnique/>
      </w:docPartObj>
    </w:sdtPr>
    <w:sdtContent>
      <w:sdt>
        <w:sdtPr>
          <w:id w:val="-1769616900"/>
          <w:docPartObj>
            <w:docPartGallery w:val="Page Numbers (Top of Page)"/>
            <w:docPartUnique/>
          </w:docPartObj>
        </w:sdtPr>
        <w:sdtContent>
          <w:p w14:paraId="4BDDC486" w14:textId="5FC83F4A" w:rsidR="00F8256B" w:rsidRPr="00F8256B" w:rsidRDefault="00F8256B">
            <w:pPr>
              <w:pStyle w:val="Footer"/>
              <w:jc w:val="right"/>
            </w:pPr>
            <w:r w:rsidRPr="00F8256B">
              <w:t xml:space="preserve">Page </w:t>
            </w:r>
            <w:r w:rsidRPr="00F8256B">
              <w:rPr>
                <w:b/>
                <w:bCs/>
              </w:rPr>
              <w:fldChar w:fldCharType="begin"/>
            </w:r>
            <w:r w:rsidRPr="00F8256B">
              <w:rPr>
                <w:b/>
                <w:bCs/>
              </w:rPr>
              <w:instrText xml:space="preserve"> PAGE </w:instrText>
            </w:r>
            <w:r w:rsidRPr="00F8256B">
              <w:rPr>
                <w:b/>
                <w:bCs/>
              </w:rPr>
              <w:fldChar w:fldCharType="separate"/>
            </w:r>
            <w:r w:rsidRPr="00F8256B">
              <w:rPr>
                <w:b/>
                <w:bCs/>
                <w:noProof/>
              </w:rPr>
              <w:t>2</w:t>
            </w:r>
            <w:r w:rsidRPr="00F8256B">
              <w:rPr>
                <w:b/>
                <w:bCs/>
              </w:rPr>
              <w:fldChar w:fldCharType="end"/>
            </w:r>
            <w:r w:rsidRPr="00F8256B">
              <w:t xml:space="preserve"> of </w:t>
            </w:r>
            <w:r w:rsidRPr="00F8256B">
              <w:rPr>
                <w:b/>
                <w:bCs/>
              </w:rPr>
              <w:fldChar w:fldCharType="begin"/>
            </w:r>
            <w:r w:rsidRPr="00F8256B">
              <w:rPr>
                <w:b/>
                <w:bCs/>
              </w:rPr>
              <w:instrText xml:space="preserve"> NUMPAGES  </w:instrText>
            </w:r>
            <w:r w:rsidRPr="00F8256B">
              <w:rPr>
                <w:b/>
                <w:bCs/>
              </w:rPr>
              <w:fldChar w:fldCharType="separate"/>
            </w:r>
            <w:r w:rsidRPr="00F8256B">
              <w:rPr>
                <w:b/>
                <w:bCs/>
                <w:noProof/>
              </w:rPr>
              <w:t>2</w:t>
            </w:r>
            <w:r w:rsidRPr="00F8256B">
              <w:rPr>
                <w:b/>
                <w:bCs/>
              </w:rPr>
              <w:fldChar w:fldCharType="end"/>
            </w:r>
          </w:p>
        </w:sdtContent>
      </w:sdt>
    </w:sdtContent>
  </w:sdt>
  <w:p w14:paraId="6C109D08" w14:textId="77777777" w:rsidR="00F8256B" w:rsidRDefault="00F82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663CAA" w14:textId="77777777" w:rsidR="00EE4858" w:rsidRDefault="00EE4858" w:rsidP="00F8256B">
      <w:pPr>
        <w:spacing w:line="240" w:lineRule="auto"/>
      </w:pPr>
      <w:r>
        <w:separator/>
      </w:r>
    </w:p>
  </w:footnote>
  <w:footnote w:type="continuationSeparator" w:id="0">
    <w:p w14:paraId="1EE7D9CB" w14:textId="77777777" w:rsidR="00EE4858" w:rsidRDefault="00EE4858" w:rsidP="00F825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5B059" w14:textId="4C4C24DD" w:rsidR="00F8256B" w:rsidRDefault="00F8256B" w:rsidP="00F8256B">
    <w:pPr>
      <w:pStyle w:val="Header"/>
      <w:jc w:val="right"/>
    </w:pPr>
    <w:r w:rsidRPr="00F8256B">
      <w:t>Criminal law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222C9"/>
    <w:multiLevelType w:val="hybridMultilevel"/>
    <w:tmpl w:val="802CB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2971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F49"/>
    <w:rsid w:val="0001271A"/>
    <w:rsid w:val="001902F6"/>
    <w:rsid w:val="00352E96"/>
    <w:rsid w:val="003A0E13"/>
    <w:rsid w:val="005323E4"/>
    <w:rsid w:val="005B614F"/>
    <w:rsid w:val="007A45D4"/>
    <w:rsid w:val="007D37DD"/>
    <w:rsid w:val="009070D5"/>
    <w:rsid w:val="009575F4"/>
    <w:rsid w:val="00E076FF"/>
    <w:rsid w:val="00EE4858"/>
    <w:rsid w:val="00EF0F49"/>
    <w:rsid w:val="00F1618D"/>
    <w:rsid w:val="00F825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ABB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B614F"/>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autoRedefine/>
    <w:uiPriority w:val="9"/>
    <w:unhideWhenUsed/>
    <w:qFormat/>
    <w:rsid w:val="009070D5"/>
    <w:pPr>
      <w:keepNext/>
      <w:keepLines/>
      <w:spacing w:before="360" w:after="120" w:line="360" w:lineRule="auto"/>
      <w:jc w:val="both"/>
      <w:outlineLvl w:val="1"/>
    </w:pPr>
    <w:rPr>
      <w:b/>
      <w:color w:val="000000" w:themeColor="text1"/>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5B614F"/>
    <w:rPr>
      <w:b/>
      <w:color w:val="000000" w:themeColor="text1"/>
      <w:sz w:val="28"/>
      <w:szCs w:val="40"/>
    </w:rPr>
  </w:style>
  <w:style w:type="paragraph" w:styleId="Bibliography">
    <w:name w:val="Bibliography"/>
    <w:basedOn w:val="Normal"/>
    <w:next w:val="Normal"/>
    <w:uiPriority w:val="37"/>
    <w:unhideWhenUsed/>
    <w:rsid w:val="005B614F"/>
  </w:style>
  <w:style w:type="paragraph" w:styleId="ListParagraph">
    <w:name w:val="List Paragraph"/>
    <w:basedOn w:val="Normal"/>
    <w:uiPriority w:val="34"/>
    <w:qFormat/>
    <w:rsid w:val="005B614F"/>
    <w:pPr>
      <w:ind w:left="720"/>
      <w:contextualSpacing/>
    </w:pPr>
  </w:style>
  <w:style w:type="paragraph" w:styleId="Header">
    <w:name w:val="header"/>
    <w:basedOn w:val="Normal"/>
    <w:link w:val="HeaderChar"/>
    <w:uiPriority w:val="99"/>
    <w:unhideWhenUsed/>
    <w:rsid w:val="00F8256B"/>
    <w:pPr>
      <w:tabs>
        <w:tab w:val="center" w:pos="4680"/>
        <w:tab w:val="right" w:pos="9360"/>
      </w:tabs>
      <w:spacing w:line="240" w:lineRule="auto"/>
    </w:pPr>
  </w:style>
  <w:style w:type="character" w:customStyle="1" w:styleId="HeaderChar">
    <w:name w:val="Header Char"/>
    <w:basedOn w:val="DefaultParagraphFont"/>
    <w:link w:val="Header"/>
    <w:uiPriority w:val="99"/>
    <w:rsid w:val="00F8256B"/>
  </w:style>
  <w:style w:type="paragraph" w:styleId="Footer">
    <w:name w:val="footer"/>
    <w:basedOn w:val="Normal"/>
    <w:link w:val="FooterChar"/>
    <w:uiPriority w:val="99"/>
    <w:unhideWhenUsed/>
    <w:rsid w:val="00F8256B"/>
    <w:pPr>
      <w:tabs>
        <w:tab w:val="center" w:pos="4680"/>
        <w:tab w:val="right" w:pos="9360"/>
      </w:tabs>
      <w:spacing w:line="240" w:lineRule="auto"/>
    </w:pPr>
  </w:style>
  <w:style w:type="character" w:customStyle="1" w:styleId="FooterChar">
    <w:name w:val="Footer Char"/>
    <w:basedOn w:val="DefaultParagraphFont"/>
    <w:link w:val="Footer"/>
    <w:uiPriority w:val="99"/>
    <w:rsid w:val="00F8256B"/>
  </w:style>
  <w:style w:type="paragraph" w:styleId="TOCHeading">
    <w:name w:val="TOC Heading"/>
    <w:basedOn w:val="Heading1"/>
    <w:next w:val="Normal"/>
    <w:uiPriority w:val="39"/>
    <w:unhideWhenUsed/>
    <w:qFormat/>
    <w:rsid w:val="0001271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1271A"/>
    <w:pPr>
      <w:spacing w:after="100"/>
    </w:pPr>
  </w:style>
  <w:style w:type="paragraph" w:styleId="TOC2">
    <w:name w:val="toc 2"/>
    <w:basedOn w:val="Normal"/>
    <w:next w:val="Normal"/>
    <w:autoRedefine/>
    <w:uiPriority w:val="39"/>
    <w:unhideWhenUsed/>
    <w:rsid w:val="0001271A"/>
    <w:pPr>
      <w:spacing w:after="100"/>
      <w:ind w:left="220"/>
    </w:pPr>
  </w:style>
  <w:style w:type="character" w:styleId="Hyperlink">
    <w:name w:val="Hyperlink"/>
    <w:basedOn w:val="DefaultParagraphFont"/>
    <w:uiPriority w:val="99"/>
    <w:unhideWhenUsed/>
    <w:rsid w:val="000127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90872">
      <w:bodyDiv w:val="1"/>
      <w:marLeft w:val="0"/>
      <w:marRight w:val="0"/>
      <w:marTop w:val="0"/>
      <w:marBottom w:val="0"/>
      <w:divBdr>
        <w:top w:val="none" w:sz="0" w:space="0" w:color="auto"/>
        <w:left w:val="none" w:sz="0" w:space="0" w:color="auto"/>
        <w:bottom w:val="none" w:sz="0" w:space="0" w:color="auto"/>
        <w:right w:val="none" w:sz="0" w:space="0" w:color="auto"/>
      </w:divBdr>
    </w:div>
    <w:div w:id="314258361">
      <w:bodyDiv w:val="1"/>
      <w:marLeft w:val="0"/>
      <w:marRight w:val="0"/>
      <w:marTop w:val="0"/>
      <w:marBottom w:val="0"/>
      <w:divBdr>
        <w:top w:val="none" w:sz="0" w:space="0" w:color="auto"/>
        <w:left w:val="none" w:sz="0" w:space="0" w:color="auto"/>
        <w:bottom w:val="none" w:sz="0" w:space="0" w:color="auto"/>
        <w:right w:val="none" w:sz="0" w:space="0" w:color="auto"/>
      </w:divBdr>
    </w:div>
    <w:div w:id="851339192">
      <w:bodyDiv w:val="1"/>
      <w:marLeft w:val="0"/>
      <w:marRight w:val="0"/>
      <w:marTop w:val="0"/>
      <w:marBottom w:val="0"/>
      <w:divBdr>
        <w:top w:val="none" w:sz="0" w:space="0" w:color="auto"/>
        <w:left w:val="none" w:sz="0" w:space="0" w:color="auto"/>
        <w:bottom w:val="none" w:sz="0" w:space="0" w:color="auto"/>
        <w:right w:val="none" w:sz="0" w:space="0" w:color="auto"/>
      </w:divBdr>
    </w:div>
    <w:div w:id="1316951392">
      <w:bodyDiv w:val="1"/>
      <w:marLeft w:val="0"/>
      <w:marRight w:val="0"/>
      <w:marTop w:val="0"/>
      <w:marBottom w:val="0"/>
      <w:divBdr>
        <w:top w:val="none" w:sz="0" w:space="0" w:color="auto"/>
        <w:left w:val="none" w:sz="0" w:space="0" w:color="auto"/>
        <w:bottom w:val="none" w:sz="0" w:space="0" w:color="auto"/>
        <w:right w:val="none" w:sz="0" w:space="0" w:color="auto"/>
      </w:divBdr>
    </w:div>
    <w:div w:id="1541015211">
      <w:bodyDiv w:val="1"/>
      <w:marLeft w:val="0"/>
      <w:marRight w:val="0"/>
      <w:marTop w:val="0"/>
      <w:marBottom w:val="0"/>
      <w:divBdr>
        <w:top w:val="none" w:sz="0" w:space="0" w:color="auto"/>
        <w:left w:val="none" w:sz="0" w:space="0" w:color="auto"/>
        <w:bottom w:val="none" w:sz="0" w:space="0" w:color="auto"/>
        <w:right w:val="none" w:sz="0" w:space="0" w:color="auto"/>
      </w:divBdr>
    </w:div>
    <w:div w:id="19990740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GOV2417</b:Tag>
    <b:SourceType>InternetSite</b:SourceType>
    <b:Guid>{B2E9D1CE-F698-4054-B136-87C3F792E38E}</b:Guid>
    <b:Author>
      <b:Author>
        <b:Corporate>GOV.UK</b:Corporate>
      </b:Author>
    </b:Author>
    <b:Title>Crime, justice and the law</b:Title>
    <b:Year>2024</b:Year>
    <b:YearAccessed>2024</b:YearAccessed>
    <b:MonthAccessed>June</b:MonthAccessed>
    <b:DayAccessed>10</b:DayAccessed>
    <b:URL>https://www.gov.uk/browse/justice</b:URL>
    <b:RefOrder>1</b:RefOrder>
  </b:Source>
  <b:Source>
    <b:Tag>Pet23</b:Tag>
    <b:SourceType>InternetSite</b:SourceType>
    <b:Guid>{C8713412-636F-4144-9CE6-DF8861DF45F1}</b:Guid>
    <b:Author>
      <b:Author>
        <b:NameList>
          <b:Person>
            <b:Last>Clarke</b:Last>
            <b:First>Peter</b:First>
          </b:Person>
        </b:NameList>
      </b:Author>
    </b:Author>
    <b:Title>Duty to Act</b:Title>
    <b:Year>2023</b:Year>
    <b:YearAccessed>2024</b:YearAccessed>
    <b:MonthAccessed>June</b:MonthAccessed>
    <b:DayAccessed>11</b:DayAccessed>
    <b:URL>https://www.legalmatch.com/law-library/article/duty-to-act.html</b:URL>
    <b:RefOrder>2</b:RefOrder>
  </b:Source>
  <b:Source>
    <b:Tag>Jef22</b:Tag>
    <b:SourceType>InternetSite</b:SourceType>
    <b:Guid>{47457959-4C84-47A0-8659-5BEBF858668A}</b:Guid>
    <b:Author>
      <b:Author>
        <b:NameList>
          <b:Person>
            <b:Last>Jeffrey Johnson</b:Last>
            <b:First>J.D.</b:First>
          </b:Person>
        </b:NameList>
      </b:Author>
    </b:Author>
    <b:Title>What Is Breach of Duty? Legal Definition &amp; Examples</b:Title>
    <b:Year>2022</b:Year>
    <b:YearAccessed>2024</b:YearAccessed>
    <b:MonthAccessed>June</b:MonthAccessed>
    <b:DayAccessed>12</b:DayAccessed>
    <b:URL>https://www.forbes.com/advisor/legal/personal-injury/breach-of-duty/</b:URL>
    <b:RefOrder>3</b:RefOrder>
  </b:Source>
  <b:Source>
    <b:Tag>Leg245</b:Tag>
    <b:SourceType>InternetSite</b:SourceType>
    <b:Guid>{EBF24748-97DC-464B-8412-33B8E7CB2ABF}</b:Guid>
    <b:Author>
      <b:Author>
        <b:Corporate>Legislation.gov.uk</b:Corporate>
      </b:Author>
    </b:Author>
    <b:Title>Contracts (Applicable Law) Act 1990</b:Title>
    <b:Year>2024</b:Year>
    <b:YearAccessed>2024</b:YearAccessed>
    <b:MonthAccessed>June</b:MonthAccessed>
    <b:DayAccessed>12</b:DayAccessed>
    <b:URL>https://www.legislation.gov.uk/ukpga/1990/36/contents</b:URL>
    <b:RefOrder>4</b:RefOrder>
  </b:Source>
  <b:Source>
    <b:Tag>Leg246</b:Tag>
    <b:SourceType>InternetSite</b:SourceType>
    <b:Guid>{2C049506-2765-4BA6-BF7F-34BE99EE90F2}</b:Guid>
    <b:Author>
      <b:Author>
        <b:Corporate>Legislation.gov.uk</b:Corporate>
      </b:Author>
    </b:Author>
    <b:Title>Criminal Law Act 1977</b:Title>
    <b:Year>2024</b:Year>
    <b:YearAccessed>2024</b:YearAccessed>
    <b:MonthAccessed>June</b:MonthAccessed>
    <b:DayAccessed>13</b:DayAccessed>
    <b:URL>https://www.legislation.gov.uk/ukpga/1977/45</b:URL>
    <b:RefOrder>5</b:RefOrder>
  </b:Source>
</b:Sources>
</file>

<file path=customXml/itemProps1.xml><?xml version="1.0" encoding="utf-8"?>
<ds:datastoreItem xmlns:ds="http://schemas.openxmlformats.org/officeDocument/2006/customXml" ds:itemID="{488BBC57-DD83-4B1D-8769-083393E0E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2024-06-18T10:11:00Z</dcterms:created>
  <dcterms:modified xsi:type="dcterms:W3CDTF">2024-06-21T18:51:00Z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d0cb2cd84f91586b06dbe63537b509c0ee25671ffa492d293cf07a8f04403368</vt:lpwstr>
  </property>
</Properties>
</file>