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65AE7" w14:textId="77777777" w:rsidR="00AC5DE2" w:rsidRPr="00B621A0" w:rsidRDefault="00AC5DE2" w:rsidP="00B621A0">
      <w:pPr>
        <w:spacing w:line="360" w:lineRule="auto"/>
        <w:rPr>
          <w:sz w:val="24"/>
          <w:szCs w:val="24"/>
        </w:rPr>
      </w:pPr>
    </w:p>
    <w:p w14:paraId="5917ABFF" w14:textId="77777777" w:rsidR="00AC5DE2" w:rsidRPr="00B621A0" w:rsidRDefault="00AC5DE2" w:rsidP="00B621A0">
      <w:pPr>
        <w:spacing w:line="360" w:lineRule="auto"/>
        <w:ind w:firstLine="720"/>
        <w:rPr>
          <w:sz w:val="24"/>
          <w:szCs w:val="24"/>
        </w:rPr>
      </w:pPr>
    </w:p>
    <w:p w14:paraId="7C2E34A4" w14:textId="77777777" w:rsidR="00AC5DE2" w:rsidRPr="00B621A0" w:rsidRDefault="00AC5DE2" w:rsidP="00B621A0">
      <w:pPr>
        <w:spacing w:line="360" w:lineRule="auto"/>
        <w:rPr>
          <w:sz w:val="24"/>
          <w:szCs w:val="24"/>
        </w:rPr>
      </w:pPr>
    </w:p>
    <w:p w14:paraId="13A68412" w14:textId="77777777" w:rsidR="00AC5DE2" w:rsidRPr="00B621A0" w:rsidRDefault="00AC5DE2" w:rsidP="00B621A0">
      <w:pPr>
        <w:spacing w:line="360" w:lineRule="auto"/>
        <w:rPr>
          <w:sz w:val="24"/>
          <w:szCs w:val="24"/>
        </w:rPr>
      </w:pPr>
    </w:p>
    <w:p w14:paraId="76257031" w14:textId="2C3B642D" w:rsidR="00AC5DE2" w:rsidRDefault="008F5209" w:rsidP="00B621A0">
      <w:pPr>
        <w:spacing w:line="360" w:lineRule="auto"/>
        <w:jc w:val="center"/>
        <w:rPr>
          <w:b/>
          <w:bCs/>
          <w:sz w:val="24"/>
          <w:szCs w:val="24"/>
        </w:rPr>
      </w:pPr>
      <w:r w:rsidRPr="00B621A0">
        <w:rPr>
          <w:b/>
          <w:bCs/>
          <w:sz w:val="24"/>
          <w:szCs w:val="24"/>
        </w:rPr>
        <w:t>Essay Title: Clear Signals in Rough Seas: BELF Playbooks for UK–South Korea Virtual Offshore Wind Procurement</w:t>
      </w:r>
    </w:p>
    <w:p w14:paraId="00DF986F" w14:textId="77777777" w:rsidR="002E04A0" w:rsidRPr="00B621A0" w:rsidRDefault="002E04A0" w:rsidP="00B621A0">
      <w:pPr>
        <w:spacing w:line="360" w:lineRule="auto"/>
        <w:jc w:val="center"/>
        <w:rPr>
          <w:b/>
          <w:bCs/>
          <w:sz w:val="24"/>
          <w:szCs w:val="24"/>
        </w:rPr>
      </w:pPr>
    </w:p>
    <w:p w14:paraId="07212E2C" w14:textId="77777777" w:rsidR="008F5209" w:rsidRPr="00B621A0" w:rsidRDefault="008F5209" w:rsidP="00B621A0">
      <w:pPr>
        <w:spacing w:line="360" w:lineRule="auto"/>
        <w:jc w:val="center"/>
        <w:rPr>
          <w:sz w:val="24"/>
          <w:szCs w:val="24"/>
        </w:rPr>
      </w:pPr>
    </w:p>
    <w:p w14:paraId="36BEEF21" w14:textId="6294DF37" w:rsidR="008F5209" w:rsidRPr="00B621A0" w:rsidRDefault="008F5209" w:rsidP="00B621A0">
      <w:pPr>
        <w:spacing w:line="360" w:lineRule="auto"/>
        <w:jc w:val="center"/>
        <w:rPr>
          <w:sz w:val="24"/>
          <w:szCs w:val="24"/>
        </w:rPr>
      </w:pPr>
      <w:r w:rsidRPr="00B621A0">
        <w:rPr>
          <w:sz w:val="24"/>
          <w:szCs w:val="24"/>
        </w:rPr>
        <w:t>Student Name: Rajwinder Kaur</w:t>
      </w:r>
    </w:p>
    <w:p w14:paraId="46102194" w14:textId="55BF3977" w:rsidR="008F5209" w:rsidRPr="00B621A0" w:rsidRDefault="008F5209" w:rsidP="00B621A0">
      <w:pPr>
        <w:spacing w:line="360" w:lineRule="auto"/>
        <w:jc w:val="center"/>
        <w:rPr>
          <w:sz w:val="24"/>
          <w:szCs w:val="24"/>
        </w:rPr>
      </w:pPr>
      <w:r w:rsidRPr="00B621A0">
        <w:rPr>
          <w:sz w:val="24"/>
          <w:szCs w:val="24"/>
        </w:rPr>
        <w:t>Student ID:</w:t>
      </w:r>
      <w:r w:rsidR="00B621A0" w:rsidRPr="00B621A0">
        <w:rPr>
          <w:sz w:val="24"/>
          <w:szCs w:val="24"/>
        </w:rPr>
        <w:t xml:space="preserve"> 2214604</w:t>
      </w:r>
    </w:p>
    <w:p w14:paraId="0BD7C7A9" w14:textId="77777777" w:rsidR="00B621A0" w:rsidRPr="00B621A0" w:rsidRDefault="00B621A0" w:rsidP="00B621A0">
      <w:pPr>
        <w:spacing w:line="360" w:lineRule="auto"/>
        <w:jc w:val="center"/>
        <w:rPr>
          <w:sz w:val="24"/>
          <w:szCs w:val="24"/>
        </w:rPr>
      </w:pPr>
    </w:p>
    <w:p w14:paraId="319759E8" w14:textId="77777777" w:rsidR="00B621A0" w:rsidRPr="00B621A0" w:rsidRDefault="00B621A0" w:rsidP="00B621A0">
      <w:pPr>
        <w:spacing w:line="360" w:lineRule="auto"/>
        <w:jc w:val="center"/>
        <w:rPr>
          <w:sz w:val="24"/>
          <w:szCs w:val="24"/>
        </w:rPr>
      </w:pPr>
    </w:p>
    <w:p w14:paraId="1FAF45B2" w14:textId="77777777" w:rsidR="00B621A0" w:rsidRPr="00B621A0" w:rsidRDefault="00B621A0" w:rsidP="00B621A0">
      <w:pPr>
        <w:spacing w:line="360" w:lineRule="auto"/>
        <w:jc w:val="center"/>
        <w:rPr>
          <w:b/>
          <w:bCs/>
          <w:sz w:val="24"/>
          <w:szCs w:val="24"/>
        </w:rPr>
      </w:pPr>
    </w:p>
    <w:p w14:paraId="52FC452E" w14:textId="1660EEA1" w:rsidR="008F5209" w:rsidRPr="00B621A0" w:rsidRDefault="008F5209" w:rsidP="00B621A0">
      <w:pPr>
        <w:spacing w:line="360" w:lineRule="auto"/>
        <w:jc w:val="center"/>
        <w:rPr>
          <w:b/>
          <w:bCs/>
          <w:sz w:val="24"/>
          <w:szCs w:val="24"/>
        </w:rPr>
      </w:pPr>
      <w:r w:rsidRPr="00B621A0">
        <w:rPr>
          <w:b/>
          <w:bCs/>
          <w:sz w:val="24"/>
          <w:szCs w:val="24"/>
        </w:rPr>
        <w:t>Module: International Business Communications (LCBB6023)</w:t>
      </w:r>
    </w:p>
    <w:p w14:paraId="07762424" w14:textId="77777777" w:rsidR="008F5209" w:rsidRPr="00B621A0" w:rsidRDefault="008F5209" w:rsidP="00B621A0">
      <w:pPr>
        <w:spacing w:line="360" w:lineRule="auto"/>
        <w:jc w:val="center"/>
        <w:rPr>
          <w:b/>
          <w:bCs/>
          <w:sz w:val="24"/>
          <w:szCs w:val="24"/>
        </w:rPr>
      </w:pPr>
    </w:p>
    <w:p w14:paraId="154DF6D9" w14:textId="77777777" w:rsidR="00AC5DE2" w:rsidRPr="00B621A0" w:rsidRDefault="00AC5DE2" w:rsidP="00B621A0">
      <w:pPr>
        <w:spacing w:line="360" w:lineRule="auto"/>
        <w:jc w:val="center"/>
        <w:rPr>
          <w:sz w:val="24"/>
          <w:szCs w:val="24"/>
        </w:rPr>
      </w:pPr>
    </w:p>
    <w:p w14:paraId="6B039DCC" w14:textId="53CA6F58" w:rsidR="00AC5DE2" w:rsidRPr="00B621A0" w:rsidRDefault="008F5209" w:rsidP="00B621A0">
      <w:pPr>
        <w:spacing w:line="360" w:lineRule="auto"/>
        <w:jc w:val="center"/>
        <w:rPr>
          <w:b/>
          <w:sz w:val="24"/>
          <w:szCs w:val="24"/>
        </w:rPr>
      </w:pPr>
      <w:r w:rsidRPr="00B621A0">
        <w:rPr>
          <w:b/>
          <w:sz w:val="24"/>
          <w:szCs w:val="24"/>
        </w:rPr>
        <w:t>Lecturer: Afzal Munna</w:t>
      </w:r>
    </w:p>
    <w:p w14:paraId="7BC121AB" w14:textId="77777777" w:rsidR="00B621A0" w:rsidRPr="00B621A0" w:rsidRDefault="00B621A0" w:rsidP="00B621A0">
      <w:pPr>
        <w:spacing w:line="360" w:lineRule="auto"/>
        <w:jc w:val="center"/>
        <w:rPr>
          <w:b/>
          <w:sz w:val="24"/>
          <w:szCs w:val="24"/>
        </w:rPr>
      </w:pPr>
    </w:p>
    <w:p w14:paraId="11715B75" w14:textId="7B915704" w:rsidR="00B621A0" w:rsidRPr="00B621A0" w:rsidRDefault="00B621A0" w:rsidP="00B621A0">
      <w:pPr>
        <w:spacing w:line="360" w:lineRule="auto"/>
        <w:jc w:val="center"/>
        <w:rPr>
          <w:sz w:val="24"/>
          <w:szCs w:val="24"/>
        </w:rPr>
      </w:pPr>
      <w:r w:rsidRPr="00B621A0">
        <w:rPr>
          <w:b/>
          <w:sz w:val="24"/>
          <w:szCs w:val="24"/>
        </w:rPr>
        <w:t>Word count: 2183</w:t>
      </w:r>
    </w:p>
    <w:p w14:paraId="04C99971" w14:textId="77777777" w:rsidR="00AC5DE2" w:rsidRPr="00B621A0" w:rsidRDefault="00AC5DE2" w:rsidP="00B621A0">
      <w:pPr>
        <w:spacing w:line="360" w:lineRule="auto"/>
        <w:rPr>
          <w:sz w:val="24"/>
          <w:szCs w:val="24"/>
        </w:rPr>
      </w:pPr>
    </w:p>
    <w:p w14:paraId="4510411E" w14:textId="77777777" w:rsidR="00AC5DE2" w:rsidRPr="00B621A0" w:rsidRDefault="00AC5DE2" w:rsidP="00B621A0">
      <w:pPr>
        <w:tabs>
          <w:tab w:val="left" w:pos="1350"/>
        </w:tabs>
        <w:spacing w:line="360" w:lineRule="auto"/>
        <w:rPr>
          <w:sz w:val="24"/>
          <w:szCs w:val="24"/>
        </w:rPr>
      </w:pPr>
      <w:r w:rsidRPr="00B621A0">
        <w:rPr>
          <w:sz w:val="24"/>
          <w:szCs w:val="24"/>
        </w:rPr>
        <w:tab/>
      </w:r>
    </w:p>
    <w:p w14:paraId="1B9EF72A" w14:textId="77777777" w:rsidR="00AC5DE2" w:rsidRPr="00B621A0" w:rsidRDefault="00AC5DE2" w:rsidP="00B621A0">
      <w:pPr>
        <w:spacing w:after="160" w:line="360" w:lineRule="auto"/>
        <w:rPr>
          <w:sz w:val="24"/>
          <w:szCs w:val="24"/>
        </w:rPr>
      </w:pPr>
    </w:p>
    <w:p w14:paraId="3C7CC2E0" w14:textId="77777777" w:rsidR="00AC5DE2" w:rsidRPr="00B621A0" w:rsidRDefault="00AC5DE2" w:rsidP="00B621A0">
      <w:pPr>
        <w:spacing w:after="160" w:line="360" w:lineRule="auto"/>
        <w:rPr>
          <w:sz w:val="24"/>
          <w:szCs w:val="24"/>
        </w:rPr>
      </w:pPr>
    </w:p>
    <w:p w14:paraId="194CE332" w14:textId="77777777" w:rsidR="00AC5DE2" w:rsidRPr="00B621A0" w:rsidRDefault="00AC5DE2" w:rsidP="00B621A0">
      <w:pPr>
        <w:spacing w:after="160" w:line="360" w:lineRule="auto"/>
        <w:rPr>
          <w:sz w:val="24"/>
          <w:szCs w:val="24"/>
        </w:rPr>
      </w:pPr>
    </w:p>
    <w:p w14:paraId="35B4A425" w14:textId="77777777" w:rsidR="00AC5DE2" w:rsidRPr="00B621A0" w:rsidRDefault="00AC5DE2" w:rsidP="00B621A0">
      <w:pPr>
        <w:spacing w:after="160" w:line="360" w:lineRule="auto"/>
        <w:rPr>
          <w:sz w:val="24"/>
          <w:szCs w:val="24"/>
        </w:rPr>
      </w:pPr>
    </w:p>
    <w:p w14:paraId="6E09F502" w14:textId="77777777" w:rsidR="00AC5DE2" w:rsidRPr="00B621A0" w:rsidRDefault="00AC5DE2" w:rsidP="00B621A0">
      <w:pPr>
        <w:spacing w:after="160" w:line="360" w:lineRule="auto"/>
        <w:rPr>
          <w:sz w:val="24"/>
          <w:szCs w:val="24"/>
        </w:rPr>
      </w:pPr>
    </w:p>
    <w:p w14:paraId="0F093834" w14:textId="77777777" w:rsidR="00AC5DE2" w:rsidRPr="00B621A0" w:rsidRDefault="00AC5DE2" w:rsidP="00B621A0">
      <w:pPr>
        <w:spacing w:after="160" w:line="360" w:lineRule="auto"/>
        <w:rPr>
          <w:sz w:val="24"/>
          <w:szCs w:val="24"/>
        </w:rPr>
      </w:pPr>
    </w:p>
    <w:p w14:paraId="6FBDDAB6" w14:textId="77777777" w:rsidR="00AC5DE2" w:rsidRPr="00B621A0" w:rsidRDefault="00AC5DE2" w:rsidP="00B621A0">
      <w:pPr>
        <w:spacing w:after="160" w:line="360" w:lineRule="auto"/>
        <w:rPr>
          <w:sz w:val="24"/>
          <w:szCs w:val="24"/>
        </w:rPr>
      </w:pPr>
    </w:p>
    <w:p w14:paraId="60C13886" w14:textId="77777777" w:rsidR="008F5209" w:rsidRPr="00B621A0" w:rsidRDefault="008F5209" w:rsidP="00B621A0">
      <w:pPr>
        <w:spacing w:after="160" w:line="360" w:lineRule="auto"/>
        <w:rPr>
          <w:sz w:val="24"/>
          <w:szCs w:val="24"/>
        </w:rPr>
      </w:pPr>
      <w:r w:rsidRPr="00B621A0">
        <w:rPr>
          <w:sz w:val="24"/>
          <w:szCs w:val="24"/>
        </w:rPr>
        <w:br w:type="page"/>
      </w:r>
    </w:p>
    <w:p w14:paraId="617C5E51" w14:textId="181E62CE" w:rsidR="00AC5DE2" w:rsidRPr="00F17CBE" w:rsidRDefault="00AC5DE2" w:rsidP="00B621A0">
      <w:pPr>
        <w:spacing w:after="160" w:line="360" w:lineRule="auto"/>
        <w:rPr>
          <w:b/>
          <w:bCs/>
          <w:sz w:val="24"/>
          <w:szCs w:val="24"/>
        </w:rPr>
      </w:pPr>
      <w:r w:rsidRPr="00F17CBE">
        <w:rPr>
          <w:b/>
          <w:bCs/>
          <w:sz w:val="24"/>
          <w:szCs w:val="24"/>
        </w:rPr>
        <w:lastRenderedPageBreak/>
        <w:t>Contents Page</w:t>
      </w:r>
    </w:p>
    <w:p w14:paraId="6718102B" w14:textId="0DE6D52A" w:rsidR="00F17CBE" w:rsidRPr="009D2B4C" w:rsidRDefault="00F17CBE" w:rsidP="00F17CBE">
      <w:pPr>
        <w:spacing w:after="160" w:line="360" w:lineRule="auto"/>
        <w:rPr>
          <w:sz w:val="24"/>
          <w:szCs w:val="24"/>
        </w:rPr>
      </w:pPr>
      <w:r w:rsidRPr="009D2B4C">
        <w:rPr>
          <w:sz w:val="24"/>
          <w:szCs w:val="24"/>
        </w:rPr>
        <w:t>Introduction</w:t>
      </w:r>
      <w:r w:rsidR="002E04A0">
        <w:rPr>
          <w:sz w:val="24"/>
          <w:szCs w:val="24"/>
        </w:rPr>
        <w:t>…………………………………………………………………………………. 3</w:t>
      </w:r>
    </w:p>
    <w:p w14:paraId="21313E87" w14:textId="06D0B7FA" w:rsidR="00F17CBE" w:rsidRPr="009D2B4C" w:rsidRDefault="00F17CBE" w:rsidP="00F17CBE">
      <w:pPr>
        <w:spacing w:after="160" w:line="360" w:lineRule="auto"/>
        <w:rPr>
          <w:sz w:val="24"/>
          <w:szCs w:val="24"/>
        </w:rPr>
      </w:pPr>
      <w:r w:rsidRPr="009D2B4C">
        <w:rPr>
          <w:sz w:val="24"/>
          <w:szCs w:val="24"/>
        </w:rPr>
        <w:t xml:space="preserve">Research question </w:t>
      </w:r>
      <w:r w:rsidR="002E04A0">
        <w:rPr>
          <w:sz w:val="24"/>
          <w:szCs w:val="24"/>
        </w:rPr>
        <w:t>…………………………………………………………………………… 3</w:t>
      </w:r>
    </w:p>
    <w:p w14:paraId="79389303" w14:textId="682C2A6B" w:rsidR="00F17CBE" w:rsidRPr="009D2B4C" w:rsidRDefault="00F17CBE" w:rsidP="00F17CBE">
      <w:pPr>
        <w:spacing w:after="160" w:line="360" w:lineRule="auto"/>
        <w:rPr>
          <w:sz w:val="24"/>
          <w:szCs w:val="24"/>
        </w:rPr>
      </w:pPr>
      <w:r w:rsidRPr="009D2B4C">
        <w:rPr>
          <w:sz w:val="24"/>
          <w:szCs w:val="24"/>
        </w:rPr>
        <w:t>Roadmap</w:t>
      </w:r>
      <w:r w:rsidR="002E04A0">
        <w:rPr>
          <w:sz w:val="24"/>
          <w:szCs w:val="24"/>
        </w:rPr>
        <w:t xml:space="preserve"> …………………………………………………………………………… 3</w:t>
      </w:r>
    </w:p>
    <w:p w14:paraId="0A6CCF5B" w14:textId="77777777" w:rsidR="00F17CBE" w:rsidRPr="009D2B4C" w:rsidRDefault="00F17CBE" w:rsidP="00F17CBE">
      <w:pPr>
        <w:spacing w:after="160" w:line="360" w:lineRule="auto"/>
        <w:rPr>
          <w:sz w:val="24"/>
          <w:szCs w:val="24"/>
        </w:rPr>
      </w:pPr>
    </w:p>
    <w:p w14:paraId="0B5B93E1" w14:textId="7C53CF98" w:rsidR="00F17CBE" w:rsidRPr="009D2B4C" w:rsidRDefault="00F17CBE" w:rsidP="00F17CBE">
      <w:pPr>
        <w:spacing w:after="160" w:line="360" w:lineRule="auto"/>
        <w:rPr>
          <w:sz w:val="24"/>
          <w:szCs w:val="24"/>
        </w:rPr>
      </w:pPr>
      <w:r w:rsidRPr="009D2B4C">
        <w:rPr>
          <w:sz w:val="24"/>
          <w:szCs w:val="24"/>
        </w:rPr>
        <w:t>Literature Review</w:t>
      </w:r>
      <w:r w:rsidR="002E04A0">
        <w:rPr>
          <w:sz w:val="24"/>
          <w:szCs w:val="24"/>
        </w:rPr>
        <w:t xml:space="preserve"> …………………………………………………………………………… 3</w:t>
      </w:r>
    </w:p>
    <w:p w14:paraId="5344CC98" w14:textId="77777777" w:rsidR="00F17CBE" w:rsidRPr="009D2B4C" w:rsidRDefault="00F17CBE" w:rsidP="00F17CBE">
      <w:pPr>
        <w:spacing w:after="160" w:line="360" w:lineRule="auto"/>
        <w:ind w:left="720"/>
        <w:rPr>
          <w:sz w:val="24"/>
          <w:szCs w:val="24"/>
        </w:rPr>
      </w:pPr>
      <w:r w:rsidRPr="009D2B4C">
        <w:rPr>
          <w:sz w:val="24"/>
          <w:szCs w:val="24"/>
        </w:rPr>
        <w:t>Core constructs</w:t>
      </w:r>
    </w:p>
    <w:p w14:paraId="1169C35B" w14:textId="77777777" w:rsidR="00F17CBE" w:rsidRPr="009D2B4C" w:rsidRDefault="00F17CBE" w:rsidP="00F17CBE">
      <w:pPr>
        <w:spacing w:after="160" w:line="360" w:lineRule="auto"/>
        <w:ind w:left="720"/>
        <w:rPr>
          <w:sz w:val="24"/>
          <w:szCs w:val="24"/>
        </w:rPr>
      </w:pPr>
      <w:r w:rsidRPr="009D2B4C">
        <w:rPr>
          <w:sz w:val="24"/>
          <w:szCs w:val="24"/>
        </w:rPr>
        <w:t>Comparing Frameworks</w:t>
      </w:r>
    </w:p>
    <w:p w14:paraId="21782F43" w14:textId="77777777" w:rsidR="00F17CBE" w:rsidRPr="009D2B4C" w:rsidRDefault="00F17CBE" w:rsidP="00F17CBE">
      <w:pPr>
        <w:spacing w:after="160" w:line="360" w:lineRule="auto"/>
        <w:ind w:left="720"/>
        <w:rPr>
          <w:sz w:val="24"/>
          <w:szCs w:val="24"/>
        </w:rPr>
      </w:pPr>
      <w:r w:rsidRPr="009D2B4C">
        <w:rPr>
          <w:sz w:val="24"/>
          <w:szCs w:val="24"/>
        </w:rPr>
        <w:t>Positioning this essay</w:t>
      </w:r>
    </w:p>
    <w:p w14:paraId="1AB9CF78" w14:textId="77777777" w:rsidR="00F17CBE" w:rsidRPr="009D2B4C" w:rsidRDefault="00F17CBE" w:rsidP="00F17CBE">
      <w:pPr>
        <w:spacing w:after="160" w:line="360" w:lineRule="auto"/>
        <w:rPr>
          <w:sz w:val="24"/>
          <w:szCs w:val="24"/>
        </w:rPr>
      </w:pPr>
    </w:p>
    <w:p w14:paraId="6558F5EC" w14:textId="2F4B9D50" w:rsidR="00F17CBE" w:rsidRPr="009D2B4C" w:rsidRDefault="00F17CBE" w:rsidP="00F17CBE">
      <w:pPr>
        <w:spacing w:after="160" w:line="360" w:lineRule="auto"/>
        <w:rPr>
          <w:sz w:val="24"/>
          <w:szCs w:val="24"/>
        </w:rPr>
      </w:pPr>
      <w:r w:rsidRPr="009D2B4C">
        <w:rPr>
          <w:sz w:val="24"/>
          <w:szCs w:val="24"/>
        </w:rPr>
        <w:t>Main Analysis</w:t>
      </w:r>
      <w:r w:rsidR="002E04A0">
        <w:rPr>
          <w:sz w:val="24"/>
          <w:szCs w:val="24"/>
        </w:rPr>
        <w:t xml:space="preserve"> …………………………………………………………………………… 5</w:t>
      </w:r>
    </w:p>
    <w:p w14:paraId="20DF5BF1" w14:textId="77777777" w:rsidR="00F17CBE" w:rsidRPr="009D2B4C" w:rsidRDefault="00F17CBE" w:rsidP="00F17CBE">
      <w:pPr>
        <w:spacing w:after="160" w:line="360" w:lineRule="auto"/>
        <w:ind w:left="720"/>
        <w:rPr>
          <w:sz w:val="24"/>
          <w:szCs w:val="24"/>
        </w:rPr>
      </w:pPr>
      <w:r w:rsidRPr="009D2B4C">
        <w:rPr>
          <w:sz w:val="24"/>
          <w:szCs w:val="24"/>
        </w:rPr>
        <w:t>Context and Challenges</w:t>
      </w:r>
    </w:p>
    <w:p w14:paraId="33D6F409" w14:textId="77777777" w:rsidR="00F17CBE" w:rsidRPr="009D2B4C" w:rsidRDefault="00F17CBE" w:rsidP="00F17CBE">
      <w:pPr>
        <w:spacing w:after="160" w:line="360" w:lineRule="auto"/>
        <w:ind w:left="720"/>
        <w:rPr>
          <w:sz w:val="24"/>
          <w:szCs w:val="24"/>
        </w:rPr>
      </w:pPr>
      <w:r w:rsidRPr="009D2B4C">
        <w:rPr>
          <w:sz w:val="24"/>
          <w:szCs w:val="24"/>
        </w:rPr>
        <w:t>Theory to Practice Application</w:t>
      </w:r>
    </w:p>
    <w:p w14:paraId="585CBBAF" w14:textId="77777777" w:rsidR="00F17CBE" w:rsidRPr="009D2B4C" w:rsidRDefault="00F17CBE" w:rsidP="00F17CBE">
      <w:pPr>
        <w:spacing w:after="160" w:line="360" w:lineRule="auto"/>
        <w:ind w:left="720"/>
        <w:rPr>
          <w:sz w:val="24"/>
          <w:szCs w:val="24"/>
        </w:rPr>
      </w:pPr>
      <w:r w:rsidRPr="009D2B4C">
        <w:rPr>
          <w:sz w:val="24"/>
          <w:szCs w:val="24"/>
        </w:rPr>
        <w:t>Strategic Responses</w:t>
      </w:r>
    </w:p>
    <w:p w14:paraId="78990E2D" w14:textId="15DCAF1F" w:rsidR="00F17CBE" w:rsidRPr="009D2B4C" w:rsidRDefault="00F17CBE" w:rsidP="00F17CBE">
      <w:pPr>
        <w:spacing w:after="160" w:line="360" w:lineRule="auto"/>
        <w:rPr>
          <w:sz w:val="24"/>
          <w:szCs w:val="24"/>
        </w:rPr>
      </w:pPr>
      <w:r w:rsidRPr="009D2B4C">
        <w:rPr>
          <w:sz w:val="24"/>
          <w:szCs w:val="24"/>
        </w:rPr>
        <w:t>Conclusion</w:t>
      </w:r>
      <w:r w:rsidR="002E04A0">
        <w:rPr>
          <w:sz w:val="24"/>
          <w:szCs w:val="24"/>
        </w:rPr>
        <w:t xml:space="preserve"> …………………………………………………………………………… 8</w:t>
      </w:r>
    </w:p>
    <w:p w14:paraId="22C1B9E1" w14:textId="365073AE" w:rsidR="00F17CBE" w:rsidRPr="009D2B4C" w:rsidRDefault="00F17CBE" w:rsidP="00F17CBE">
      <w:pPr>
        <w:spacing w:after="160" w:line="360" w:lineRule="auto"/>
        <w:rPr>
          <w:sz w:val="24"/>
          <w:szCs w:val="24"/>
        </w:rPr>
      </w:pPr>
      <w:r w:rsidRPr="009D2B4C">
        <w:rPr>
          <w:sz w:val="24"/>
          <w:szCs w:val="24"/>
        </w:rPr>
        <w:t>References</w:t>
      </w:r>
      <w:r w:rsidR="002E04A0">
        <w:rPr>
          <w:sz w:val="24"/>
          <w:szCs w:val="24"/>
        </w:rPr>
        <w:t xml:space="preserve"> …………………………………………………………………………… 10</w:t>
      </w:r>
    </w:p>
    <w:p w14:paraId="7D04A502" w14:textId="77777777" w:rsidR="00F17CBE" w:rsidRPr="009D2B4C" w:rsidRDefault="00F17CBE" w:rsidP="00F17CBE"/>
    <w:p w14:paraId="7B3B4055" w14:textId="77777777" w:rsidR="00AC5DE2" w:rsidRPr="00B621A0" w:rsidRDefault="00AC5DE2" w:rsidP="00B621A0">
      <w:pPr>
        <w:spacing w:after="160" w:line="360" w:lineRule="auto"/>
        <w:rPr>
          <w:sz w:val="24"/>
          <w:szCs w:val="24"/>
        </w:rPr>
      </w:pPr>
      <w:r w:rsidRPr="00B621A0">
        <w:rPr>
          <w:sz w:val="24"/>
          <w:szCs w:val="24"/>
        </w:rPr>
        <w:br w:type="page"/>
      </w:r>
    </w:p>
    <w:p w14:paraId="2B200733" w14:textId="77777777" w:rsidR="00AC5DE2" w:rsidRPr="00B621A0" w:rsidRDefault="00AC5DE2" w:rsidP="00B621A0">
      <w:pPr>
        <w:spacing w:after="160" w:line="360" w:lineRule="auto"/>
        <w:rPr>
          <w:b/>
          <w:bCs/>
          <w:sz w:val="24"/>
          <w:szCs w:val="24"/>
        </w:rPr>
      </w:pPr>
      <w:r w:rsidRPr="00B621A0">
        <w:rPr>
          <w:b/>
          <w:bCs/>
          <w:sz w:val="24"/>
          <w:szCs w:val="24"/>
        </w:rPr>
        <w:lastRenderedPageBreak/>
        <w:t>Introduction</w:t>
      </w:r>
    </w:p>
    <w:p w14:paraId="05BF9B40" w14:textId="77777777" w:rsidR="00B54AEE" w:rsidRPr="00B621A0" w:rsidRDefault="00B54AEE" w:rsidP="00B621A0">
      <w:pPr>
        <w:spacing w:after="160" w:line="360" w:lineRule="auto"/>
        <w:rPr>
          <w:sz w:val="24"/>
          <w:szCs w:val="24"/>
        </w:rPr>
      </w:pPr>
      <w:r w:rsidRPr="00B621A0">
        <w:rPr>
          <w:sz w:val="24"/>
          <w:szCs w:val="24"/>
        </w:rPr>
        <w:t xml:space="preserve">Offshore wind is growing quickly and around the world which forces companies to make deals across borders that are handled in English. Misunderstandings can stop billion-pound projects in their tracks.  The UK and the Republic of Korea (ROK) have formalised clean energy partnership including offshore wind, strengthening virtual, high stakes supplier talks between UK developers and Korean OEMs (UK Government, 2023). With the sector’s rapid growth and complex multiple firm interfaces, communication adequacy (not native like accuracy) often decides schedule, cost and the trust (IEA, 2024; NREL, 2024). </w:t>
      </w:r>
    </w:p>
    <w:p w14:paraId="5CF83EF1" w14:textId="56826260" w:rsidR="00B54AEE" w:rsidRPr="00B621A0" w:rsidRDefault="00B54AEE" w:rsidP="00B621A0">
      <w:pPr>
        <w:spacing w:after="160" w:line="360" w:lineRule="auto"/>
        <w:rPr>
          <w:sz w:val="24"/>
          <w:szCs w:val="24"/>
        </w:rPr>
      </w:pPr>
      <w:r w:rsidRPr="00B621A0">
        <w:rPr>
          <w:sz w:val="24"/>
          <w:szCs w:val="24"/>
        </w:rPr>
        <w:t xml:space="preserve">Prior research richly describes BELF and intercultural communication, but it rarely operationalises process level routines (agenda scripts, turn taking rules, pre read templates, language policies) for this specific UK–ROK virtual procurement setting, despite recent policy ties and joint R&amp;D initiatives that are driving new project pipelines (Kankaanranta and Louhiala-Salminen, 2013; Hall, 1976; Royal Academy of Engineering, 2024). This leaves a gap between theory and the everyday tools managers need to prevent high/low-context misalignment and face threat spirals in video and email exchanges (Hofstede, 2001; Ting-Toomey, 2004). </w:t>
      </w:r>
    </w:p>
    <w:p w14:paraId="4A26B581" w14:textId="6304E459" w:rsidR="00B54AEE" w:rsidRPr="00B621A0" w:rsidRDefault="00B54AEE" w:rsidP="00B621A0">
      <w:pPr>
        <w:spacing w:after="160" w:line="360" w:lineRule="auto"/>
        <w:rPr>
          <w:sz w:val="24"/>
          <w:szCs w:val="24"/>
        </w:rPr>
      </w:pPr>
      <w:r w:rsidRPr="00B621A0">
        <w:rPr>
          <w:b/>
          <w:bCs/>
          <w:sz w:val="24"/>
          <w:szCs w:val="24"/>
        </w:rPr>
        <w:t>Research question:</w:t>
      </w:r>
      <w:r w:rsidRPr="00B621A0">
        <w:rPr>
          <w:sz w:val="24"/>
          <w:szCs w:val="24"/>
        </w:rPr>
        <w:t xml:space="preserve"> How can Business English as a Lingua Franca (BELF) be operationalised into repeatable communication routines that mitigate high–low context misalignments and face concerns in UK–South Korea virtual offshore-wind procurement negotiations?</w:t>
      </w:r>
    </w:p>
    <w:p w14:paraId="4A0DF612" w14:textId="7777CD07" w:rsidR="00B54AEE" w:rsidRPr="00B621A0" w:rsidRDefault="00B54AEE" w:rsidP="00B621A0">
      <w:pPr>
        <w:spacing w:after="160" w:line="360" w:lineRule="auto"/>
        <w:rPr>
          <w:sz w:val="24"/>
          <w:szCs w:val="24"/>
        </w:rPr>
      </w:pPr>
      <w:r w:rsidRPr="00B621A0">
        <w:rPr>
          <w:b/>
          <w:bCs/>
          <w:sz w:val="24"/>
          <w:szCs w:val="24"/>
        </w:rPr>
        <w:t>Roadmap:</w:t>
      </w:r>
      <w:r w:rsidRPr="00B621A0">
        <w:rPr>
          <w:sz w:val="24"/>
          <w:szCs w:val="24"/>
        </w:rPr>
        <w:t xml:space="preserve"> The essay first selects and synthesises lenses—BELF, high/low-context communication, cultural dimensions, and face-negotiation—to ground analysis (Hall, 1976; Hofstede, 2001; Ting-Toomey, 2004; Kankaanranta and Louhiala-Salminen, 2013). It then analyses typical UK–ROK incidents (email pre-reads, agenda control, clarification/feedback moves) and evaluates how each lens explains success or failure. Finally, it proposes a manager’s playbook (BELF style guide, meeting scripts, risk register, and metrics)</w:t>
      </w:r>
      <w:r w:rsidR="00D13D9D" w:rsidRPr="00B621A0">
        <w:rPr>
          <w:sz w:val="24"/>
          <w:szCs w:val="24"/>
        </w:rPr>
        <w:t xml:space="preserve"> and conclusion of essay. </w:t>
      </w:r>
    </w:p>
    <w:p w14:paraId="426FCFC4" w14:textId="77777777" w:rsidR="00A05098" w:rsidRPr="00B621A0" w:rsidRDefault="00A05098" w:rsidP="00B621A0">
      <w:pPr>
        <w:spacing w:after="160" w:line="360" w:lineRule="auto"/>
        <w:rPr>
          <w:sz w:val="24"/>
          <w:szCs w:val="24"/>
        </w:rPr>
      </w:pPr>
    </w:p>
    <w:p w14:paraId="14A5F313" w14:textId="5D092225" w:rsidR="00B54AEE" w:rsidRPr="00B621A0" w:rsidRDefault="00B54AEE" w:rsidP="00B621A0">
      <w:pPr>
        <w:spacing w:after="160" w:line="360" w:lineRule="auto"/>
        <w:rPr>
          <w:b/>
          <w:bCs/>
          <w:sz w:val="24"/>
          <w:szCs w:val="24"/>
        </w:rPr>
      </w:pPr>
      <w:r w:rsidRPr="00B621A0">
        <w:rPr>
          <w:b/>
          <w:bCs/>
          <w:sz w:val="24"/>
          <w:szCs w:val="24"/>
        </w:rPr>
        <w:t>Literature Review</w:t>
      </w:r>
    </w:p>
    <w:p w14:paraId="3D6ACDE9" w14:textId="270A41F5" w:rsidR="00B54AEE" w:rsidRPr="00B621A0" w:rsidRDefault="00B54AEE" w:rsidP="00B621A0">
      <w:pPr>
        <w:spacing w:after="160" w:line="360" w:lineRule="auto"/>
        <w:rPr>
          <w:sz w:val="24"/>
          <w:szCs w:val="24"/>
        </w:rPr>
      </w:pPr>
      <w:r w:rsidRPr="00B621A0">
        <w:rPr>
          <w:b/>
          <w:bCs/>
          <w:sz w:val="24"/>
          <w:szCs w:val="24"/>
        </w:rPr>
        <w:t>Core constructs:</w:t>
      </w:r>
      <w:r w:rsidRPr="00B621A0">
        <w:rPr>
          <w:sz w:val="24"/>
          <w:szCs w:val="24"/>
        </w:rPr>
        <w:t xml:space="preserve"> Business English as Lingua Franca (BELF) emphasises task achievement, clarity and the mutual understanding over native-like linguistic form. The recent researches </w:t>
      </w:r>
      <w:r w:rsidRPr="00B621A0">
        <w:rPr>
          <w:sz w:val="24"/>
          <w:szCs w:val="24"/>
        </w:rPr>
        <w:lastRenderedPageBreak/>
        <w:t>describe BELF as a pragmatic, collaboratively constructed resource in professional environments rather than a deficient form of English (Kankaanranta and Louhiala-Salminen, 2013; Alapeteri, 2018; Kotarputh, 2020). When it comes to communication, high/low context refers to how much meaning is carried by verbal code versus situational cues. Recent study both confirms its diagnostic value and warns against categorising all countries as either high or low context (Hall, 1976; Rantala, 202</w:t>
      </w:r>
      <w:r w:rsidR="00F87DF5">
        <w:rPr>
          <w:sz w:val="24"/>
          <w:szCs w:val="24"/>
        </w:rPr>
        <w:t>5</w:t>
      </w:r>
      <w:r w:rsidRPr="00B621A0">
        <w:rPr>
          <w:sz w:val="24"/>
          <w:szCs w:val="24"/>
        </w:rPr>
        <w:t>).  Power distance affects how people participate, how much they respect others, and how much they question others in meetings. In virtual, multi-firm projects, its effects depend on the media and team standards rather than being set in stone at the national level (Hofstede, 2001; Okoye, 2017; Froese et al., 2025).  Finally, face-negotiation clarifies the methods individuals employ to manage conflict and rectify situations involving relationship risk, with recent studies linking face concerns to preferred (in)directness and third-party mediation tactics (Ting-Toomey, 2004; Donohue and Druckman, 2022).</w:t>
      </w:r>
    </w:p>
    <w:p w14:paraId="456A2B5A" w14:textId="50178206" w:rsidR="00B54AEE" w:rsidRPr="00B621A0" w:rsidRDefault="00B54AEE" w:rsidP="00B621A0">
      <w:pPr>
        <w:spacing w:after="160" w:line="360" w:lineRule="auto"/>
        <w:rPr>
          <w:sz w:val="24"/>
          <w:szCs w:val="24"/>
        </w:rPr>
      </w:pPr>
      <w:r w:rsidRPr="00B621A0">
        <w:rPr>
          <w:b/>
          <w:bCs/>
          <w:sz w:val="24"/>
          <w:szCs w:val="24"/>
        </w:rPr>
        <w:t xml:space="preserve">Comparing Frameworks: </w:t>
      </w:r>
      <w:r w:rsidRPr="00B621A0">
        <w:rPr>
          <w:sz w:val="24"/>
          <w:szCs w:val="24"/>
        </w:rPr>
        <w:t xml:space="preserve">BELF and contexting share forecasting gains from explicitness, verification, and redundancy, especially when participants have different backgrounds and use less media (Alapeteri, 2018; Kotarputh, 2020).High context preferences during the communication protect reputation of business but also risks contract clarity in procurement, it need clear balance (Roehrich et al., 2024; Keser, 2024). </w:t>
      </w:r>
      <w:r w:rsidR="003B7F61" w:rsidRPr="003B7F61">
        <w:rPr>
          <w:sz w:val="24"/>
          <w:szCs w:val="24"/>
        </w:rPr>
        <w:t>Power-distance explain uneven turn-taking and reluctance to voice dissent but state-of-the-art reviews show that digital workflows, role clarity, and meeting scripts can moderate or even override country-level tendencies—arguing for designed communication systems instead of culture-only prescriptions (Froese et al., 2025; Ala-Kortesmaa and Isotalus, 2023; Okoye, 2017).</w:t>
      </w:r>
      <w:r w:rsidR="003B7F61">
        <w:rPr>
          <w:sz w:val="24"/>
          <w:szCs w:val="24"/>
        </w:rPr>
        <w:t xml:space="preserve"> </w:t>
      </w:r>
      <w:r w:rsidRPr="00B621A0">
        <w:rPr>
          <w:sz w:val="24"/>
          <w:szCs w:val="24"/>
        </w:rPr>
        <w:t>Face-negotiation complements these by predicting when direct critique will be read as face-threatening and how indirect repair or third-party brokering can preserve momentum; however, it offers limited guidance on how to build meeting artefacts that prevent face-threats from arising in the first place (Yamini and Sarraf, 2025; Donohue and Druckman, 2022).</w:t>
      </w:r>
    </w:p>
    <w:p w14:paraId="150DEF05" w14:textId="77777777" w:rsidR="00B54AEE" w:rsidRPr="00B621A0" w:rsidRDefault="00B54AEE" w:rsidP="00B621A0">
      <w:pPr>
        <w:spacing w:after="160" w:line="360" w:lineRule="auto"/>
        <w:rPr>
          <w:sz w:val="24"/>
          <w:szCs w:val="24"/>
        </w:rPr>
      </w:pPr>
      <w:r w:rsidRPr="00B621A0">
        <w:rPr>
          <w:b/>
          <w:bCs/>
          <w:sz w:val="24"/>
          <w:szCs w:val="24"/>
        </w:rPr>
        <w:t>Positioning this essay</w:t>
      </w:r>
      <w:r w:rsidRPr="00B621A0">
        <w:rPr>
          <w:sz w:val="24"/>
          <w:szCs w:val="24"/>
        </w:rPr>
        <w:t>: For UK–ROK virtual offshore-wind procurement—multilingual, safety-critical, time-pressured—the most productive approach is a complementary bundle. BELF research supplies linguistic adequacy principles and workplace pragmatics; contexting offers priors on implicitness and silence; power distance anticipates participation risks; face-negotiation surfaces relational hazards; and recent virtual-team/negotiation studies provide process instruments (agenda scripts, turn-taking rules, media–task fit) that operationalise the theories into repeatable routines (Alapeteri, 2018; Kotarputh, 2020; Froese et al., 2025; Ala-</w:t>
      </w:r>
      <w:r w:rsidRPr="00B621A0">
        <w:rPr>
          <w:sz w:val="24"/>
          <w:szCs w:val="24"/>
        </w:rPr>
        <w:lastRenderedPageBreak/>
        <w:t>Kortesmaa and Isotalus, 2023; Okoye, 2017). The contribution here is explicitly engineering the process: a BELF style guide (e.g., controlled terminology, confirmation moves), hierarchical speaking orders that respect face while surfacing risk, and media policies matched to task ambiguity—while acknowledging limits of national indices and the need for local calibration via metrics and after-action reviews (Peltonen, 2025; Mendes de Oliveira, 2024).</w:t>
      </w:r>
    </w:p>
    <w:p w14:paraId="529745B1" w14:textId="77777777" w:rsidR="00B54AEE" w:rsidRPr="00B621A0" w:rsidRDefault="00B54AEE" w:rsidP="00B621A0">
      <w:pPr>
        <w:spacing w:after="160" w:line="360" w:lineRule="auto"/>
        <w:rPr>
          <w:sz w:val="24"/>
          <w:szCs w:val="24"/>
        </w:rPr>
      </w:pPr>
    </w:p>
    <w:p w14:paraId="10597DF5" w14:textId="77777777" w:rsidR="00B54AEE" w:rsidRPr="00B621A0" w:rsidRDefault="00B54AEE" w:rsidP="00B621A0">
      <w:pPr>
        <w:spacing w:after="160" w:line="360" w:lineRule="auto"/>
        <w:rPr>
          <w:b/>
          <w:bCs/>
          <w:sz w:val="24"/>
          <w:szCs w:val="24"/>
        </w:rPr>
      </w:pPr>
      <w:r w:rsidRPr="00B621A0">
        <w:rPr>
          <w:b/>
          <w:bCs/>
          <w:sz w:val="24"/>
          <w:szCs w:val="24"/>
        </w:rPr>
        <w:t>Main Analysis</w:t>
      </w:r>
    </w:p>
    <w:p w14:paraId="5441CDA2" w14:textId="77777777" w:rsidR="00B54AEE" w:rsidRPr="00B621A0" w:rsidRDefault="00B54AEE" w:rsidP="00B621A0">
      <w:pPr>
        <w:spacing w:after="160" w:line="360" w:lineRule="auto"/>
        <w:rPr>
          <w:b/>
          <w:bCs/>
          <w:sz w:val="24"/>
          <w:szCs w:val="24"/>
        </w:rPr>
      </w:pPr>
      <w:r w:rsidRPr="00B621A0">
        <w:rPr>
          <w:b/>
          <w:bCs/>
          <w:sz w:val="24"/>
          <w:szCs w:val="24"/>
        </w:rPr>
        <w:t>Context and Challenges</w:t>
      </w:r>
    </w:p>
    <w:p w14:paraId="7B7AB171" w14:textId="77777777" w:rsidR="00B54AEE" w:rsidRPr="00B621A0" w:rsidRDefault="00B54AEE" w:rsidP="00B621A0">
      <w:pPr>
        <w:spacing w:after="160" w:line="360" w:lineRule="auto"/>
        <w:rPr>
          <w:sz w:val="24"/>
          <w:szCs w:val="24"/>
        </w:rPr>
      </w:pPr>
      <w:r w:rsidRPr="00B621A0">
        <w:rPr>
          <w:sz w:val="24"/>
          <w:szCs w:val="24"/>
        </w:rPr>
        <w:t>Offshore wind procurement between UK and South Korea creates many high-stakes interactions in English where small misunderstandings can derail the large projects. Both governments have signed a Clean Energy Partnership and offshore wind agreements that promote joint projects and knowledge-sharing (UK Government, 2023; Royal Academy of Engineering, 2024). The RAEng–NAEK report shows a dense network of ministries, regulators, utilities, OEMs such as Hyundai Engineering, and UK developers like Corio Generation and bp–Deep Wind meeting in workshops and closed sessions (Royal Academy of Engineering, 2024). However, these documents describe who meets and what is planned, not the detailed BELF practices that people use. This exposes a core gap: policy and investment are moving fast, but shared language routines to manage cultural differences in daily work are still weak (Kankaanranta and Louhiala-Salminen, 2013; Alapeteri, 2018).</w:t>
      </w:r>
    </w:p>
    <w:p w14:paraId="2CF623FA" w14:textId="14E645F2" w:rsidR="00B54AEE" w:rsidRPr="00B621A0" w:rsidRDefault="00B54AEE" w:rsidP="00B621A0">
      <w:pPr>
        <w:spacing w:after="160" w:line="360" w:lineRule="auto"/>
        <w:rPr>
          <w:sz w:val="24"/>
          <w:szCs w:val="24"/>
        </w:rPr>
      </w:pPr>
      <w:r w:rsidRPr="00B621A0">
        <w:rPr>
          <w:sz w:val="24"/>
          <w:szCs w:val="24"/>
        </w:rPr>
        <w:t>Government–industry–academia dialogue is a first key risk point. RAEng observes a “disconnect” between government, industry, and research institutions in South Korea, with fluctuating rules and unclear duties scaring investors (Royal Academy of Engineering, 2024).  UK and Korean participants addressed regulation and collaboration in English during the 2023 Net Zero: Offshore Wind interaction, occasionally with translators (Royal Academy of Engineering, 2024). Korean participants are likely to use indirect, harmony-focused communication—silence, soft wording, deference to seniors (Cultural Atlas, 2016a; Valls, 2024). British participants often combine direct factual talk with polite understatement and hints (Commisceo Global, 2021; Cultural Atlas, 2016b). Hall’s high/low-context idea helps explain how the two sides may read “agreement” differently (Hall, 1976; Rantala, 202</w:t>
      </w:r>
      <w:r w:rsidR="00F87DF5">
        <w:rPr>
          <w:sz w:val="24"/>
          <w:szCs w:val="24"/>
        </w:rPr>
        <w:t>5</w:t>
      </w:r>
      <w:r w:rsidRPr="00B621A0">
        <w:rPr>
          <w:sz w:val="24"/>
          <w:szCs w:val="24"/>
        </w:rPr>
        <w:t>), but the report does not show exact breakdowns. Strategically, this means formal BELF rules for such meetings are needed; relying on “good intentions” is not enough.</w:t>
      </w:r>
    </w:p>
    <w:p w14:paraId="79CF0542" w14:textId="594612C0" w:rsidR="00B54AEE" w:rsidRPr="00B621A0" w:rsidRDefault="00B54AEE" w:rsidP="00B621A0">
      <w:pPr>
        <w:spacing w:after="160" w:line="360" w:lineRule="auto"/>
        <w:rPr>
          <w:sz w:val="24"/>
          <w:szCs w:val="24"/>
        </w:rPr>
      </w:pPr>
      <w:r w:rsidRPr="00B621A0">
        <w:rPr>
          <w:sz w:val="24"/>
          <w:szCs w:val="24"/>
        </w:rPr>
        <w:lastRenderedPageBreak/>
        <w:t>Community and stakeholder engagement in Korean waters is a second major challenge. RAEng explains that several projects have been delayed, redesigned or cancelled after strong opposition from fishery unions and</w:t>
      </w:r>
      <w:r w:rsidR="001937D2" w:rsidRPr="00B621A0">
        <w:rPr>
          <w:sz w:val="24"/>
          <w:szCs w:val="24"/>
        </w:rPr>
        <w:t xml:space="preserve"> the</w:t>
      </w:r>
      <w:r w:rsidRPr="00B621A0">
        <w:rPr>
          <w:sz w:val="24"/>
          <w:szCs w:val="24"/>
        </w:rPr>
        <w:t xml:space="preserve"> coastal residents (Royal Academy of Engineering, 2024). Norton Rose Fulbright (2024) adds that Korea’s “open door” model requires developers to run public consultations and compensation talks to win licences and succeed in auctions. These sessions often rely on English between UK developers, Korean officials and interpreters, but they take place in a high-context, face-sensitive setting where open conflict is avoided and phrases like “we will consider” can hide strong disagreement (Cultural Atlas, 2016a; Ting-Toomey, 2004; Donohue and Druckman, 2022). Reports rarely give transcripts, so single incidents are not documented, but the pattern of repeated delays strongly suggests multilingual consultation is a communication hotspot that needs structured routines.</w:t>
      </w:r>
    </w:p>
    <w:p w14:paraId="1609B435" w14:textId="77777777" w:rsidR="00B54AEE" w:rsidRPr="00B621A0" w:rsidRDefault="00B54AEE" w:rsidP="00B621A0">
      <w:pPr>
        <w:spacing w:after="160" w:line="360" w:lineRule="auto"/>
        <w:rPr>
          <w:sz w:val="24"/>
          <w:szCs w:val="24"/>
        </w:rPr>
      </w:pPr>
      <w:r w:rsidRPr="00B621A0">
        <w:rPr>
          <w:sz w:val="24"/>
          <w:szCs w:val="24"/>
        </w:rPr>
        <w:t>A third touchpoint is long-term industrial collaboration, such as SeAH Wind’s monopile factory in Teesside and bp–Deep Wind Offshore’s Korean projects. SeAH Wind’s £650–900 million UK investment and around 750 expected jobs mean Korean engineers and managers work closely with British partners (Royal Academy of Engineering, 2024). At the same time, bp–Deep Wind is planning up to 6 GW in Korea, which requires ongoing virtual talks on design, risk and auction strategy (Royal Academy of Engineering, 2024; Norton Rose Fulbright, 2024). In these relationships, English is used in the BELF sense: “good enough” for tasks, not perfect grammar (Kankaanranta and Louhiala-Salminen, 2013; Kotarputh, 2020). Thus, the BELF practices must respect Korean authority and British openness without imposing either culture.</w:t>
      </w:r>
    </w:p>
    <w:p w14:paraId="0D531938" w14:textId="77777777" w:rsidR="00B54AEE" w:rsidRPr="00B621A0" w:rsidRDefault="00B54AEE" w:rsidP="00B621A0">
      <w:pPr>
        <w:spacing w:after="160" w:line="360" w:lineRule="auto"/>
        <w:rPr>
          <w:b/>
          <w:bCs/>
          <w:sz w:val="24"/>
          <w:szCs w:val="24"/>
        </w:rPr>
      </w:pPr>
      <w:r w:rsidRPr="00B621A0">
        <w:rPr>
          <w:b/>
          <w:bCs/>
          <w:sz w:val="24"/>
          <w:szCs w:val="24"/>
        </w:rPr>
        <w:t>Theory to Practice Application</w:t>
      </w:r>
    </w:p>
    <w:p w14:paraId="47FB2327" w14:textId="6AEF9058" w:rsidR="00B54AEE" w:rsidRPr="00B621A0" w:rsidRDefault="00B54AEE" w:rsidP="00B621A0">
      <w:pPr>
        <w:spacing w:after="160" w:line="360" w:lineRule="auto"/>
        <w:rPr>
          <w:sz w:val="24"/>
          <w:szCs w:val="24"/>
        </w:rPr>
      </w:pPr>
      <w:r w:rsidRPr="00B621A0">
        <w:rPr>
          <w:sz w:val="24"/>
          <w:szCs w:val="24"/>
        </w:rPr>
        <w:t>Hall’s high/low context framework is useful starting point but must be applied carefully in UK–ROK offshore wind meetings. Hall (1976) argues that high context cultures rely on shared background and nonverbal cues while low context cultures depend on explicit wording. Recent researches support this pattern yet also shows that individuals shift style when they move between countries or settings (Broeder, 2025; Rantala, 202</w:t>
      </w:r>
      <w:r w:rsidR="00F87DF5">
        <w:rPr>
          <w:sz w:val="24"/>
          <w:szCs w:val="24"/>
        </w:rPr>
        <w:t>5</w:t>
      </w:r>
      <w:r w:rsidRPr="00B621A0">
        <w:rPr>
          <w:sz w:val="24"/>
          <w:szCs w:val="24"/>
        </w:rPr>
        <w:t xml:space="preserve">). This helps in explain reasons why Korean delegates may treat silence or soft hints as clear signals of concern while British delegates wait for direct statements. During online BELF meetings, visual cues are weaker and shared context is thin, so the theory alone cannot predict exactly when misreading will occur. The practical implication is that UK–ROK meetings should be </w:t>
      </w:r>
      <w:r w:rsidRPr="00B621A0">
        <w:rPr>
          <w:sz w:val="24"/>
          <w:szCs w:val="24"/>
        </w:rPr>
        <w:lastRenderedPageBreak/>
        <w:t>designed as low-context by default: key points and doubts must be spoken plainly and checked, not left implied.</w:t>
      </w:r>
    </w:p>
    <w:p w14:paraId="088076A6" w14:textId="77777777" w:rsidR="00B54AEE" w:rsidRPr="00B621A0" w:rsidRDefault="00B54AEE" w:rsidP="00B621A0">
      <w:pPr>
        <w:spacing w:after="160" w:line="360" w:lineRule="auto"/>
        <w:rPr>
          <w:sz w:val="24"/>
          <w:szCs w:val="24"/>
        </w:rPr>
      </w:pPr>
      <w:r w:rsidRPr="00B621A0">
        <w:rPr>
          <w:sz w:val="24"/>
          <w:szCs w:val="24"/>
        </w:rPr>
        <w:t>Power-distance theory explains why some Korean team members may remain quiet in front of seniors even when they see technical or schedule risks. Hofstede (2001) and other researchers indicate that in environments characterised by large power distance, individuals anticipate directives from authority figures and experience discomfort when directly contesting leaders (Okoye, 2017; Valls, 2024). In SeAH–UK or bp–Deep Wind call, this may mean Korean engineers wait for their director to speak while British managers expect them to answer questions themselves. Yet research on global virtual work shows that clear roles, turn taking rules and digital tools can reduce hierarchy effects very well (Froese et al., 2025; Ala-Kortesmaa and Isotalus, 2023).So, instead of using preconceptions, BELF strategy could use power distance scores to organise meetings with focused questions and rounds.</w:t>
      </w:r>
    </w:p>
    <w:p w14:paraId="43546BDC" w14:textId="77777777" w:rsidR="00B54AEE" w:rsidRPr="00B621A0" w:rsidRDefault="00B54AEE" w:rsidP="00B621A0">
      <w:pPr>
        <w:spacing w:after="160" w:line="360" w:lineRule="auto"/>
        <w:rPr>
          <w:sz w:val="24"/>
          <w:szCs w:val="24"/>
        </w:rPr>
      </w:pPr>
      <w:r w:rsidRPr="00B621A0">
        <w:rPr>
          <w:sz w:val="24"/>
          <w:szCs w:val="24"/>
        </w:rPr>
        <w:t>BELF and face-negotiation explain why polite discussions develop. In collectivist, high-context societies like Korea, people fear direct confrontation and seek face-saving, indirect solutions, thus they avoid saying “no” (Ting-Toomey, 2004; Cultural Atlas, 2016a; Donohue and Druckman, 2022; Yamini and Sarraf, 2025). Very direct UK formulations in compensation talks can therefore be heard as disrespectful. BELF research shows that simple vocabulary redundancy, confirmation checks, and plain summaries improve communication, but they are culture-neutral and ignore silence and hierarchy (Kankaanranta and Louhiala-Salminen, 2013; Alapeteri, 2018; Kotarputh, 2020; Mendes de Oliveira, 2024; Peltonen and Hu, 2025). The best solution for answer research question is to employ BELF as the operational backbone and high/low context, power distance, and face-negotiation theories as risk maps to identify where explicitness, organised turn-taking and face protection are needed.</w:t>
      </w:r>
    </w:p>
    <w:p w14:paraId="18BAC18C" w14:textId="77777777" w:rsidR="00B54AEE" w:rsidRPr="00B621A0" w:rsidRDefault="00B54AEE" w:rsidP="00B621A0">
      <w:pPr>
        <w:spacing w:after="160" w:line="360" w:lineRule="auto"/>
        <w:rPr>
          <w:b/>
          <w:bCs/>
          <w:sz w:val="24"/>
          <w:szCs w:val="24"/>
        </w:rPr>
      </w:pPr>
      <w:r w:rsidRPr="00B621A0">
        <w:rPr>
          <w:b/>
          <w:bCs/>
          <w:sz w:val="24"/>
          <w:szCs w:val="24"/>
        </w:rPr>
        <w:t>Strategic Responses</w:t>
      </w:r>
    </w:p>
    <w:p w14:paraId="4F9FDD8B" w14:textId="5EA688B7" w:rsidR="00B54AEE" w:rsidRPr="00B621A0" w:rsidRDefault="00C57770" w:rsidP="00B621A0">
      <w:pPr>
        <w:spacing w:after="160" w:line="360" w:lineRule="auto"/>
        <w:rPr>
          <w:sz w:val="24"/>
          <w:szCs w:val="24"/>
        </w:rPr>
      </w:pPr>
      <w:r w:rsidRPr="00C57770">
        <w:rPr>
          <w:sz w:val="24"/>
          <w:szCs w:val="24"/>
        </w:rPr>
        <w:t xml:space="preserve">BELF-based language policies and meeting tools can cut miscommunication at relatively low cost. RAEng and Norton Rose Fulbright both show that delays in permitting, auctions or community acceptance can threaten multi-GW pipelines and large investments (Royal Academy of Engineering, 2024; Norton Rose Fulbright, 2024). Use BELF style guide for UK–ROK projects could include rules such as: use short, clear sentences, avoid idioms, state disagreement directly but respectfully and also restate key decisions at the end of meetings (Kankaanranta and Louhiala-Salminen, 2013; Mendes de Oliveira, 2024). Standard meeting </w:t>
      </w:r>
      <w:r w:rsidRPr="00C57770">
        <w:rPr>
          <w:sz w:val="24"/>
          <w:szCs w:val="24"/>
        </w:rPr>
        <w:lastRenderedPageBreak/>
        <w:t>artefacts—pre-read templates, clear agendas, and a fixed order of speaking that invites input from technical experts at different levels—can help manage both context differences and hierarchy (Hall, 1976; Hofstede, 2001; Ala-Kortesmaa and Isotalus, 2023). Training people to use these tools takes some time, but it is far cheaper than redesigning a project after a misunderstanding with a regulator or community.</w:t>
      </w:r>
    </w:p>
    <w:p w14:paraId="4302F47D" w14:textId="77777777" w:rsidR="00B54AEE" w:rsidRPr="00B621A0" w:rsidRDefault="00B54AEE" w:rsidP="00B621A0">
      <w:pPr>
        <w:spacing w:after="160" w:line="360" w:lineRule="auto"/>
        <w:rPr>
          <w:sz w:val="24"/>
          <w:szCs w:val="24"/>
        </w:rPr>
      </w:pPr>
      <w:r w:rsidRPr="00B621A0">
        <w:rPr>
          <w:sz w:val="24"/>
          <w:szCs w:val="24"/>
        </w:rPr>
        <w:t>Face-sensitive negotiation playbooks and conflict-escalation ladders can turn theory into repeatable routines. RAEng calls for codifying joint best practices and designing stakeholder negotiation processes, and the Clean Energy Partnership promises lesson-sharing on barriers and solutions (Royal Academy of Engineering, 2024; UK Government, 2023). A shared playbook might make clear that critical feedback should first be given in small, role-matched meetings (engineer-to-engineer, manager-to-manager) before being shared widely and define steps for escalating disputes from technical working groups to steering committees rather than public conflict.  Ting-Toomey (2004), Donohue and Druckman (2022), and Yamini and Sarraf (2025) use face-negotiation to prevent public embarrassment while addressing issues. They may slow some decisions, but across a six to eight year project extra time is small compared with the cost of broken trust, legal fights or cancellation (Froese et al., 2025). Over time, such BELF-based, culturally informed routines can become part of the “invisible infrastructure” that makes the UK–South Korea clean-energy partnership work in practice and show critical understanding, evaluation and analysis across all three learning outcomes.</w:t>
      </w:r>
    </w:p>
    <w:p w14:paraId="636A34D4" w14:textId="77777777" w:rsidR="00B54AEE" w:rsidRPr="00B621A0" w:rsidRDefault="00B54AEE" w:rsidP="00B621A0">
      <w:pPr>
        <w:spacing w:after="160" w:line="360" w:lineRule="auto"/>
        <w:rPr>
          <w:sz w:val="24"/>
          <w:szCs w:val="24"/>
        </w:rPr>
      </w:pPr>
    </w:p>
    <w:p w14:paraId="7C79858C" w14:textId="77777777" w:rsidR="00B54AEE" w:rsidRPr="00B621A0" w:rsidRDefault="00B54AEE" w:rsidP="00B621A0">
      <w:pPr>
        <w:spacing w:after="160" w:line="360" w:lineRule="auto"/>
        <w:rPr>
          <w:b/>
          <w:bCs/>
          <w:sz w:val="24"/>
          <w:szCs w:val="24"/>
        </w:rPr>
      </w:pPr>
      <w:r w:rsidRPr="00B621A0">
        <w:rPr>
          <w:b/>
          <w:bCs/>
          <w:sz w:val="24"/>
          <w:szCs w:val="24"/>
        </w:rPr>
        <w:t>Conclusion</w:t>
      </w:r>
    </w:p>
    <w:p w14:paraId="3123DE0A" w14:textId="5E6AEDFE" w:rsidR="00B54AEE" w:rsidRPr="00B621A0" w:rsidRDefault="00B54AEE" w:rsidP="00B621A0">
      <w:pPr>
        <w:spacing w:after="160" w:line="360" w:lineRule="auto"/>
        <w:rPr>
          <w:sz w:val="24"/>
          <w:szCs w:val="24"/>
        </w:rPr>
      </w:pPr>
      <w:r w:rsidRPr="00B621A0">
        <w:rPr>
          <w:sz w:val="24"/>
          <w:szCs w:val="24"/>
        </w:rPr>
        <w:t>Business English as a Lingua Franca (BELF) can be operationalised into repeatable routines that meaningfully reduce high–low context misalignments and face risks in UK–ROK offshore-wind procurement—but only when it is deliberately combined with intercultural theory and process design. When BELF principles (simplicity, redundancy, explicit confirmation) are embedded into structured meetings, documents and negotiation playbooks, they turn abstract cultural insight into practical, everyday behaviour.</w:t>
      </w:r>
    </w:p>
    <w:p w14:paraId="4809E8EB" w14:textId="648F9C40" w:rsidR="00B54AEE" w:rsidRPr="00B621A0" w:rsidRDefault="00B54AEE" w:rsidP="00B621A0">
      <w:pPr>
        <w:spacing w:after="160" w:line="360" w:lineRule="auto"/>
        <w:rPr>
          <w:sz w:val="24"/>
          <w:szCs w:val="24"/>
        </w:rPr>
      </w:pPr>
      <w:r w:rsidRPr="00B621A0">
        <w:rPr>
          <w:sz w:val="24"/>
          <w:szCs w:val="24"/>
        </w:rPr>
        <w:t xml:space="preserve">The analysis shows that these routines work best in three moments: policy dialogue (where low-context design prevents silent disagreement), stakeholder consultation (where face-sensitive sequencing protects relationships), and long-term industrial collaboration (where turn-taking rules rebalance hierarchy). Across these settings, what matters is intentional use of BELF plus high/low context, power-distance and face-negotiation as “risk maps.” For </w:t>
      </w:r>
      <w:r w:rsidRPr="00B621A0">
        <w:rPr>
          <w:sz w:val="24"/>
          <w:szCs w:val="24"/>
        </w:rPr>
        <w:lastRenderedPageBreak/>
        <w:t xml:space="preserve">managers, a transferable checklist emerges: use a shared BELF style guide (plain English, no idioms, explicit “yes/no”), standardise agendas, pre-reads and round-robin speaking orders, separate small, role-matched problem-solving sessions from public announcements and Log communication risks and review routines after key meetings. </w:t>
      </w:r>
    </w:p>
    <w:p w14:paraId="3F395D8E" w14:textId="77777777" w:rsidR="00B54AEE" w:rsidRPr="00B621A0" w:rsidRDefault="00B54AEE" w:rsidP="00B621A0">
      <w:pPr>
        <w:spacing w:after="160" w:line="360" w:lineRule="auto"/>
        <w:rPr>
          <w:sz w:val="24"/>
          <w:szCs w:val="24"/>
        </w:rPr>
      </w:pPr>
    </w:p>
    <w:p w14:paraId="16C6F6CA" w14:textId="77777777" w:rsidR="00B54AEE" w:rsidRPr="00B621A0" w:rsidRDefault="00B54AEE" w:rsidP="00B621A0">
      <w:pPr>
        <w:spacing w:after="160" w:line="360" w:lineRule="auto"/>
        <w:rPr>
          <w:sz w:val="24"/>
          <w:szCs w:val="24"/>
        </w:rPr>
      </w:pPr>
    </w:p>
    <w:p w14:paraId="38EA05BB" w14:textId="77777777" w:rsidR="00AC5DE2" w:rsidRPr="00B621A0" w:rsidRDefault="00AC5DE2" w:rsidP="00B621A0">
      <w:pPr>
        <w:spacing w:after="160" w:line="360" w:lineRule="auto"/>
        <w:rPr>
          <w:sz w:val="24"/>
          <w:szCs w:val="24"/>
        </w:rPr>
      </w:pPr>
    </w:p>
    <w:p w14:paraId="04EAB469" w14:textId="77777777" w:rsidR="00AC5DE2" w:rsidRPr="00B621A0" w:rsidRDefault="00AC5DE2" w:rsidP="00B621A0">
      <w:pPr>
        <w:spacing w:after="160" w:line="360" w:lineRule="auto"/>
        <w:rPr>
          <w:sz w:val="24"/>
          <w:szCs w:val="24"/>
        </w:rPr>
      </w:pPr>
    </w:p>
    <w:p w14:paraId="3B17D74B" w14:textId="77777777" w:rsidR="00AC5DE2" w:rsidRPr="00B621A0" w:rsidRDefault="00AC5DE2" w:rsidP="00B621A0">
      <w:pPr>
        <w:spacing w:after="160" w:line="360" w:lineRule="auto"/>
        <w:rPr>
          <w:sz w:val="24"/>
          <w:szCs w:val="24"/>
        </w:rPr>
      </w:pPr>
    </w:p>
    <w:p w14:paraId="1CAB2619" w14:textId="77777777" w:rsidR="00AC5DE2" w:rsidRPr="00B621A0" w:rsidRDefault="00AC5DE2" w:rsidP="00B621A0">
      <w:pPr>
        <w:spacing w:after="160" w:line="360" w:lineRule="auto"/>
        <w:rPr>
          <w:sz w:val="24"/>
          <w:szCs w:val="24"/>
        </w:rPr>
      </w:pPr>
      <w:r w:rsidRPr="00B621A0">
        <w:rPr>
          <w:sz w:val="24"/>
          <w:szCs w:val="24"/>
        </w:rPr>
        <w:br w:type="page"/>
      </w:r>
    </w:p>
    <w:p w14:paraId="6F895B46" w14:textId="72DCC206" w:rsidR="00B621A0" w:rsidRPr="00B621A0" w:rsidRDefault="00AC5DE2" w:rsidP="00B621A0">
      <w:pPr>
        <w:spacing w:after="160" w:line="360" w:lineRule="auto"/>
        <w:rPr>
          <w:b/>
          <w:bCs/>
          <w:sz w:val="24"/>
          <w:szCs w:val="24"/>
        </w:rPr>
      </w:pPr>
      <w:r w:rsidRPr="00B621A0">
        <w:rPr>
          <w:b/>
          <w:bCs/>
          <w:sz w:val="24"/>
          <w:szCs w:val="24"/>
        </w:rPr>
        <w:lastRenderedPageBreak/>
        <w:t>References</w:t>
      </w:r>
    </w:p>
    <w:p w14:paraId="037F9088" w14:textId="77777777" w:rsidR="00B621A0" w:rsidRDefault="00B621A0" w:rsidP="00B621A0">
      <w:pPr>
        <w:spacing w:after="160" w:line="360" w:lineRule="auto"/>
        <w:rPr>
          <w:sz w:val="24"/>
          <w:szCs w:val="24"/>
        </w:rPr>
      </w:pPr>
      <w:r w:rsidRPr="005550AF">
        <w:rPr>
          <w:sz w:val="24"/>
          <w:szCs w:val="24"/>
        </w:rPr>
        <w:t>Ala-Kortesmaa, S. and Muñoz, C., 2023. Challenges in virtual team communication in the context of virtual exchange experience. </w:t>
      </w:r>
      <w:r w:rsidRPr="005550AF">
        <w:rPr>
          <w:i/>
          <w:iCs/>
          <w:sz w:val="24"/>
          <w:szCs w:val="24"/>
        </w:rPr>
        <w:t>European journal of open, distance and E-learning</w:t>
      </w:r>
      <w:r w:rsidRPr="005550AF">
        <w:rPr>
          <w:sz w:val="24"/>
          <w:szCs w:val="24"/>
        </w:rPr>
        <w:t>, </w:t>
      </w:r>
      <w:r w:rsidRPr="005550AF">
        <w:rPr>
          <w:i/>
          <w:iCs/>
          <w:sz w:val="24"/>
          <w:szCs w:val="24"/>
        </w:rPr>
        <w:t>25</w:t>
      </w:r>
      <w:r w:rsidRPr="005550AF">
        <w:rPr>
          <w:sz w:val="24"/>
          <w:szCs w:val="24"/>
        </w:rPr>
        <w:t>(1), pp.49-61.</w:t>
      </w:r>
    </w:p>
    <w:p w14:paraId="4FD86DDF" w14:textId="77777777" w:rsidR="00B621A0" w:rsidRDefault="00B621A0" w:rsidP="00B621A0">
      <w:pPr>
        <w:spacing w:after="160" w:line="360" w:lineRule="auto"/>
        <w:rPr>
          <w:sz w:val="24"/>
          <w:szCs w:val="24"/>
        </w:rPr>
      </w:pPr>
      <w:r w:rsidRPr="00352745">
        <w:rPr>
          <w:sz w:val="24"/>
          <w:szCs w:val="24"/>
        </w:rPr>
        <w:t>Alapeteri, A., 2018. The effects of using English as a business lingua franca on spoken brand co-creation communication: a discursive approach.</w:t>
      </w:r>
    </w:p>
    <w:p w14:paraId="3CFBF441" w14:textId="77777777" w:rsidR="00B621A0" w:rsidRDefault="00B621A0" w:rsidP="00B621A0">
      <w:pPr>
        <w:spacing w:after="160" w:line="360" w:lineRule="auto"/>
        <w:rPr>
          <w:sz w:val="24"/>
          <w:szCs w:val="24"/>
        </w:rPr>
      </w:pPr>
      <w:r w:rsidRPr="00F80AA9">
        <w:rPr>
          <w:sz w:val="24"/>
          <w:szCs w:val="24"/>
        </w:rPr>
        <w:t>Broeder, P., 2021. Informed communication in high context and low context</w:t>
      </w:r>
      <w:r>
        <w:rPr>
          <w:sz w:val="24"/>
          <w:szCs w:val="24"/>
        </w:rPr>
        <w:t xml:space="preserve"> </w:t>
      </w:r>
      <w:r w:rsidRPr="00F80AA9">
        <w:rPr>
          <w:sz w:val="24"/>
          <w:szCs w:val="24"/>
        </w:rPr>
        <w:t>cultures. </w:t>
      </w:r>
      <w:r w:rsidRPr="00F80AA9">
        <w:rPr>
          <w:i/>
          <w:iCs/>
          <w:sz w:val="24"/>
          <w:szCs w:val="24"/>
        </w:rPr>
        <w:t>Journal of Education, Innovation and Communication</w:t>
      </w:r>
      <w:r w:rsidRPr="00F80AA9">
        <w:rPr>
          <w:sz w:val="24"/>
          <w:szCs w:val="24"/>
        </w:rPr>
        <w:t>, </w:t>
      </w:r>
      <w:r w:rsidRPr="00F80AA9">
        <w:rPr>
          <w:i/>
          <w:iCs/>
          <w:sz w:val="24"/>
          <w:szCs w:val="24"/>
        </w:rPr>
        <w:t>3</w:t>
      </w:r>
      <w:r w:rsidRPr="00F80AA9">
        <w:rPr>
          <w:sz w:val="24"/>
          <w:szCs w:val="24"/>
        </w:rPr>
        <w:t>(1), pp.13-24.</w:t>
      </w:r>
    </w:p>
    <w:p w14:paraId="28D63F33" w14:textId="77777777" w:rsidR="00B621A0" w:rsidRDefault="00B621A0" w:rsidP="00B621A0">
      <w:pPr>
        <w:spacing w:after="160" w:line="360" w:lineRule="auto"/>
        <w:rPr>
          <w:sz w:val="24"/>
          <w:szCs w:val="24"/>
        </w:rPr>
      </w:pPr>
      <w:r w:rsidRPr="005B3770">
        <w:rPr>
          <w:sz w:val="24"/>
          <w:szCs w:val="24"/>
        </w:rPr>
        <w:t xml:space="preserve">Commisceo Global 2021, </w:t>
      </w:r>
      <w:r w:rsidRPr="005B3770">
        <w:rPr>
          <w:i/>
          <w:iCs/>
          <w:sz w:val="24"/>
          <w:szCs w:val="24"/>
        </w:rPr>
        <w:t>What is the British communication style?</w:t>
      </w:r>
      <w:r w:rsidRPr="005B3770">
        <w:rPr>
          <w:sz w:val="24"/>
          <w:szCs w:val="24"/>
        </w:rPr>
        <w:t>, Commisceo Global Consulting, viewed 1</w:t>
      </w:r>
      <w:r>
        <w:rPr>
          <w:sz w:val="24"/>
          <w:szCs w:val="24"/>
        </w:rPr>
        <w:t>2</w:t>
      </w:r>
      <w:r w:rsidRPr="005B3770">
        <w:rPr>
          <w:sz w:val="24"/>
          <w:szCs w:val="24"/>
        </w:rPr>
        <w:t xml:space="preserve"> November 2025</w:t>
      </w:r>
      <w:r>
        <w:rPr>
          <w:sz w:val="24"/>
          <w:szCs w:val="24"/>
        </w:rPr>
        <w:t xml:space="preserve">. Available at: </w:t>
      </w:r>
      <w:hyperlink r:id="rId6" w:history="1">
        <w:r w:rsidRPr="007C70B1">
          <w:rPr>
            <w:rStyle w:val="Hyperlink"/>
            <w:sz w:val="24"/>
            <w:szCs w:val="24"/>
          </w:rPr>
          <w:t>https://commisceo-global.com/articles/what-is-the-british-communication-style/</w:t>
        </w:r>
      </w:hyperlink>
      <w:r>
        <w:rPr>
          <w:sz w:val="24"/>
          <w:szCs w:val="24"/>
        </w:rPr>
        <w:t xml:space="preserve"> </w:t>
      </w:r>
    </w:p>
    <w:p w14:paraId="3E435C59" w14:textId="77777777" w:rsidR="00B621A0" w:rsidRDefault="00B621A0" w:rsidP="00B621A0">
      <w:pPr>
        <w:spacing w:after="160" w:line="360" w:lineRule="auto"/>
        <w:rPr>
          <w:sz w:val="24"/>
          <w:szCs w:val="24"/>
          <w:lang w:val="en-IN"/>
        </w:rPr>
      </w:pPr>
      <w:r w:rsidRPr="00EC0074">
        <w:rPr>
          <w:sz w:val="24"/>
          <w:szCs w:val="24"/>
          <w:lang w:val="en-IN"/>
        </w:rPr>
        <w:t>Cultural Atlas (2016</w:t>
      </w:r>
      <w:r>
        <w:rPr>
          <w:sz w:val="24"/>
          <w:szCs w:val="24"/>
          <w:lang w:val="en-IN"/>
        </w:rPr>
        <w:t>a</w:t>
      </w:r>
      <w:r w:rsidRPr="00EC0074">
        <w:rPr>
          <w:sz w:val="24"/>
          <w:szCs w:val="24"/>
          <w:lang w:val="en-IN"/>
        </w:rPr>
        <w:t xml:space="preserve">) </w:t>
      </w:r>
      <w:r w:rsidRPr="00EC0074">
        <w:rPr>
          <w:i/>
          <w:iCs/>
          <w:sz w:val="24"/>
          <w:szCs w:val="24"/>
          <w:lang w:val="en-IN"/>
        </w:rPr>
        <w:t>South Korean - Communication</w:t>
      </w:r>
      <w:r w:rsidRPr="00EC0074">
        <w:rPr>
          <w:sz w:val="24"/>
          <w:szCs w:val="24"/>
          <w:lang w:val="en-IN"/>
        </w:rPr>
        <w:t xml:space="preserve">. </w:t>
      </w:r>
      <w:hyperlink r:id="rId7" w:history="1">
        <w:r w:rsidRPr="00EC0074">
          <w:rPr>
            <w:rStyle w:val="Hyperlink"/>
            <w:sz w:val="24"/>
            <w:szCs w:val="24"/>
            <w:lang w:val="en-IN"/>
          </w:rPr>
          <w:t>https://culturalatlas.sbs.com.au/south-korean-culture/south-korean-culture-communication</w:t>
        </w:r>
      </w:hyperlink>
      <w:r w:rsidRPr="00EC0074">
        <w:rPr>
          <w:sz w:val="24"/>
          <w:szCs w:val="24"/>
          <w:lang w:val="en-IN"/>
        </w:rPr>
        <w:t>.</w:t>
      </w:r>
    </w:p>
    <w:p w14:paraId="393A8D7C" w14:textId="77777777" w:rsidR="00B621A0" w:rsidRDefault="00B621A0" w:rsidP="00B621A0">
      <w:pPr>
        <w:spacing w:after="160" w:line="360" w:lineRule="auto"/>
        <w:rPr>
          <w:sz w:val="24"/>
          <w:szCs w:val="24"/>
        </w:rPr>
      </w:pPr>
      <w:r w:rsidRPr="0018729D">
        <w:rPr>
          <w:sz w:val="24"/>
          <w:szCs w:val="24"/>
        </w:rPr>
        <w:t xml:space="preserve">Cultural Atlas </w:t>
      </w:r>
      <w:r>
        <w:rPr>
          <w:sz w:val="24"/>
          <w:szCs w:val="24"/>
        </w:rPr>
        <w:t>(</w:t>
      </w:r>
      <w:r w:rsidRPr="0018729D">
        <w:rPr>
          <w:sz w:val="24"/>
          <w:szCs w:val="24"/>
        </w:rPr>
        <w:t>2016b</w:t>
      </w:r>
      <w:r>
        <w:rPr>
          <w:sz w:val="24"/>
          <w:szCs w:val="24"/>
        </w:rPr>
        <w:t>)</w:t>
      </w:r>
      <w:r w:rsidRPr="0018729D">
        <w:rPr>
          <w:sz w:val="24"/>
          <w:szCs w:val="24"/>
        </w:rPr>
        <w:t xml:space="preserve">, </w:t>
      </w:r>
      <w:r w:rsidRPr="0018729D">
        <w:rPr>
          <w:i/>
          <w:iCs/>
          <w:sz w:val="24"/>
          <w:szCs w:val="24"/>
        </w:rPr>
        <w:t>British – Communication</w:t>
      </w:r>
      <w:r w:rsidRPr="0018729D">
        <w:rPr>
          <w:sz w:val="24"/>
          <w:szCs w:val="24"/>
        </w:rPr>
        <w:t>, SBS Cultural Atlas, viewed 1</w:t>
      </w:r>
      <w:r>
        <w:rPr>
          <w:sz w:val="24"/>
          <w:szCs w:val="24"/>
        </w:rPr>
        <w:t>2</w:t>
      </w:r>
      <w:r w:rsidRPr="0018729D">
        <w:rPr>
          <w:sz w:val="24"/>
          <w:szCs w:val="24"/>
        </w:rPr>
        <w:t xml:space="preserve"> November 2025</w:t>
      </w:r>
      <w:r>
        <w:rPr>
          <w:sz w:val="24"/>
          <w:szCs w:val="24"/>
        </w:rPr>
        <w:t xml:space="preserve">. Available at: </w:t>
      </w:r>
      <w:hyperlink r:id="rId8" w:history="1">
        <w:r w:rsidRPr="007C70B1">
          <w:rPr>
            <w:rStyle w:val="Hyperlink"/>
            <w:sz w:val="24"/>
            <w:szCs w:val="24"/>
          </w:rPr>
          <w:t>https://culturalatlas.sbs.com.au/british-culture/british-culture-communication</w:t>
        </w:r>
      </w:hyperlink>
      <w:r>
        <w:rPr>
          <w:sz w:val="24"/>
          <w:szCs w:val="24"/>
        </w:rPr>
        <w:t xml:space="preserve"> </w:t>
      </w:r>
    </w:p>
    <w:p w14:paraId="1652AF02" w14:textId="77777777" w:rsidR="00B621A0" w:rsidRDefault="00B621A0" w:rsidP="00B621A0">
      <w:pPr>
        <w:spacing w:after="160" w:line="360" w:lineRule="auto"/>
        <w:rPr>
          <w:sz w:val="24"/>
          <w:szCs w:val="24"/>
        </w:rPr>
      </w:pPr>
      <w:r w:rsidRPr="00DB74F0">
        <w:rPr>
          <w:sz w:val="24"/>
          <w:szCs w:val="24"/>
        </w:rPr>
        <w:t>Donohue, W.A. and Druckman, D., 2022. Perceptions of face threats in conflict. </w:t>
      </w:r>
      <w:r w:rsidRPr="00DB74F0">
        <w:rPr>
          <w:i/>
          <w:iCs/>
          <w:sz w:val="24"/>
          <w:szCs w:val="24"/>
        </w:rPr>
        <w:t>International Journal of Conflict Management</w:t>
      </w:r>
      <w:r w:rsidRPr="00DB74F0">
        <w:rPr>
          <w:sz w:val="24"/>
          <w:szCs w:val="24"/>
        </w:rPr>
        <w:t>, </w:t>
      </w:r>
      <w:r w:rsidRPr="00DB74F0">
        <w:rPr>
          <w:i/>
          <w:iCs/>
          <w:sz w:val="24"/>
          <w:szCs w:val="24"/>
        </w:rPr>
        <w:t>33</w:t>
      </w:r>
      <w:r w:rsidRPr="00DB74F0">
        <w:rPr>
          <w:sz w:val="24"/>
          <w:szCs w:val="24"/>
        </w:rPr>
        <w:t>(3), pp.408-424.</w:t>
      </w:r>
    </w:p>
    <w:p w14:paraId="7D1094D9" w14:textId="77777777" w:rsidR="00B621A0" w:rsidRDefault="00B621A0" w:rsidP="00B621A0">
      <w:pPr>
        <w:spacing w:after="160" w:line="360" w:lineRule="auto"/>
        <w:rPr>
          <w:sz w:val="24"/>
          <w:szCs w:val="24"/>
        </w:rPr>
      </w:pPr>
      <w:r w:rsidRPr="00C138E6">
        <w:rPr>
          <w:sz w:val="24"/>
          <w:szCs w:val="24"/>
        </w:rPr>
        <w:t xml:space="preserve">Froese, F.J. et al. (2025) ‘Global virtual work: a review, integrative framework, and future research agenda’, </w:t>
      </w:r>
      <w:r w:rsidRPr="00C138E6">
        <w:rPr>
          <w:i/>
          <w:iCs/>
          <w:sz w:val="24"/>
          <w:szCs w:val="24"/>
        </w:rPr>
        <w:t>Journal of International Business Studies</w:t>
      </w:r>
      <w:r w:rsidRPr="00C138E6">
        <w:rPr>
          <w:sz w:val="24"/>
          <w:szCs w:val="24"/>
        </w:rPr>
        <w:t>.</w:t>
      </w:r>
      <w:r>
        <w:rPr>
          <w:sz w:val="24"/>
          <w:szCs w:val="24"/>
        </w:rPr>
        <w:t xml:space="preserve"> Available at: </w:t>
      </w:r>
      <w:hyperlink r:id="rId9" w:history="1">
        <w:r w:rsidRPr="00790DBD">
          <w:rPr>
            <w:rStyle w:val="Hyperlink"/>
            <w:sz w:val="24"/>
            <w:szCs w:val="24"/>
          </w:rPr>
          <w:t>https://link.springer.com/article/10.1057/s41267-025-00775-1</w:t>
        </w:r>
      </w:hyperlink>
      <w:r>
        <w:rPr>
          <w:sz w:val="24"/>
          <w:szCs w:val="24"/>
        </w:rPr>
        <w:t xml:space="preserve"> </w:t>
      </w:r>
    </w:p>
    <w:p w14:paraId="002B40B9" w14:textId="77777777" w:rsidR="00B621A0" w:rsidRDefault="00B621A0" w:rsidP="00B621A0">
      <w:pPr>
        <w:spacing w:after="160" w:line="360" w:lineRule="auto"/>
        <w:rPr>
          <w:sz w:val="24"/>
          <w:szCs w:val="24"/>
        </w:rPr>
      </w:pPr>
      <w:r w:rsidRPr="00DC792E">
        <w:rPr>
          <w:sz w:val="24"/>
          <w:szCs w:val="24"/>
        </w:rPr>
        <w:t xml:space="preserve">Hall, E.T. (1976) </w:t>
      </w:r>
      <w:r w:rsidRPr="00DC792E">
        <w:rPr>
          <w:i/>
          <w:iCs/>
          <w:sz w:val="24"/>
          <w:szCs w:val="24"/>
        </w:rPr>
        <w:t>Beyond Culture</w:t>
      </w:r>
      <w:r w:rsidRPr="00DC792E">
        <w:rPr>
          <w:sz w:val="24"/>
          <w:szCs w:val="24"/>
        </w:rPr>
        <w:t>. New York: Anchor.</w:t>
      </w:r>
    </w:p>
    <w:p w14:paraId="165E9E4D" w14:textId="77777777" w:rsidR="00B621A0" w:rsidRDefault="00B621A0" w:rsidP="00B621A0">
      <w:pPr>
        <w:spacing w:after="160" w:line="360" w:lineRule="auto"/>
        <w:rPr>
          <w:sz w:val="24"/>
          <w:szCs w:val="24"/>
        </w:rPr>
      </w:pPr>
      <w:r w:rsidRPr="00ED6F8C">
        <w:rPr>
          <w:sz w:val="24"/>
          <w:szCs w:val="24"/>
        </w:rPr>
        <w:t xml:space="preserve">Hofstede, G. (2001) </w:t>
      </w:r>
      <w:r w:rsidRPr="00ED6F8C">
        <w:rPr>
          <w:i/>
          <w:iCs/>
          <w:sz w:val="24"/>
          <w:szCs w:val="24"/>
        </w:rPr>
        <w:t>Culture’s Consequences</w:t>
      </w:r>
      <w:r w:rsidRPr="00ED6F8C">
        <w:rPr>
          <w:sz w:val="24"/>
          <w:szCs w:val="24"/>
        </w:rPr>
        <w:t>. 2nd edn. Thousand Oaks, CA: Sage.</w:t>
      </w:r>
    </w:p>
    <w:p w14:paraId="46EBA014" w14:textId="77777777" w:rsidR="00B621A0" w:rsidRDefault="00B621A0" w:rsidP="00B621A0">
      <w:pPr>
        <w:spacing w:after="160" w:line="360" w:lineRule="auto"/>
        <w:rPr>
          <w:sz w:val="24"/>
          <w:szCs w:val="24"/>
        </w:rPr>
      </w:pPr>
      <w:r w:rsidRPr="00D93311">
        <w:rPr>
          <w:sz w:val="24"/>
          <w:szCs w:val="24"/>
        </w:rPr>
        <w:t xml:space="preserve">IEA (2024) </w:t>
      </w:r>
      <w:r w:rsidRPr="00D93311">
        <w:rPr>
          <w:i/>
          <w:iCs/>
          <w:sz w:val="24"/>
          <w:szCs w:val="24"/>
        </w:rPr>
        <w:t>World Energy Outlook 2024</w:t>
      </w:r>
      <w:r w:rsidRPr="00D93311">
        <w:rPr>
          <w:sz w:val="24"/>
          <w:szCs w:val="24"/>
        </w:rPr>
        <w:t>. Paris: International Energy Agency.</w:t>
      </w:r>
      <w:r>
        <w:rPr>
          <w:sz w:val="24"/>
          <w:szCs w:val="24"/>
        </w:rPr>
        <w:t xml:space="preserve"> Available at: </w:t>
      </w:r>
      <w:hyperlink r:id="rId10" w:history="1">
        <w:r w:rsidRPr="00790DBD">
          <w:rPr>
            <w:rStyle w:val="Hyperlink"/>
            <w:sz w:val="24"/>
            <w:szCs w:val="24"/>
          </w:rPr>
          <w:t>https://www.iea.org/reports/world-energy-outlook-2024</w:t>
        </w:r>
      </w:hyperlink>
      <w:r>
        <w:rPr>
          <w:sz w:val="24"/>
          <w:szCs w:val="24"/>
        </w:rPr>
        <w:t xml:space="preserve"> </w:t>
      </w:r>
    </w:p>
    <w:p w14:paraId="5868F8A3" w14:textId="77777777" w:rsidR="00B621A0" w:rsidRDefault="00B621A0" w:rsidP="00B621A0">
      <w:pPr>
        <w:spacing w:after="160" w:line="360" w:lineRule="auto"/>
        <w:rPr>
          <w:sz w:val="24"/>
          <w:szCs w:val="24"/>
        </w:rPr>
      </w:pPr>
      <w:r w:rsidRPr="00410116">
        <w:rPr>
          <w:sz w:val="24"/>
          <w:szCs w:val="24"/>
        </w:rPr>
        <w:t xml:space="preserve">Kankaanranta, A. and Louhiala-Salminen, L. (2013) ‘“What language does global business speak?”—BELF’, </w:t>
      </w:r>
      <w:r w:rsidRPr="00410116">
        <w:rPr>
          <w:i/>
          <w:iCs/>
          <w:sz w:val="24"/>
          <w:szCs w:val="24"/>
        </w:rPr>
        <w:t>Ibérica</w:t>
      </w:r>
      <w:r w:rsidRPr="00410116">
        <w:rPr>
          <w:sz w:val="24"/>
          <w:szCs w:val="24"/>
        </w:rPr>
        <w:t>, 26, pp. 17–34.</w:t>
      </w:r>
    </w:p>
    <w:p w14:paraId="4E175B4F" w14:textId="77777777" w:rsidR="00B621A0" w:rsidRDefault="00B621A0" w:rsidP="00B621A0">
      <w:pPr>
        <w:spacing w:after="160" w:line="360" w:lineRule="auto"/>
        <w:rPr>
          <w:sz w:val="24"/>
          <w:szCs w:val="24"/>
        </w:rPr>
      </w:pPr>
      <w:r w:rsidRPr="0095422D">
        <w:rPr>
          <w:sz w:val="24"/>
          <w:szCs w:val="24"/>
        </w:rPr>
        <w:t>Keser, I., 2024. </w:t>
      </w:r>
      <w:r w:rsidRPr="0095422D">
        <w:rPr>
          <w:i/>
          <w:iCs/>
          <w:sz w:val="24"/>
          <w:szCs w:val="24"/>
        </w:rPr>
        <w:t>The Impact of Culture on Business Negotiations</w:t>
      </w:r>
      <w:r w:rsidRPr="0095422D">
        <w:rPr>
          <w:sz w:val="24"/>
          <w:szCs w:val="24"/>
        </w:rPr>
        <w:t> (Doctoral dissertation, University of Rijeka. Faculty of Tourism and Hospitality Management).</w:t>
      </w:r>
    </w:p>
    <w:p w14:paraId="7116B439" w14:textId="77777777" w:rsidR="00B621A0" w:rsidRDefault="00B621A0" w:rsidP="00B621A0">
      <w:pPr>
        <w:spacing w:after="160" w:line="360" w:lineRule="auto"/>
        <w:rPr>
          <w:sz w:val="24"/>
          <w:szCs w:val="24"/>
        </w:rPr>
      </w:pPr>
      <w:r w:rsidRPr="002A4C83">
        <w:rPr>
          <w:sz w:val="24"/>
          <w:szCs w:val="24"/>
        </w:rPr>
        <w:lastRenderedPageBreak/>
        <w:t>Kotarputh, R., 2020. </w:t>
      </w:r>
      <w:r w:rsidRPr="002A4C83">
        <w:rPr>
          <w:i/>
          <w:iCs/>
          <w:sz w:val="24"/>
          <w:szCs w:val="24"/>
        </w:rPr>
        <w:t>Pragmatic strategies and politeness in email exchanges by business English as a Lingua Franca (BELF) users in a Thai higher education setting: managing miscommunication, enhancing intercultural communication and indicating levels of formality</w:t>
      </w:r>
      <w:r w:rsidRPr="002A4C83">
        <w:rPr>
          <w:sz w:val="24"/>
          <w:szCs w:val="24"/>
        </w:rPr>
        <w:t> (Doctoral dissertation, University of Southampton).</w:t>
      </w:r>
    </w:p>
    <w:p w14:paraId="0F0CD656" w14:textId="77777777" w:rsidR="00B621A0" w:rsidRDefault="00B621A0" w:rsidP="00B621A0">
      <w:pPr>
        <w:spacing w:after="160" w:line="360" w:lineRule="auto"/>
        <w:rPr>
          <w:sz w:val="24"/>
          <w:szCs w:val="24"/>
        </w:rPr>
      </w:pPr>
      <w:r w:rsidRPr="003C24D3">
        <w:rPr>
          <w:sz w:val="24"/>
          <w:szCs w:val="24"/>
        </w:rPr>
        <w:t>Mendes de Oliveira, M., 2024. English as a lingua franca and interculturality: navigating structure-and process-oriented perspectives in intercultural interactions. </w:t>
      </w:r>
      <w:r w:rsidRPr="003C24D3">
        <w:rPr>
          <w:i/>
          <w:iCs/>
          <w:sz w:val="24"/>
          <w:szCs w:val="24"/>
        </w:rPr>
        <w:t>Language and Intercultural Communication</w:t>
      </w:r>
      <w:r w:rsidRPr="003C24D3">
        <w:rPr>
          <w:sz w:val="24"/>
          <w:szCs w:val="24"/>
        </w:rPr>
        <w:t>, </w:t>
      </w:r>
      <w:r w:rsidRPr="003C24D3">
        <w:rPr>
          <w:i/>
          <w:iCs/>
          <w:sz w:val="24"/>
          <w:szCs w:val="24"/>
        </w:rPr>
        <w:t>24</w:t>
      </w:r>
      <w:r w:rsidRPr="003C24D3">
        <w:rPr>
          <w:sz w:val="24"/>
          <w:szCs w:val="24"/>
        </w:rPr>
        <w:t>(2), pp.105-117.</w:t>
      </w:r>
    </w:p>
    <w:p w14:paraId="7A875CCF" w14:textId="77777777" w:rsidR="00B621A0" w:rsidRDefault="00B621A0" w:rsidP="00B621A0">
      <w:pPr>
        <w:spacing w:after="160" w:line="360" w:lineRule="auto"/>
        <w:rPr>
          <w:sz w:val="24"/>
          <w:szCs w:val="24"/>
        </w:rPr>
      </w:pPr>
      <w:r w:rsidRPr="00AD2CAC">
        <w:rPr>
          <w:sz w:val="24"/>
          <w:szCs w:val="24"/>
        </w:rPr>
        <w:t xml:space="preserve">Norton Rose Fulbright 2024, </w:t>
      </w:r>
      <w:r w:rsidRPr="00AD2CAC">
        <w:rPr>
          <w:i/>
          <w:iCs/>
          <w:sz w:val="24"/>
          <w:szCs w:val="24"/>
        </w:rPr>
        <w:t>Global offshore wind: South Korea</w:t>
      </w:r>
      <w:r w:rsidRPr="00AD2CAC">
        <w:rPr>
          <w:sz w:val="24"/>
          <w:szCs w:val="24"/>
        </w:rPr>
        <w:t>, Norton Rose Fulbright, viewed 1</w:t>
      </w:r>
      <w:r>
        <w:rPr>
          <w:sz w:val="24"/>
          <w:szCs w:val="24"/>
        </w:rPr>
        <w:t>2</w:t>
      </w:r>
      <w:r w:rsidRPr="00AD2CAC">
        <w:rPr>
          <w:sz w:val="24"/>
          <w:szCs w:val="24"/>
        </w:rPr>
        <w:t xml:space="preserve"> November 2025</w:t>
      </w:r>
      <w:r>
        <w:rPr>
          <w:sz w:val="24"/>
          <w:szCs w:val="24"/>
        </w:rPr>
        <w:t xml:space="preserve">. Available at: </w:t>
      </w:r>
      <w:hyperlink r:id="rId11" w:history="1">
        <w:r w:rsidRPr="007C70B1">
          <w:rPr>
            <w:rStyle w:val="Hyperlink"/>
            <w:sz w:val="24"/>
            <w:szCs w:val="24"/>
          </w:rPr>
          <w:t>https://www.nortonrosefulbright.com/en/knowledge/publications/faee407b/global-offshore-wind-south-korea</w:t>
        </w:r>
      </w:hyperlink>
      <w:r>
        <w:rPr>
          <w:sz w:val="24"/>
          <w:szCs w:val="24"/>
        </w:rPr>
        <w:t xml:space="preserve"> </w:t>
      </w:r>
    </w:p>
    <w:p w14:paraId="36005A8D" w14:textId="77777777" w:rsidR="00B621A0" w:rsidRDefault="00B621A0" w:rsidP="00B621A0">
      <w:pPr>
        <w:spacing w:after="160" w:line="360" w:lineRule="auto"/>
        <w:rPr>
          <w:sz w:val="24"/>
          <w:szCs w:val="24"/>
        </w:rPr>
      </w:pPr>
      <w:r w:rsidRPr="00B134E9">
        <w:rPr>
          <w:sz w:val="24"/>
          <w:szCs w:val="24"/>
        </w:rPr>
        <w:t xml:space="preserve">NREL (2024) </w:t>
      </w:r>
      <w:r w:rsidRPr="00B134E9">
        <w:rPr>
          <w:i/>
          <w:iCs/>
          <w:sz w:val="24"/>
          <w:szCs w:val="24"/>
        </w:rPr>
        <w:t>Offshore Wind Market Report: 2024 Edition</w:t>
      </w:r>
      <w:r w:rsidRPr="00B134E9">
        <w:rPr>
          <w:sz w:val="24"/>
          <w:szCs w:val="24"/>
        </w:rPr>
        <w:t>. Golden, CO: National Renewable Energy Laboratory.</w:t>
      </w:r>
      <w:r>
        <w:rPr>
          <w:sz w:val="24"/>
          <w:szCs w:val="24"/>
        </w:rPr>
        <w:t xml:space="preserve"> Available at: </w:t>
      </w:r>
      <w:hyperlink r:id="rId12" w:history="1">
        <w:r w:rsidRPr="00790DBD">
          <w:rPr>
            <w:rStyle w:val="Hyperlink"/>
            <w:sz w:val="24"/>
            <w:szCs w:val="24"/>
          </w:rPr>
          <w:t>https://docs.nrel.gov/docs/fy24osti/90525.pdf</w:t>
        </w:r>
      </w:hyperlink>
      <w:r>
        <w:rPr>
          <w:sz w:val="24"/>
          <w:szCs w:val="24"/>
        </w:rPr>
        <w:t xml:space="preserve"> </w:t>
      </w:r>
    </w:p>
    <w:p w14:paraId="469E95AF" w14:textId="77777777" w:rsidR="00B621A0" w:rsidRDefault="00B621A0" w:rsidP="00B621A0">
      <w:pPr>
        <w:spacing w:after="160" w:line="360" w:lineRule="auto"/>
        <w:rPr>
          <w:sz w:val="24"/>
          <w:szCs w:val="24"/>
        </w:rPr>
      </w:pPr>
      <w:r w:rsidRPr="000421D8">
        <w:rPr>
          <w:sz w:val="24"/>
          <w:szCs w:val="24"/>
        </w:rPr>
        <w:t>Okoye, C.I., 2017. </w:t>
      </w:r>
      <w:r w:rsidRPr="000421D8">
        <w:rPr>
          <w:i/>
          <w:iCs/>
          <w:sz w:val="24"/>
          <w:szCs w:val="24"/>
        </w:rPr>
        <w:t>An Investigation of the Effects of Multiple Cultures and Power Asymmetry on Strategic Investment Decisions in Multi-Organizational Project Collaboration</w:t>
      </w:r>
      <w:r w:rsidRPr="000421D8">
        <w:rPr>
          <w:sz w:val="24"/>
          <w:szCs w:val="24"/>
        </w:rPr>
        <w:t> (Doctoral dissertation, Northcentral University).</w:t>
      </w:r>
    </w:p>
    <w:p w14:paraId="4CE138D5" w14:textId="77777777" w:rsidR="00B621A0" w:rsidRDefault="00B621A0" w:rsidP="00B621A0">
      <w:pPr>
        <w:spacing w:after="160" w:line="360" w:lineRule="auto"/>
        <w:rPr>
          <w:sz w:val="24"/>
          <w:szCs w:val="24"/>
        </w:rPr>
      </w:pPr>
      <w:r w:rsidRPr="00F46F70">
        <w:rPr>
          <w:sz w:val="24"/>
          <w:szCs w:val="24"/>
        </w:rPr>
        <w:t xml:space="preserve">Peltonen, L.J. (2025) ‘Addressing linguacultural competencies in business English through BELF’, </w:t>
      </w:r>
      <w:r w:rsidRPr="00F46F70">
        <w:rPr>
          <w:i/>
          <w:iCs/>
          <w:sz w:val="24"/>
          <w:szCs w:val="24"/>
        </w:rPr>
        <w:t>ELT Journal</w:t>
      </w:r>
      <w:r w:rsidRPr="00F46F70">
        <w:rPr>
          <w:sz w:val="24"/>
          <w:szCs w:val="24"/>
        </w:rPr>
        <w:t>, 79(3), pp. 419–430.</w:t>
      </w:r>
    </w:p>
    <w:p w14:paraId="774E308C" w14:textId="77777777" w:rsidR="00B621A0" w:rsidRDefault="00B621A0" w:rsidP="00B621A0">
      <w:pPr>
        <w:spacing w:after="160" w:line="360" w:lineRule="auto"/>
        <w:rPr>
          <w:sz w:val="24"/>
          <w:szCs w:val="24"/>
          <w:lang w:val="en-IN"/>
        </w:rPr>
      </w:pPr>
      <w:r w:rsidRPr="00512D8E">
        <w:rPr>
          <w:sz w:val="24"/>
          <w:szCs w:val="24"/>
          <w:lang w:val="en-IN"/>
        </w:rPr>
        <w:t xml:space="preserve">Rantala, J. (2025) 'Cultural Context in Action: Exploring the role of communication styles in international workplaces,' </w:t>
      </w:r>
      <w:r w:rsidRPr="00512D8E">
        <w:rPr>
          <w:i/>
          <w:iCs/>
          <w:sz w:val="24"/>
          <w:szCs w:val="24"/>
          <w:lang w:val="en-IN"/>
        </w:rPr>
        <w:t>Theseus</w:t>
      </w:r>
      <w:r w:rsidRPr="00512D8E">
        <w:rPr>
          <w:sz w:val="24"/>
          <w:szCs w:val="24"/>
          <w:lang w:val="en-IN"/>
        </w:rPr>
        <w:t xml:space="preserve"> [Preprint]. </w:t>
      </w:r>
      <w:hyperlink r:id="rId13" w:history="1">
        <w:r w:rsidRPr="00512D8E">
          <w:rPr>
            <w:rStyle w:val="Hyperlink"/>
            <w:sz w:val="24"/>
            <w:szCs w:val="24"/>
            <w:lang w:val="en-IN"/>
          </w:rPr>
          <w:t>https://urn.fi/URN:NBN:fi:amk-2025060118874</w:t>
        </w:r>
      </w:hyperlink>
      <w:r w:rsidRPr="00512D8E">
        <w:rPr>
          <w:sz w:val="24"/>
          <w:szCs w:val="24"/>
          <w:lang w:val="en-IN"/>
        </w:rPr>
        <w:t>.</w:t>
      </w:r>
      <w:r>
        <w:rPr>
          <w:sz w:val="24"/>
          <w:szCs w:val="24"/>
          <w:lang w:val="en-IN"/>
        </w:rPr>
        <w:t xml:space="preserve"> </w:t>
      </w:r>
    </w:p>
    <w:p w14:paraId="0DA95DA7" w14:textId="77777777" w:rsidR="00B621A0" w:rsidRDefault="00B621A0" w:rsidP="00B621A0">
      <w:pPr>
        <w:spacing w:after="160" w:line="360" w:lineRule="auto"/>
        <w:rPr>
          <w:sz w:val="24"/>
          <w:szCs w:val="24"/>
        </w:rPr>
      </w:pPr>
      <w:r w:rsidRPr="009C4721">
        <w:rPr>
          <w:sz w:val="24"/>
          <w:szCs w:val="24"/>
        </w:rPr>
        <w:t>Roehrich, J. K., Sarafan, M., Squire, B., Lawson, B., &amp; Bouazzaoui, M. (2024). Conflict and Contract Use in Cross-Cultural Buyer–Supplier Relationships: The Role of Cultural Context. </w:t>
      </w:r>
      <w:r w:rsidRPr="009C4721">
        <w:rPr>
          <w:i/>
          <w:iCs/>
          <w:sz w:val="24"/>
          <w:szCs w:val="24"/>
        </w:rPr>
        <w:t>Production and Operations Management</w:t>
      </w:r>
      <w:r w:rsidRPr="009C4721">
        <w:rPr>
          <w:sz w:val="24"/>
          <w:szCs w:val="24"/>
        </w:rPr>
        <w:t>, </w:t>
      </w:r>
      <w:r w:rsidRPr="009C4721">
        <w:rPr>
          <w:i/>
          <w:iCs/>
          <w:sz w:val="24"/>
          <w:szCs w:val="24"/>
        </w:rPr>
        <w:t>34</w:t>
      </w:r>
      <w:r w:rsidRPr="009C4721">
        <w:rPr>
          <w:sz w:val="24"/>
          <w:szCs w:val="24"/>
        </w:rPr>
        <w:t>(5), 974-992. </w:t>
      </w:r>
      <w:hyperlink r:id="rId14" w:history="1">
        <w:r w:rsidRPr="009C4721">
          <w:rPr>
            <w:rStyle w:val="Hyperlink"/>
            <w:sz w:val="24"/>
            <w:szCs w:val="24"/>
          </w:rPr>
          <w:t>https://doi.org/10.1177/10591478241265481</w:t>
        </w:r>
      </w:hyperlink>
      <w:r w:rsidRPr="009C4721">
        <w:rPr>
          <w:sz w:val="24"/>
          <w:szCs w:val="24"/>
        </w:rPr>
        <w:t> (Original work published 2025)</w:t>
      </w:r>
    </w:p>
    <w:p w14:paraId="357A8DA2" w14:textId="77777777" w:rsidR="00B621A0" w:rsidRDefault="00B621A0" w:rsidP="00B621A0">
      <w:pPr>
        <w:spacing w:after="160" w:line="360" w:lineRule="auto"/>
        <w:rPr>
          <w:sz w:val="24"/>
          <w:szCs w:val="24"/>
        </w:rPr>
      </w:pPr>
      <w:r w:rsidRPr="000D3910">
        <w:rPr>
          <w:sz w:val="24"/>
          <w:szCs w:val="24"/>
        </w:rPr>
        <w:t xml:space="preserve">Royal Academy of Engineering (2024) </w:t>
      </w:r>
      <w:r w:rsidRPr="000D3910">
        <w:rPr>
          <w:i/>
          <w:iCs/>
          <w:sz w:val="24"/>
          <w:szCs w:val="24"/>
        </w:rPr>
        <w:t>Harnessing Offshore Wind: Opportunities for UK–South Korea Collaborations</w:t>
      </w:r>
      <w:r w:rsidRPr="000D3910">
        <w:rPr>
          <w:sz w:val="24"/>
          <w:szCs w:val="24"/>
        </w:rPr>
        <w:t>. London: RAEng</w:t>
      </w:r>
      <w:r>
        <w:rPr>
          <w:sz w:val="24"/>
          <w:szCs w:val="24"/>
        </w:rPr>
        <w:t xml:space="preserve">. Available at: </w:t>
      </w:r>
      <w:hyperlink r:id="rId15" w:history="1">
        <w:r w:rsidRPr="00790DBD">
          <w:rPr>
            <w:rStyle w:val="Hyperlink"/>
            <w:sz w:val="24"/>
            <w:szCs w:val="24"/>
          </w:rPr>
          <w:t>https://raeng.org.uk/media/zbnnmijm/report-harnessing-offshore-wind-opportunities-for-uk-sk-collaborations.pdf</w:t>
        </w:r>
      </w:hyperlink>
      <w:r>
        <w:rPr>
          <w:sz w:val="24"/>
          <w:szCs w:val="24"/>
        </w:rPr>
        <w:t xml:space="preserve"> </w:t>
      </w:r>
    </w:p>
    <w:p w14:paraId="25F4BE9F" w14:textId="77777777" w:rsidR="00B621A0" w:rsidRDefault="00B621A0" w:rsidP="00B621A0">
      <w:pPr>
        <w:spacing w:after="160" w:line="360" w:lineRule="auto"/>
        <w:rPr>
          <w:sz w:val="24"/>
          <w:szCs w:val="24"/>
        </w:rPr>
      </w:pPr>
      <w:r w:rsidRPr="003D44F2">
        <w:rPr>
          <w:sz w:val="24"/>
          <w:szCs w:val="24"/>
        </w:rPr>
        <w:lastRenderedPageBreak/>
        <w:t>Ting-Toomey, S., 2004. TRANSLATING CONFLICT FACE-NEGOTIATION THEORY. </w:t>
      </w:r>
      <w:r w:rsidRPr="003D44F2">
        <w:rPr>
          <w:i/>
          <w:iCs/>
          <w:sz w:val="24"/>
          <w:szCs w:val="24"/>
        </w:rPr>
        <w:t>Handbook of intercultural training</w:t>
      </w:r>
      <w:r w:rsidRPr="003D44F2">
        <w:rPr>
          <w:sz w:val="24"/>
          <w:szCs w:val="24"/>
        </w:rPr>
        <w:t>, p.217.</w:t>
      </w:r>
    </w:p>
    <w:p w14:paraId="39418FB6" w14:textId="77777777" w:rsidR="00B621A0" w:rsidRDefault="00B621A0" w:rsidP="00B621A0">
      <w:pPr>
        <w:spacing w:after="160" w:line="360" w:lineRule="auto"/>
        <w:rPr>
          <w:sz w:val="24"/>
          <w:szCs w:val="24"/>
          <w:lang w:val="en-IN"/>
        </w:rPr>
      </w:pPr>
      <w:r w:rsidRPr="004F1E25">
        <w:rPr>
          <w:sz w:val="24"/>
          <w:szCs w:val="24"/>
          <w:lang w:val="en-IN"/>
        </w:rPr>
        <w:t>UK Government</w:t>
      </w:r>
      <w:r w:rsidRPr="00605038">
        <w:rPr>
          <w:sz w:val="24"/>
          <w:szCs w:val="24"/>
          <w:lang w:val="en-IN"/>
        </w:rPr>
        <w:t xml:space="preserve"> (2023) </w:t>
      </w:r>
      <w:r w:rsidRPr="00605038">
        <w:rPr>
          <w:i/>
          <w:iCs/>
          <w:sz w:val="24"/>
          <w:szCs w:val="24"/>
          <w:lang w:val="en-IN"/>
        </w:rPr>
        <w:t>Clean Energy Partnership between the United Kingdom and the Republic of Korea</w:t>
      </w:r>
      <w:r w:rsidRPr="00605038">
        <w:rPr>
          <w:sz w:val="24"/>
          <w:szCs w:val="24"/>
          <w:lang w:val="en-IN"/>
        </w:rPr>
        <w:t xml:space="preserve">. </w:t>
      </w:r>
      <w:hyperlink r:id="rId16" w:history="1">
        <w:r w:rsidRPr="00605038">
          <w:rPr>
            <w:rStyle w:val="Hyperlink"/>
            <w:sz w:val="24"/>
            <w:szCs w:val="24"/>
            <w:lang w:val="en-IN"/>
          </w:rPr>
          <w:t>https://www.gov.uk/government/publications/cooperation-on-energy-security-and-the-clean-energy-transition-uk-republic-of-korea-partnership/clean-energy-partnership-between-the-united-kingdom-and-the-republic-of-korea</w:t>
        </w:r>
      </w:hyperlink>
      <w:r w:rsidRPr="00605038">
        <w:rPr>
          <w:sz w:val="24"/>
          <w:szCs w:val="24"/>
          <w:lang w:val="en-IN"/>
        </w:rPr>
        <w:t>.</w:t>
      </w:r>
      <w:r>
        <w:rPr>
          <w:sz w:val="24"/>
          <w:szCs w:val="24"/>
          <w:lang w:val="en-IN"/>
        </w:rPr>
        <w:t xml:space="preserve"> </w:t>
      </w:r>
    </w:p>
    <w:p w14:paraId="23330A91" w14:textId="77777777" w:rsidR="00B621A0" w:rsidRDefault="00B621A0" w:rsidP="00B621A0">
      <w:pPr>
        <w:spacing w:after="160" w:line="360" w:lineRule="auto"/>
        <w:rPr>
          <w:sz w:val="24"/>
          <w:szCs w:val="24"/>
        </w:rPr>
      </w:pPr>
      <w:r w:rsidRPr="00B17D69">
        <w:rPr>
          <w:sz w:val="24"/>
          <w:szCs w:val="24"/>
        </w:rPr>
        <w:t xml:space="preserve">UK Government (2023) </w:t>
      </w:r>
      <w:r w:rsidRPr="00B17D69">
        <w:rPr>
          <w:i/>
          <w:iCs/>
          <w:sz w:val="24"/>
          <w:szCs w:val="24"/>
        </w:rPr>
        <w:t>Memorandum of Understanding between the United Kingdom and the Republic of Korea concerning cooperation on offshore wind energy</w:t>
      </w:r>
      <w:r w:rsidRPr="00B17D69">
        <w:rPr>
          <w:sz w:val="24"/>
          <w:szCs w:val="24"/>
        </w:rPr>
        <w:t>. London: Department for Energy Security and Net Zero.</w:t>
      </w:r>
      <w:r>
        <w:rPr>
          <w:sz w:val="24"/>
          <w:szCs w:val="24"/>
        </w:rPr>
        <w:t xml:space="preserve"> Available at: </w:t>
      </w:r>
      <w:hyperlink r:id="rId17" w:history="1">
        <w:r w:rsidRPr="00790DBD">
          <w:rPr>
            <w:rStyle w:val="Hyperlink"/>
            <w:sz w:val="24"/>
            <w:szCs w:val="24"/>
          </w:rPr>
          <w:t>https://www.gov.uk/government/publications/cooperation-on-energy-security-and-the-clean-energy-transition-uk-republic-of-korea-partnership/memorandum-of-understanding-between-the-united-kingdom-and-the-republic-of-korea-concerning-cooperation-on-offshore-wind-energy</w:t>
        </w:r>
      </w:hyperlink>
      <w:r>
        <w:rPr>
          <w:sz w:val="24"/>
          <w:szCs w:val="24"/>
        </w:rPr>
        <w:t xml:space="preserve"> </w:t>
      </w:r>
    </w:p>
    <w:p w14:paraId="78292128" w14:textId="77777777" w:rsidR="00B621A0" w:rsidRDefault="00B621A0" w:rsidP="00B621A0">
      <w:pPr>
        <w:spacing w:after="160" w:line="360" w:lineRule="auto"/>
        <w:rPr>
          <w:sz w:val="24"/>
          <w:szCs w:val="24"/>
          <w:lang w:val="en-IN"/>
        </w:rPr>
      </w:pPr>
      <w:r w:rsidRPr="00E87B74">
        <w:rPr>
          <w:sz w:val="24"/>
          <w:szCs w:val="24"/>
          <w:lang w:val="en-IN"/>
        </w:rPr>
        <w:t xml:space="preserve">Valls, L. (2024) 'Why Power Distance Is the Silent Deal-Maker (or Breaker) in South Korean Business?,' </w:t>
      </w:r>
      <w:r w:rsidRPr="00E87B74">
        <w:rPr>
          <w:i/>
          <w:iCs/>
          <w:sz w:val="24"/>
          <w:szCs w:val="24"/>
          <w:lang w:val="en-IN"/>
        </w:rPr>
        <w:t>Medium</w:t>
      </w:r>
      <w:r w:rsidRPr="00E87B74">
        <w:rPr>
          <w:sz w:val="24"/>
          <w:szCs w:val="24"/>
          <w:lang w:val="en-IN"/>
        </w:rPr>
        <w:t xml:space="preserve">. </w:t>
      </w:r>
      <w:hyperlink r:id="rId18" w:history="1">
        <w:r w:rsidRPr="00E87B74">
          <w:rPr>
            <w:rStyle w:val="Hyperlink"/>
            <w:sz w:val="24"/>
            <w:szCs w:val="24"/>
            <w:lang w:val="en-IN"/>
          </w:rPr>
          <w:t>https://medium.com/@lauravallsalvarez/power-distance-and-decision-making-in-south-korea-how-hierarchy-shapes-business-culture-a390f11f2008</w:t>
        </w:r>
      </w:hyperlink>
      <w:r w:rsidRPr="00E87B74">
        <w:rPr>
          <w:sz w:val="24"/>
          <w:szCs w:val="24"/>
          <w:lang w:val="en-IN"/>
        </w:rPr>
        <w:t>.</w:t>
      </w:r>
    </w:p>
    <w:p w14:paraId="5CE9FC7B" w14:textId="77777777" w:rsidR="00B621A0" w:rsidRDefault="00B621A0" w:rsidP="00B621A0">
      <w:pPr>
        <w:spacing w:after="160" w:line="360" w:lineRule="auto"/>
        <w:rPr>
          <w:sz w:val="24"/>
          <w:szCs w:val="24"/>
        </w:rPr>
      </w:pPr>
      <w:r w:rsidRPr="00393C01">
        <w:rPr>
          <w:sz w:val="24"/>
          <w:szCs w:val="24"/>
        </w:rPr>
        <w:t>Yamini, S., Fousiani, K., Dabiriyan Tehrani, H. and Wisse, B., 2025. Culture and Conflict Management Strategy: The Mediating Role of Instrumental Concerns. </w:t>
      </w:r>
      <w:r w:rsidRPr="00393C01">
        <w:rPr>
          <w:i/>
          <w:iCs/>
          <w:sz w:val="24"/>
          <w:szCs w:val="24"/>
        </w:rPr>
        <w:t>Journal of Cross-Cultural Psychology</w:t>
      </w:r>
      <w:r w:rsidRPr="00393C01">
        <w:rPr>
          <w:sz w:val="24"/>
          <w:szCs w:val="24"/>
        </w:rPr>
        <w:t>, </w:t>
      </w:r>
      <w:r w:rsidRPr="00393C01">
        <w:rPr>
          <w:i/>
          <w:iCs/>
          <w:sz w:val="24"/>
          <w:szCs w:val="24"/>
        </w:rPr>
        <w:t>56</w:t>
      </w:r>
      <w:r w:rsidRPr="00393C01">
        <w:rPr>
          <w:sz w:val="24"/>
          <w:szCs w:val="24"/>
        </w:rPr>
        <w:t>(3), pp.281-305.</w:t>
      </w:r>
    </w:p>
    <w:p w14:paraId="395CAAAC" w14:textId="77777777" w:rsidR="0033555F" w:rsidRPr="00B621A0" w:rsidRDefault="0033555F" w:rsidP="00B621A0">
      <w:pPr>
        <w:spacing w:line="360" w:lineRule="auto"/>
        <w:rPr>
          <w:sz w:val="24"/>
          <w:szCs w:val="24"/>
        </w:rPr>
      </w:pPr>
    </w:p>
    <w:sectPr w:rsidR="0033555F" w:rsidRPr="00B621A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ADE9D" w14:textId="77777777" w:rsidR="002F46C5" w:rsidRDefault="002F46C5" w:rsidP="00AC5DE2">
      <w:r>
        <w:separator/>
      </w:r>
    </w:p>
  </w:endnote>
  <w:endnote w:type="continuationSeparator" w:id="0">
    <w:p w14:paraId="3E286EBD" w14:textId="77777777" w:rsidR="002F46C5" w:rsidRDefault="002F46C5" w:rsidP="00AC5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919367"/>
      <w:docPartObj>
        <w:docPartGallery w:val="Page Numbers (Bottom of Page)"/>
        <w:docPartUnique/>
      </w:docPartObj>
    </w:sdtPr>
    <w:sdtEndPr>
      <w:rPr>
        <w:noProof/>
      </w:rPr>
    </w:sdtEndPr>
    <w:sdtContent>
      <w:p w14:paraId="0024F134" w14:textId="2C5D3BC6" w:rsidR="002E04A0" w:rsidRDefault="002E04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DA8A40" w14:textId="77777777" w:rsidR="002E04A0" w:rsidRDefault="002E0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4B17C" w14:textId="77777777" w:rsidR="002F46C5" w:rsidRDefault="002F46C5" w:rsidP="00AC5DE2">
      <w:r>
        <w:separator/>
      </w:r>
    </w:p>
  </w:footnote>
  <w:footnote w:type="continuationSeparator" w:id="0">
    <w:p w14:paraId="3C70EF9D" w14:textId="77777777" w:rsidR="002F46C5" w:rsidRDefault="002F46C5" w:rsidP="00AC5D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61A1C" w14:textId="6134CF4E" w:rsidR="00AC5DE2" w:rsidRDefault="00AC5DE2">
    <w:pPr>
      <w:pStyle w:val="Header"/>
    </w:pPr>
    <w:r w:rsidRPr="00A406E5">
      <w:rPr>
        <w:rFonts w:ascii="Arial" w:hAnsi="Arial" w:cs="Arial"/>
        <w:noProof/>
      </w:rPr>
      <w:drawing>
        <wp:anchor distT="0" distB="0" distL="114300" distR="114300" simplePos="0" relativeHeight="251659264" behindDoc="0" locked="0" layoutInCell="1" allowOverlap="1" wp14:anchorId="4201D9A6" wp14:editId="43D2F7C3">
          <wp:simplePos x="0" y="0"/>
          <wp:positionH relativeFrom="column">
            <wp:posOffset>-277495</wp:posOffset>
          </wp:positionH>
          <wp:positionV relativeFrom="paragraph">
            <wp:posOffset>-144780</wp:posOffset>
          </wp:positionV>
          <wp:extent cx="1745615" cy="424815"/>
          <wp:effectExtent l="0" t="0" r="698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745615" cy="42481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DE2"/>
    <w:rsid w:val="0018751B"/>
    <w:rsid w:val="001937D2"/>
    <w:rsid w:val="002C3F7D"/>
    <w:rsid w:val="002D6BC0"/>
    <w:rsid w:val="002E04A0"/>
    <w:rsid w:val="002F46C5"/>
    <w:rsid w:val="00331D9D"/>
    <w:rsid w:val="0033555F"/>
    <w:rsid w:val="003B7F61"/>
    <w:rsid w:val="0049143B"/>
    <w:rsid w:val="004E6D06"/>
    <w:rsid w:val="006A7CA1"/>
    <w:rsid w:val="006C7B36"/>
    <w:rsid w:val="00705FE0"/>
    <w:rsid w:val="007756D5"/>
    <w:rsid w:val="008F5209"/>
    <w:rsid w:val="00A05098"/>
    <w:rsid w:val="00AC5DE2"/>
    <w:rsid w:val="00B54AEE"/>
    <w:rsid w:val="00B621A0"/>
    <w:rsid w:val="00BF366C"/>
    <w:rsid w:val="00C57770"/>
    <w:rsid w:val="00C66646"/>
    <w:rsid w:val="00CA52AE"/>
    <w:rsid w:val="00D031C3"/>
    <w:rsid w:val="00D13D9D"/>
    <w:rsid w:val="00E20E68"/>
    <w:rsid w:val="00F0735F"/>
    <w:rsid w:val="00F17CBE"/>
    <w:rsid w:val="00F87DF5"/>
    <w:rsid w:val="00FC3D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2529C"/>
  <w15:chartTrackingRefBased/>
  <w15:docId w15:val="{CDEF4B1E-1AE7-4CB4-8B54-BC3D8892F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DE2"/>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AC5DE2"/>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IN" w:eastAsia="en-US"/>
      <w14:ligatures w14:val="standardContextual"/>
    </w:rPr>
  </w:style>
  <w:style w:type="paragraph" w:styleId="Heading2">
    <w:name w:val="heading 2"/>
    <w:basedOn w:val="Normal"/>
    <w:next w:val="Normal"/>
    <w:link w:val="Heading2Char"/>
    <w:unhideWhenUsed/>
    <w:qFormat/>
    <w:rsid w:val="00AC5DE2"/>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IN" w:eastAsia="en-US"/>
      <w14:ligatures w14:val="standardContextual"/>
    </w:rPr>
  </w:style>
  <w:style w:type="paragraph" w:styleId="Heading3">
    <w:name w:val="heading 3"/>
    <w:basedOn w:val="Normal"/>
    <w:next w:val="Normal"/>
    <w:link w:val="Heading3Char"/>
    <w:uiPriority w:val="9"/>
    <w:semiHidden/>
    <w:unhideWhenUsed/>
    <w:qFormat/>
    <w:rsid w:val="00AC5DE2"/>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IN" w:eastAsia="en-US"/>
      <w14:ligatures w14:val="standardContextual"/>
    </w:rPr>
  </w:style>
  <w:style w:type="paragraph" w:styleId="Heading4">
    <w:name w:val="heading 4"/>
    <w:basedOn w:val="Normal"/>
    <w:next w:val="Normal"/>
    <w:link w:val="Heading4Char"/>
    <w:uiPriority w:val="9"/>
    <w:semiHidden/>
    <w:unhideWhenUsed/>
    <w:qFormat/>
    <w:rsid w:val="00AC5DE2"/>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val="en-IN" w:eastAsia="en-US"/>
      <w14:ligatures w14:val="standardContextual"/>
    </w:rPr>
  </w:style>
  <w:style w:type="paragraph" w:styleId="Heading5">
    <w:name w:val="heading 5"/>
    <w:basedOn w:val="Normal"/>
    <w:next w:val="Normal"/>
    <w:link w:val="Heading5Char"/>
    <w:uiPriority w:val="9"/>
    <w:semiHidden/>
    <w:unhideWhenUsed/>
    <w:qFormat/>
    <w:rsid w:val="00AC5DE2"/>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val="en-IN" w:eastAsia="en-US"/>
      <w14:ligatures w14:val="standardContextual"/>
    </w:rPr>
  </w:style>
  <w:style w:type="paragraph" w:styleId="Heading6">
    <w:name w:val="heading 6"/>
    <w:basedOn w:val="Normal"/>
    <w:next w:val="Normal"/>
    <w:link w:val="Heading6Char"/>
    <w:uiPriority w:val="9"/>
    <w:semiHidden/>
    <w:unhideWhenUsed/>
    <w:qFormat/>
    <w:rsid w:val="00AC5DE2"/>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val="en-IN" w:eastAsia="en-US"/>
      <w14:ligatures w14:val="standardContextual"/>
    </w:rPr>
  </w:style>
  <w:style w:type="paragraph" w:styleId="Heading7">
    <w:name w:val="heading 7"/>
    <w:basedOn w:val="Normal"/>
    <w:next w:val="Normal"/>
    <w:link w:val="Heading7Char"/>
    <w:uiPriority w:val="9"/>
    <w:semiHidden/>
    <w:unhideWhenUsed/>
    <w:qFormat/>
    <w:rsid w:val="00AC5DE2"/>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val="en-IN" w:eastAsia="en-US"/>
      <w14:ligatures w14:val="standardContextual"/>
    </w:rPr>
  </w:style>
  <w:style w:type="paragraph" w:styleId="Heading8">
    <w:name w:val="heading 8"/>
    <w:basedOn w:val="Normal"/>
    <w:next w:val="Normal"/>
    <w:link w:val="Heading8Char"/>
    <w:uiPriority w:val="9"/>
    <w:semiHidden/>
    <w:unhideWhenUsed/>
    <w:qFormat/>
    <w:rsid w:val="00AC5DE2"/>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val="en-IN" w:eastAsia="en-US"/>
      <w14:ligatures w14:val="standardContextual"/>
    </w:rPr>
  </w:style>
  <w:style w:type="paragraph" w:styleId="Heading9">
    <w:name w:val="heading 9"/>
    <w:basedOn w:val="Normal"/>
    <w:next w:val="Normal"/>
    <w:link w:val="Heading9Char"/>
    <w:uiPriority w:val="9"/>
    <w:semiHidden/>
    <w:unhideWhenUsed/>
    <w:qFormat/>
    <w:rsid w:val="00AC5DE2"/>
    <w:pPr>
      <w:keepNext/>
      <w:keepLines/>
      <w:spacing w:line="259" w:lineRule="auto"/>
      <w:outlineLvl w:val="8"/>
    </w:pPr>
    <w:rPr>
      <w:rFonts w:asciiTheme="minorHAnsi" w:eastAsiaTheme="majorEastAsia" w:hAnsiTheme="minorHAnsi" w:cstheme="majorBidi"/>
      <w:color w:val="272727" w:themeColor="text1" w:themeTint="D8"/>
      <w:kern w:val="2"/>
      <w:sz w:val="22"/>
      <w:szCs w:val="22"/>
      <w:lang w:val="en-IN"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D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C5D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5D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5D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5D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5D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D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D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DE2"/>
    <w:rPr>
      <w:rFonts w:eastAsiaTheme="majorEastAsia" w:cstheme="majorBidi"/>
      <w:color w:val="272727" w:themeColor="text1" w:themeTint="D8"/>
    </w:rPr>
  </w:style>
  <w:style w:type="paragraph" w:styleId="Title">
    <w:name w:val="Title"/>
    <w:basedOn w:val="Normal"/>
    <w:next w:val="Normal"/>
    <w:link w:val="TitleChar"/>
    <w:uiPriority w:val="10"/>
    <w:qFormat/>
    <w:rsid w:val="00AC5DE2"/>
    <w:pPr>
      <w:spacing w:after="80"/>
      <w:contextualSpacing/>
    </w:pPr>
    <w:rPr>
      <w:rFonts w:asciiTheme="majorHAnsi" w:eastAsiaTheme="majorEastAsia" w:hAnsiTheme="majorHAnsi" w:cstheme="majorBidi"/>
      <w:spacing w:val="-10"/>
      <w:kern w:val="28"/>
      <w:sz w:val="56"/>
      <w:szCs w:val="56"/>
      <w:lang w:val="en-IN" w:eastAsia="en-US"/>
      <w14:ligatures w14:val="standardContextual"/>
    </w:rPr>
  </w:style>
  <w:style w:type="character" w:customStyle="1" w:styleId="TitleChar">
    <w:name w:val="Title Char"/>
    <w:basedOn w:val="DefaultParagraphFont"/>
    <w:link w:val="Title"/>
    <w:uiPriority w:val="10"/>
    <w:rsid w:val="00AC5D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DE2"/>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IN" w:eastAsia="en-US"/>
      <w14:ligatures w14:val="standardContextual"/>
    </w:rPr>
  </w:style>
  <w:style w:type="character" w:customStyle="1" w:styleId="SubtitleChar">
    <w:name w:val="Subtitle Char"/>
    <w:basedOn w:val="DefaultParagraphFont"/>
    <w:link w:val="Subtitle"/>
    <w:uiPriority w:val="11"/>
    <w:rsid w:val="00AC5D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DE2"/>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IN" w:eastAsia="en-US"/>
      <w14:ligatures w14:val="standardContextual"/>
    </w:rPr>
  </w:style>
  <w:style w:type="character" w:customStyle="1" w:styleId="QuoteChar">
    <w:name w:val="Quote Char"/>
    <w:basedOn w:val="DefaultParagraphFont"/>
    <w:link w:val="Quote"/>
    <w:uiPriority w:val="29"/>
    <w:rsid w:val="00AC5DE2"/>
    <w:rPr>
      <w:i/>
      <w:iCs/>
      <w:color w:val="404040" w:themeColor="text1" w:themeTint="BF"/>
    </w:rPr>
  </w:style>
  <w:style w:type="paragraph" w:styleId="ListParagraph">
    <w:name w:val="List Paragraph"/>
    <w:basedOn w:val="Normal"/>
    <w:uiPriority w:val="34"/>
    <w:qFormat/>
    <w:rsid w:val="00AC5DE2"/>
    <w:pPr>
      <w:spacing w:after="160" w:line="259" w:lineRule="auto"/>
      <w:ind w:left="720"/>
      <w:contextualSpacing/>
    </w:pPr>
    <w:rPr>
      <w:rFonts w:asciiTheme="minorHAnsi" w:eastAsiaTheme="minorHAnsi" w:hAnsiTheme="minorHAnsi" w:cstheme="minorBidi"/>
      <w:kern w:val="2"/>
      <w:sz w:val="22"/>
      <w:szCs w:val="22"/>
      <w:lang w:val="en-IN" w:eastAsia="en-US"/>
      <w14:ligatures w14:val="standardContextual"/>
    </w:rPr>
  </w:style>
  <w:style w:type="character" w:styleId="IntenseEmphasis">
    <w:name w:val="Intense Emphasis"/>
    <w:basedOn w:val="DefaultParagraphFont"/>
    <w:uiPriority w:val="21"/>
    <w:qFormat/>
    <w:rsid w:val="00AC5DE2"/>
    <w:rPr>
      <w:i/>
      <w:iCs/>
      <w:color w:val="0F4761" w:themeColor="accent1" w:themeShade="BF"/>
    </w:rPr>
  </w:style>
  <w:style w:type="paragraph" w:styleId="IntenseQuote">
    <w:name w:val="Intense Quote"/>
    <w:basedOn w:val="Normal"/>
    <w:next w:val="Normal"/>
    <w:link w:val="IntenseQuoteChar"/>
    <w:uiPriority w:val="30"/>
    <w:qFormat/>
    <w:rsid w:val="00AC5DE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IN" w:eastAsia="en-US"/>
      <w14:ligatures w14:val="standardContextual"/>
    </w:rPr>
  </w:style>
  <w:style w:type="character" w:customStyle="1" w:styleId="IntenseQuoteChar">
    <w:name w:val="Intense Quote Char"/>
    <w:basedOn w:val="DefaultParagraphFont"/>
    <w:link w:val="IntenseQuote"/>
    <w:uiPriority w:val="30"/>
    <w:rsid w:val="00AC5DE2"/>
    <w:rPr>
      <w:i/>
      <w:iCs/>
      <w:color w:val="0F4761" w:themeColor="accent1" w:themeShade="BF"/>
    </w:rPr>
  </w:style>
  <w:style w:type="character" w:styleId="IntenseReference">
    <w:name w:val="Intense Reference"/>
    <w:basedOn w:val="DefaultParagraphFont"/>
    <w:uiPriority w:val="32"/>
    <w:qFormat/>
    <w:rsid w:val="00AC5DE2"/>
    <w:rPr>
      <w:b/>
      <w:bCs/>
      <w:smallCaps/>
      <w:color w:val="0F4761" w:themeColor="accent1" w:themeShade="BF"/>
      <w:spacing w:val="5"/>
    </w:rPr>
  </w:style>
  <w:style w:type="character" w:styleId="Hyperlink">
    <w:name w:val="Hyperlink"/>
    <w:basedOn w:val="DefaultParagraphFont"/>
    <w:uiPriority w:val="99"/>
    <w:unhideWhenUsed/>
    <w:rsid w:val="00AC5DE2"/>
    <w:rPr>
      <w:color w:val="467886" w:themeColor="hyperlink"/>
      <w:u w:val="single"/>
    </w:rPr>
  </w:style>
  <w:style w:type="paragraph" w:styleId="Header">
    <w:name w:val="header"/>
    <w:basedOn w:val="Normal"/>
    <w:link w:val="HeaderChar"/>
    <w:uiPriority w:val="99"/>
    <w:unhideWhenUsed/>
    <w:rsid w:val="00AC5DE2"/>
    <w:pPr>
      <w:tabs>
        <w:tab w:val="center" w:pos="4513"/>
        <w:tab w:val="right" w:pos="9026"/>
      </w:tabs>
    </w:pPr>
  </w:style>
  <w:style w:type="character" w:customStyle="1" w:styleId="HeaderChar">
    <w:name w:val="Header Char"/>
    <w:basedOn w:val="DefaultParagraphFont"/>
    <w:link w:val="Header"/>
    <w:uiPriority w:val="99"/>
    <w:rsid w:val="00AC5DE2"/>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AC5DE2"/>
    <w:pPr>
      <w:tabs>
        <w:tab w:val="center" w:pos="4513"/>
        <w:tab w:val="right" w:pos="9026"/>
      </w:tabs>
    </w:pPr>
  </w:style>
  <w:style w:type="character" w:customStyle="1" w:styleId="FooterChar">
    <w:name w:val="Footer Char"/>
    <w:basedOn w:val="DefaultParagraphFont"/>
    <w:link w:val="Footer"/>
    <w:uiPriority w:val="99"/>
    <w:rsid w:val="00AC5DE2"/>
    <w:rPr>
      <w:rFonts w:ascii="Times New Roman" w:eastAsia="Times New Roman" w:hAnsi="Times New Roman" w:cs="Times New Roman"/>
      <w:kern w:val="0"/>
      <w:sz w:val="20"/>
      <w:szCs w:val="20"/>
      <w:lang w:val="en-GB" w:eastAsia="en-GB"/>
      <w14:ligatures w14:val="none"/>
    </w:rPr>
  </w:style>
  <w:style w:type="character" w:styleId="FollowedHyperlink">
    <w:name w:val="FollowedHyperlink"/>
    <w:basedOn w:val="DefaultParagraphFont"/>
    <w:uiPriority w:val="99"/>
    <w:semiHidden/>
    <w:unhideWhenUsed/>
    <w:rsid w:val="00F87D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ulturalatlas.sbs.com.au/british-culture/british-culture-communication" TargetMode="External"/><Relationship Id="rId13" Type="http://schemas.openxmlformats.org/officeDocument/2006/relationships/hyperlink" Target="https://urn.fi/URN:NBN:fi:amk-2025060118874" TargetMode="External"/><Relationship Id="rId18" Type="http://schemas.openxmlformats.org/officeDocument/2006/relationships/hyperlink" Target="https://medium.com/@lauravallsalvarez/power-distance-and-decision-making-in-south-korea-how-hierarchy-shapes-business-culture-a390f11f2008"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culturalatlas.sbs.com.au/south-korean-culture/south-korean-culture-communication" TargetMode="External"/><Relationship Id="rId12" Type="http://schemas.openxmlformats.org/officeDocument/2006/relationships/hyperlink" Target="https://docs.nrel.gov/docs/fy24osti/90525.pdf" TargetMode="External"/><Relationship Id="rId17" Type="http://schemas.openxmlformats.org/officeDocument/2006/relationships/hyperlink" Target="https://www.gov.uk/government/publications/cooperation-on-energy-security-and-the-clean-energy-transition-uk-republic-of-korea-partnership/memorandum-of-understanding-between-the-united-kingdom-and-the-republic-of-korea-concerning-cooperation-on-offshore-wind-energy" TargetMode="External"/><Relationship Id="rId2" Type="http://schemas.openxmlformats.org/officeDocument/2006/relationships/settings" Target="settings.xml"/><Relationship Id="rId16" Type="http://schemas.openxmlformats.org/officeDocument/2006/relationships/hyperlink" Target="https://www.gov.uk/government/publications/cooperation-on-energy-security-and-the-clean-energy-transition-uk-republic-of-korea-partnership/clean-energy-partnership-between-the-united-kingdom-and-the-republic-of-korea"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commisceo-global.com/articles/what-is-the-british-communication-style/" TargetMode="External"/><Relationship Id="rId11" Type="http://schemas.openxmlformats.org/officeDocument/2006/relationships/hyperlink" Target="https://www.nortonrosefulbright.com/en/knowledge/publications/faee407b/global-offshore-wind-south-korea" TargetMode="External"/><Relationship Id="rId5" Type="http://schemas.openxmlformats.org/officeDocument/2006/relationships/endnotes" Target="endnotes.xml"/><Relationship Id="rId15" Type="http://schemas.openxmlformats.org/officeDocument/2006/relationships/hyperlink" Target="https://raeng.org.uk/media/zbnnmijm/report-harnessing-offshore-wind-opportunities-for-uk-sk-collaborations.pdf" TargetMode="External"/><Relationship Id="rId10" Type="http://schemas.openxmlformats.org/officeDocument/2006/relationships/hyperlink" Target="https://www.iea.org/reports/world-energy-outlook-2024"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link.springer.com/article/10.1057/s41267-025-00775-1" TargetMode="External"/><Relationship Id="rId14" Type="http://schemas.openxmlformats.org/officeDocument/2006/relationships/hyperlink" Target="https://doi.org/10.1177/10591478241265481"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12</Pages>
  <Words>3511</Words>
  <Characters>20014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Rajwinder</dc:creator>
  <cp:keywords/>
  <dc:description/>
  <cp:lastModifiedBy>Rajdeep Kaur</cp:lastModifiedBy>
  <cp:revision>17</cp:revision>
  <dcterms:created xsi:type="dcterms:W3CDTF">2025-11-11T23:47:00Z</dcterms:created>
  <dcterms:modified xsi:type="dcterms:W3CDTF">2025-11-15T20:52:00Z</dcterms:modified>
</cp:coreProperties>
</file>