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2">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3">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5">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6">
      <w:pPr>
        <w:spacing w:before="200"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7">
      <w:pPr>
        <w:spacing w:before="20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Strategic Management and Sustainability: A Strategy Formulation Plan for BMW in the Changing Automotive Industry</w:t>
      </w:r>
    </w:p>
    <w:p w:rsidR="00000000" w:rsidDel="00000000" w:rsidP="00000000" w:rsidRDefault="00000000" w:rsidRPr="00000000" w14:paraId="00000008">
      <w:pPr>
        <w:spacing w:before="200" w:line="360" w:lineRule="auto"/>
        <w:jc w:val="center"/>
        <w:rPr>
          <w:rFonts w:ascii="Times New Roman" w:cs="Times New Roman" w:eastAsia="Times New Roman" w:hAnsi="Times New Roman"/>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A">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B">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C">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D">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E">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F">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0">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1">
      <w:pPr>
        <w:pStyle w:val="Heading1"/>
        <w:jc w:val="center"/>
        <w:rPr/>
      </w:pPr>
      <w:bookmarkStart w:colFirst="0" w:colLast="0" w:name="_heading=h.t6a3yvlcr81q" w:id="0"/>
      <w:bookmarkEnd w:id="0"/>
      <w:r w:rsidDel="00000000" w:rsidR="00000000" w:rsidRPr="00000000">
        <w:rPr>
          <w:rtl w:val="0"/>
        </w:rPr>
        <w:t xml:space="preserve">Executive Summary</w:t>
      </w:r>
    </w:p>
    <w:p w:rsidR="00000000" w:rsidDel="00000000" w:rsidP="00000000" w:rsidRDefault="00000000" w:rsidRPr="00000000" w14:paraId="0000001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intentional position in the worldwide automotive industry is assessed in this report amid transformation existence driven by electric vehicles, artificial intelligence, autonomous driving, and sustainable industrial development (BMW Group, 2025). BMW’s premium marketplace position is reinforced by its sturdy brand standing, manufacturing expertise, and innovation competencies. But, tactical change is obligatory due to modest pressures and industry disturbance. Important challenges and opportunities are recognised through the examination, and a </w:t>
      </w:r>
      <w:r w:rsidDel="00000000" w:rsidR="00000000" w:rsidRPr="00000000">
        <w:rPr>
          <w:rFonts w:ascii="Times New Roman" w:cs="Times New Roman" w:eastAsia="Times New Roman" w:hAnsi="Times New Roman"/>
          <w:b w:val="1"/>
          <w:bCs w:val="1"/>
          <w:sz w:val="24"/>
          <w:szCs w:val="24"/>
          <w:rtl w:val="0"/>
        </w:rPr>
        <w:t xml:space="preserve">Digital-Electric Premium Mobility Ecosystem</w:t>
      </w:r>
      <w:r w:rsidDel="00000000" w:rsidR="00000000" w:rsidRPr="00000000">
        <w:rPr>
          <w:rFonts w:ascii="Times New Roman" w:cs="Times New Roman" w:eastAsia="Times New Roman" w:hAnsi="Times New Roman"/>
          <w:sz w:val="24"/>
          <w:szCs w:val="24"/>
          <w:rtl w:val="0"/>
        </w:rPr>
        <w:t xml:space="preserve"> Approach is recommended to improve sustainability and safeguard long-term competitiveness.</w:t>
      </w:r>
    </w:p>
    <w:p w:rsidR="00000000" w:rsidDel="00000000" w:rsidP="00000000" w:rsidRDefault="00000000" w:rsidRPr="00000000" w14:paraId="00000013">
      <w:pPr>
        <w:spacing w:before="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before="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before="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1081059094"/>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t6a3yvlcr81q">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qcylwi9yb89x">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lvwyyhi4dn5d">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Overview and Background of BMW</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8c59cmzvodm">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BMW’s Strategic Intent</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we9m7mlyk66s">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3.1 Vision and Mission</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m566tdjkbj8t">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3.2 Strategic Objectives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uh0tefvmnkok">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 BMW Current Performance Analysis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2fuip2gkobmi">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4.1 Financial Performance</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bmbe2j8zzvpd">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4.2 EV and Sustainability Performance</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1yofzf3angod">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4.3 Competitive Performance</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x35zi03gxdf3">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Strategy Analysis: BMW Competitive Environment</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zcq6ohhwyx5o">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5.1 External Environmental Audit: PESTEL Analysis</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tgno2jco8yz">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5.2 Internal Environmental Audit</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io8ldvdokw6d">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SWOT Analysis:</w:t>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ae8q5q18gebz">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VRIO Analysis:</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eutz1qcjphph">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Value Chain Analysis</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hvz8lmc9lasu">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6. Strategy Formulation: Recommended Future Strategy</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hvancj4cyy5n">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7. Conclusion and Recommendations</w:t>
              <w:tab/>
              <w:t xml:space="preserve">12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timx3d8qauy8">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 List</w:t>
              <w:tab/>
              <w:t xml:space="preserve">14</w:t>
            </w:r>
          </w:hyperlink>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qcylwi9yb89x" w:id="1"/>
      <w:bookmarkEnd w:id="1"/>
      <w:r w:rsidDel="00000000" w:rsidR="00000000" w:rsidRPr="00000000">
        <w:rPr>
          <w:rtl w:val="0"/>
        </w:rPr>
        <w:t xml:space="preserve">1. Introduction:</w:t>
      </w:r>
    </w:p>
    <w:p w:rsidR="00000000" w:rsidDel="00000000" w:rsidP="00000000" w:rsidRDefault="00000000" w:rsidRPr="00000000" w14:paraId="0000002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Noteworthy transformation is actuality practiced by the automotive industry, driven by electrification, digitalisation, sustainability supplies, and swelling global competition. BMW Group, which originated in 1916, is recognised as a principal premium automobile builder through the blend of engineering excellence, innovation, and robust brand value (BMW Group, 2025). However, planned contests are present, created by opposition from Tesla and Chinese electric vehicle manufacturers, as well as by supervisory pressures and moving client potentials. In this report, BMW’s current strategic position is analysed through conservation and internal audits, with PESTEL, SWOT, VRIO, and value chain examination. A Digital-Electric Premium Mobility Ecosystem Strategy is suggested to remain approved to support BMW’s long-standing keenness. </w:t>
      </w:r>
    </w:p>
    <w:p w:rsidR="00000000" w:rsidDel="00000000" w:rsidP="00000000" w:rsidRDefault="00000000" w:rsidRPr="00000000" w14:paraId="0000002F">
      <w:pPr>
        <w:pStyle w:val="Heading1"/>
        <w:rPr/>
      </w:pPr>
      <w:bookmarkStart w:colFirst="0" w:colLast="0" w:name="_heading=h.lvwyyhi4dn5d" w:id="2"/>
      <w:bookmarkEnd w:id="2"/>
      <w:r w:rsidDel="00000000" w:rsidR="00000000" w:rsidRPr="00000000">
        <w:rPr>
          <w:rtl w:val="0"/>
        </w:rPr>
        <w:t xml:space="preserve">2. Overview and Background of BMW</w:t>
      </w:r>
    </w:p>
    <w:p w:rsidR="00000000" w:rsidDel="00000000" w:rsidP="00000000" w:rsidRDefault="00000000" w:rsidRPr="00000000" w14:paraId="0000003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BMW Group remains one of the world's foremost premium automobile builders, founded in 1916 and headquartered in Munich, Germany  (BMW Group, 2025). The company offers luxury vehicles, motorcycles and mobility services under the BMW, MINI, Rolls-Royce and BMW Motorrad brands. The first production model of the Neue Klasse, the BMW iX3, was unveiled in September 2025, with a WLTP range of 805 km, 400 kW charging volume and progressive “Heart of Joy” technology. BMW's planned goals are to preserve technological leadership, maintainable growth, premium brand worth and client loyalty (BMW Group, 2025).</w:t>
      </w:r>
    </w:p>
    <w:p w:rsidR="00000000" w:rsidDel="00000000" w:rsidP="00000000" w:rsidRDefault="00000000" w:rsidRPr="00000000" w14:paraId="0000003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BMW Group's product portfolio comprises premium cars, motorcycles and mobility amenities under the BMW, MINI, Rolls-Royce Motor Cars and BMW Motorrad brands. The company supports expansion and reserve upkeep at every stage of the value chain, manufacture and product usage. It is expanding its electric vehicle collection with the BMW i4, BMW iX and the BMW iX3 of the Neue Klasse, to be revealed in 2025 and the BMW i3 Sedan in 2026. BMW's strengths in its struggle with Mercedes-Benz, Audi, Porsche and Tesla are premium engineering, novelty, digital facilities and brand status (BMW Group, 2024).</w:t>
      </w:r>
    </w:p>
    <w:p w:rsidR="00000000" w:rsidDel="00000000" w:rsidP="00000000" w:rsidRDefault="00000000" w:rsidRPr="00000000" w14:paraId="00000032">
      <w:pPr>
        <w:pStyle w:val="Heading1"/>
        <w:rPr/>
      </w:pPr>
      <w:bookmarkStart w:colFirst="0" w:colLast="0" w:name="_heading=h.8c59cmzvodm" w:id="3"/>
      <w:bookmarkEnd w:id="3"/>
      <w:r w:rsidDel="00000000" w:rsidR="00000000" w:rsidRPr="00000000">
        <w:rPr>
          <w:rtl w:val="0"/>
        </w:rPr>
        <w:t xml:space="preserve">3. BMW’s Strategic Intent </w:t>
      </w:r>
    </w:p>
    <w:p w:rsidR="00000000" w:rsidDel="00000000" w:rsidP="00000000" w:rsidRDefault="00000000" w:rsidRPr="00000000" w14:paraId="00000033">
      <w:pPr>
        <w:pStyle w:val="Heading2"/>
        <w:rPr/>
      </w:pPr>
      <w:bookmarkStart w:colFirst="0" w:colLast="0" w:name="_heading=h.we9m7mlyk66s" w:id="4"/>
      <w:bookmarkEnd w:id="4"/>
      <w:r w:rsidDel="00000000" w:rsidR="00000000" w:rsidRPr="00000000">
        <w:rPr>
          <w:rtl w:val="0"/>
        </w:rPr>
        <w:t xml:space="preserve">3.1 Vision and Mission</w:t>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vision and mission remain built on a blend of sustainable premium mobility, electrification, digital revolution and environmental responsibility. For over 100 years, the company has placed innovation, CO₂ emission reduction, the use of renewable energy, the round budget and a responsible supply chain at the heart of its approach (BMW Group, 2024). The 2025 BMW iX3 is forward low-carbon mobility through fossil-free manufacture at the Debrecen plant in Hungary. This approach has further strengthened BMW’s aptitude to cope with worldwide rivalry, altering customer demands and controlling pressures (Bohnsack et al., 2022).</w:t>
      </w:r>
    </w:p>
    <w:p w:rsidR="00000000" w:rsidDel="00000000" w:rsidP="00000000" w:rsidRDefault="00000000" w:rsidRPr="00000000" w14:paraId="00000035">
      <w:pPr>
        <w:pStyle w:val="Heading2"/>
        <w:rPr/>
      </w:pPr>
      <w:bookmarkStart w:colFirst="0" w:colLast="0" w:name="_heading=h.m566tdjkbj8t" w:id="5"/>
      <w:bookmarkEnd w:id="5"/>
      <w:r w:rsidDel="00000000" w:rsidR="00000000" w:rsidRPr="00000000">
        <w:rPr>
          <w:rtl w:val="0"/>
        </w:rPr>
        <w:t xml:space="preserve">3.2 Strategic Objectives</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strategic objective remains to uphold sustainable growth, technological leadership and an inexpensive location in the premium marketplace (Hossain et.al., 2025). Toward this end, the company is capitalising on the increase of electric vehicles, cumulative resource effectiveness, artificial intelligence, motorised expertise and the growth of a blockchain-based digital supply chain. But, in the face of race from Tesla and Chinese EV builders, high manufacturing costs, supply chain disruptions and geopolitical risks, BMW is hunting a strategy of fast novelty, organisational version, sustainable supply chain and fast product growth, which safeguards long-term modest benefit (Hossain et.al., 2025).</w:t>
      </w:r>
    </w:p>
    <w:p w:rsidR="00000000" w:rsidDel="00000000" w:rsidP="00000000" w:rsidRDefault="00000000" w:rsidRPr="00000000" w14:paraId="00000037">
      <w:pPr>
        <w:pStyle w:val="Heading1"/>
        <w:rPr/>
      </w:pPr>
      <w:bookmarkStart w:colFirst="0" w:colLast="0" w:name="_heading=h.uh0tefvmnkok" w:id="6"/>
      <w:bookmarkEnd w:id="6"/>
      <w:r w:rsidDel="00000000" w:rsidR="00000000" w:rsidRPr="00000000">
        <w:rPr>
          <w:rtl w:val="0"/>
        </w:rPr>
        <w:t xml:space="preserve">4. BMW Current Performance Analysis </w:t>
      </w:r>
    </w:p>
    <w:p w:rsidR="00000000" w:rsidDel="00000000" w:rsidP="00000000" w:rsidRDefault="00000000" w:rsidRPr="00000000" w14:paraId="00000038">
      <w:pPr>
        <w:pStyle w:val="Heading2"/>
        <w:rPr/>
      </w:pPr>
      <w:bookmarkStart w:colFirst="0" w:colLast="0" w:name="_heading=h.2fuip2gkobmi" w:id="7"/>
      <w:bookmarkEnd w:id="7"/>
      <w:r w:rsidDel="00000000" w:rsidR="00000000" w:rsidRPr="00000000">
        <w:rPr>
          <w:rtl w:val="0"/>
        </w:rPr>
        <w:t xml:space="preserve">4.1 Financial Performance</w:t>
      </w:r>
    </w:p>
    <w:p w:rsidR="00000000" w:rsidDel="00000000" w:rsidP="00000000" w:rsidRDefault="00000000" w:rsidRPr="00000000" w14:paraId="0000003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BMW Group's financial performance reflects a premium valuation policy, strong global brands and an expanded commercial model. Notwithstanding a slight failure in transport in 2024 and an EBIT margin of 6.3% in the Automotive segment, it met the revised 6–7% target; the long-term target of 8–10% remains unaffected (BMW Group, 2024). In the similar year, research, growth and strategic savings reached their highest level, generating around €5 billion in free cash flow, which additional wired BMW's keenness in electric vehicles, battery innovation, and digital transformation (BMW Group, 2024).</w:t>
      </w:r>
    </w:p>
    <w:p w:rsidR="00000000" w:rsidDel="00000000" w:rsidP="00000000" w:rsidRDefault="00000000" w:rsidRPr="00000000" w14:paraId="0000003A">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3835400"/>
            <wp:effectExtent b="25400" l="25400" r="25400" t="254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8354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B">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1: BMW i Series Electric Vehicle Deliveries Growth (2014 to 2024) </w:t>
      </w:r>
    </w:p>
    <w:p w:rsidR="00000000" w:rsidDel="00000000" w:rsidP="00000000" w:rsidRDefault="00000000" w:rsidRPr="00000000" w14:paraId="0000003C">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(Source: Statista, 2025)</w:t>
      </w:r>
    </w:p>
    <w:p w:rsidR="00000000" w:rsidDel="00000000" w:rsidP="00000000" w:rsidRDefault="00000000" w:rsidRPr="00000000" w14:paraId="0000003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figure demonstrates BMW Group’s growing electric vehicle sales, with BMW i series distributions cumulative meaningfully from 17,793 units in 2014 to 38,401 units in 2024, contempt marketplace fluctuations (Statista, 2025). This growth highlights BMW’s strategic investment in electrification and supports its financial sustainability purposes by consolidating future income opportunities, premium alignment, and keenness in the altering automotive industry.</w:t>
      </w:r>
    </w:p>
    <w:p w:rsidR="00000000" w:rsidDel="00000000" w:rsidP="00000000" w:rsidRDefault="00000000" w:rsidRPr="00000000" w14:paraId="0000003E">
      <w:pPr>
        <w:pStyle w:val="Heading2"/>
        <w:rPr/>
      </w:pPr>
      <w:bookmarkStart w:colFirst="0" w:colLast="0" w:name="_heading=h.bmbe2j8zzvpd" w:id="8"/>
      <w:bookmarkEnd w:id="8"/>
      <w:r w:rsidDel="00000000" w:rsidR="00000000" w:rsidRPr="00000000">
        <w:rPr>
          <w:rtl w:val="0"/>
        </w:rPr>
        <w:t xml:space="preserve">4.2 EV and Sustainability Performance</w:t>
      </w:r>
    </w:p>
    <w:p w:rsidR="00000000" w:rsidDel="00000000" w:rsidP="00000000" w:rsidRDefault="00000000" w:rsidRPr="00000000" w14:paraId="0000003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is making significant progress in the electric vehicle sector with the BMW i4, BMW iX and BMW i5 models (BMW Group, 2024). In 2024, 17.4% of the company’s total deliveries were fully electric vehicles, representing the upward trajectory of its electrification strategy. BMW has reinforced its sustainability agenda over renewable energy, the circular economy and life-cycle CO₂ emission reduction (Ramji et.al., 2024). However, confirming substructure, a sustainable supply chain, client satisfaction and fast technological revision remain key circumstances for BMW’s future achievement in the expression of struggle from Tesla and Chinese EV builders.</w:t>
      </w:r>
    </w:p>
    <w:p w:rsidR="00000000" w:rsidDel="00000000" w:rsidP="00000000" w:rsidRDefault="00000000" w:rsidRPr="00000000" w14:paraId="00000040">
      <w:pPr>
        <w:pStyle w:val="Heading2"/>
        <w:rPr/>
      </w:pPr>
      <w:bookmarkStart w:colFirst="0" w:colLast="0" w:name="_heading=h.1yofzf3angod" w:id="9"/>
      <w:bookmarkEnd w:id="9"/>
      <w:r w:rsidDel="00000000" w:rsidR="00000000" w:rsidRPr="00000000">
        <w:rPr>
          <w:rtl w:val="0"/>
        </w:rPr>
        <w:t xml:space="preserve">4.3 Competitive Performance</w:t>
      </w:r>
    </w:p>
    <w:p w:rsidR="00000000" w:rsidDel="00000000" w:rsidP="00000000" w:rsidRDefault="00000000" w:rsidRPr="00000000" w14:paraId="0000004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has recognised itself in the highly competitive premium automobile marketplace through engineering excellence, brilliant driving performance, high-quality products and a strong brand heritage. On the other hand, Tesla has increased affordability through electric vehicles, battery innovations, software-based know-hows and associated services, driving the global transition to maintainable vigor (thestrategyinstitute, 2025). As a consequence, BMW will need to invest and innovate in electric vehicle technology, artificial intelligence and connected mobility amenities to keep up with a fast digital and software-driven industry.</w:t>
      </w:r>
    </w:p>
    <w:p w:rsidR="00000000" w:rsidDel="00000000" w:rsidP="00000000" w:rsidRDefault="00000000" w:rsidRPr="00000000" w14:paraId="00000042">
      <w:pPr>
        <w:pStyle w:val="Heading1"/>
        <w:rPr/>
      </w:pPr>
      <w:bookmarkStart w:colFirst="0" w:colLast="0" w:name="_heading=h.x35zi03gxdf3" w:id="10"/>
      <w:bookmarkEnd w:id="10"/>
      <w:r w:rsidDel="00000000" w:rsidR="00000000" w:rsidRPr="00000000">
        <w:rPr>
          <w:rtl w:val="0"/>
        </w:rPr>
        <w:t xml:space="preserve">5. Strategy Analysis: BMW Competitive Environment </w:t>
      </w:r>
    </w:p>
    <w:p w:rsidR="00000000" w:rsidDel="00000000" w:rsidP="00000000" w:rsidRDefault="00000000" w:rsidRPr="00000000" w14:paraId="00000043">
      <w:pPr>
        <w:pStyle w:val="Heading2"/>
        <w:rPr/>
      </w:pPr>
      <w:bookmarkStart w:colFirst="0" w:colLast="0" w:name="_heading=h.zcq6ohhwyx5o" w:id="11"/>
      <w:bookmarkEnd w:id="11"/>
      <w:r w:rsidDel="00000000" w:rsidR="00000000" w:rsidRPr="00000000">
        <w:rPr>
          <w:rtl w:val="0"/>
        </w:rPr>
        <w:t xml:space="preserve">5.1 External Environmental Audit: PESTEL Analysis</w:t>
      </w:r>
    </w:p>
    <w:tbl>
      <w:tblPr>
        <w:tblStyle w:val="Table1"/>
        <w:tblW w:w="9280.0" w:type="dxa"/>
        <w:jc w:val="left"/>
        <w:tblInd w:w="-10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25"/>
        <w:gridCol w:w="7355"/>
        <w:tblGridChange w:id="0">
          <w:tblGrid>
            <w:gridCol w:w="1925"/>
            <w:gridCol w:w="7355"/>
          </w:tblGrid>
        </w:tblGridChange>
      </w:tblGrid>
      <w:tr>
        <w:trPr>
          <w:cantSplit w:val="0"/>
          <w:trHeight w:val="5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4">
            <w:pPr>
              <w:spacing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PESTEL Factor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5">
            <w:pPr>
              <w:spacing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BMW Environmental Analysis </w:t>
            </w:r>
            <w:r w:rsidDel="00000000" w:rsidR="00000000" w:rsidRPr="00000000">
              <w:rPr>
                <w:rtl w:val="0"/>
              </w:rPr>
            </w:r>
          </w:p>
        </w:tc>
      </w:tr>
      <w:tr>
        <w:trPr>
          <w:cantSplit w:val="0"/>
          <w:trHeight w:val="161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6">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Political Factors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7">
            <w:pPr>
              <w:numPr>
                <w:ilvl w:val="0"/>
                <w:numId w:val="8"/>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 rules remain accelerating BMW’s EV transition, with new cars directing 0 g CO₂/km from 2035, needful major changes (European Commission, 2025). </w:t>
            </w:r>
          </w:p>
          <w:p w:rsidR="00000000" w:rsidDel="00000000" w:rsidP="00000000" w:rsidRDefault="00000000" w:rsidRPr="00000000" w14:paraId="00000048">
            <w:pPr>
              <w:numPr>
                <w:ilvl w:val="0"/>
                <w:numId w:val="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 EV inducements and industrial rules impact BMW’s investment results, battery sourcing policies and industrial locations (IEA, 2024). </w:t>
            </w:r>
          </w:p>
        </w:tc>
      </w:tr>
      <w:tr>
        <w:trPr>
          <w:cantSplit w:val="0"/>
          <w:trHeight w:val="161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9">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Economic Factors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A">
            <w:pPr>
              <w:numPr>
                <w:ilvl w:val="0"/>
                <w:numId w:val="10"/>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Battery material value unpredictability, increases, and higher energy costs upsurge BMW’s production expenditures and decrease EV income margins (BMW Group, 2025).</w:t>
            </w:r>
          </w:p>
          <w:p w:rsidR="00000000" w:rsidDel="00000000" w:rsidP="00000000" w:rsidRDefault="00000000" w:rsidRPr="00000000" w14:paraId="0000004B">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Global economic uncertainty touches premium vehicle demand; though, BMW delivered 2.45 million vehicles in 2024, upholding strong market performance (BMW Group, 2025).</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Social Factors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D">
            <w:pPr>
              <w:numPr>
                <w:ilvl w:val="0"/>
                <w:numId w:val="14"/>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Growing environmental awareness is heartening clients to adopt sustainable vehicles and request lower-emission mobility solutions (IEA, 2024). </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Technological Factors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4F">
            <w:pPr>
              <w:numPr>
                <w:ilvl w:val="0"/>
                <w:numId w:val="9"/>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Global EV acceptance is hurrying, with nearly 14 million electric cars sold in 2023, on behalf of 18% of global car sales (IEA, 2024). </w:t>
            </w:r>
          </w:p>
          <w:p w:rsidR="00000000" w:rsidDel="00000000" w:rsidP="00000000" w:rsidRDefault="00000000" w:rsidRPr="00000000" w14:paraId="00000050">
            <w:pPr>
              <w:numPr>
                <w:ilvl w:val="0"/>
                <w:numId w:val="9"/>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must contest outside traditional builders since Tesla and technology firms lead in AI, software and digital vehicle networks (BMW Group, 2025).</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1">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Environmental Factors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2">
            <w:pPr>
              <w:numPr>
                <w:ilvl w:val="0"/>
                <w:numId w:val="4"/>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Climate change pressures need BMW to decrease manufacturing emissions and improve sustainability during its value chain (European Commission, 2025).</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3">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Legal Factors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4">
            <w:pPr>
              <w:numPr>
                <w:ilvl w:val="0"/>
                <w:numId w:val="12"/>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protection and independent driving lawmaking create tests for BMW’s linked vehicle and AI-based mobility services (BMW Group, 2025).</w:t>
            </w:r>
          </w:p>
        </w:tc>
      </w:tr>
    </w:tbl>
    <w:p w:rsidR="00000000" w:rsidDel="00000000" w:rsidP="00000000" w:rsidRDefault="00000000" w:rsidRPr="00000000" w14:paraId="00000055">
      <w:pPr>
        <w:pStyle w:val="Heading2"/>
        <w:rPr/>
      </w:pPr>
      <w:bookmarkStart w:colFirst="0" w:colLast="0" w:name="_heading=h.tgno2jco8yz" w:id="12"/>
      <w:bookmarkEnd w:id="12"/>
      <w:r w:rsidDel="00000000" w:rsidR="00000000" w:rsidRPr="00000000">
        <w:rPr>
          <w:rtl w:val="0"/>
        </w:rPr>
        <w:t xml:space="preserve">5.2 Internal Environmental Audit </w:t>
      </w:r>
    </w:p>
    <w:p w:rsidR="00000000" w:rsidDel="00000000" w:rsidP="00000000" w:rsidRDefault="00000000" w:rsidRPr="00000000" w14:paraId="00000056">
      <w:pPr>
        <w:pStyle w:val="Heading3"/>
        <w:rPr/>
      </w:pPr>
      <w:bookmarkStart w:colFirst="0" w:colLast="0" w:name="_heading=h.io8ldvdokw6d" w:id="13"/>
      <w:bookmarkEnd w:id="13"/>
      <w:r w:rsidDel="00000000" w:rsidR="00000000" w:rsidRPr="00000000">
        <w:rPr>
          <w:rtl w:val="0"/>
        </w:rPr>
        <w:t xml:space="preserve">SWOT Analysis:</w:t>
      </w:r>
    </w:p>
    <w:tbl>
      <w:tblPr>
        <w:tblStyle w:val="Table2"/>
        <w:tblW w:w="9280.0" w:type="dxa"/>
        <w:jc w:val="left"/>
        <w:tblInd w:w="-10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70"/>
        <w:gridCol w:w="7610"/>
        <w:tblGridChange w:id="0">
          <w:tblGrid>
            <w:gridCol w:w="1670"/>
            <w:gridCol w:w="7610"/>
          </w:tblGrid>
        </w:tblGridChange>
      </w:tblGrid>
      <w:tr>
        <w:trPr>
          <w:cantSplit w:val="0"/>
          <w:trHeight w:val="7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7">
            <w:pPr>
              <w:spacing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SWOT Factor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8">
            <w:pPr>
              <w:spacing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Analysis with Numeric Evidence and Strategic Implications</w:t>
            </w:r>
            <w:r w:rsidDel="00000000" w:rsidR="00000000" w:rsidRPr="00000000">
              <w:rPr>
                <w:rtl w:val="0"/>
              </w:rPr>
            </w:r>
          </w:p>
        </w:tc>
      </w:tr>
      <w:tr>
        <w:trPr>
          <w:cantSplit w:val="0"/>
          <w:trHeight w:val="161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9">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Strengths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A">
            <w:pPr>
              <w:numPr>
                <w:ilvl w:val="0"/>
                <w:numId w:val="11"/>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upheld global premium leadership with 2.45 million vehicles sold in 2024, representing strong brand equity (BMW Group, 2025).</w:t>
            </w:r>
          </w:p>
          <w:p w:rsidR="00000000" w:rsidDel="00000000" w:rsidP="00000000" w:rsidRDefault="00000000" w:rsidRPr="00000000" w14:paraId="0000005B">
            <w:pPr>
              <w:numPr>
                <w:ilvl w:val="0"/>
                <w:numId w:val="1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realised 426,536 BEV transfers in 2024, representing engineering capability and rising electric innovation (BMW Group, 2025).</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Weaknesses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D">
            <w:pPr>
              <w:numPr>
                <w:ilvl w:val="0"/>
                <w:numId w:val="3"/>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Premium engineering makes higher production costs, snowballing industrial costs associated with mass-market EV competitors (Cresti et al., 2025).</w:t>
            </w:r>
          </w:p>
          <w:p w:rsidR="00000000" w:rsidDel="00000000" w:rsidP="00000000" w:rsidRDefault="00000000" w:rsidRPr="00000000" w14:paraId="0000005E">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EV transition remains interesting as completely electric vehicles signified only 17.4% of 2024 deliveries (BMW Group, 2025).</w:t>
            </w:r>
          </w:p>
        </w:tc>
      </w:tr>
      <w:tr>
        <w:trPr>
          <w:cantSplit w:val="0"/>
          <w:trHeight w:val="161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F">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Opportunities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0">
            <w:pPr>
              <w:numPr>
                <w:ilvl w:val="0"/>
                <w:numId w:val="5"/>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European EV acceptance is increasing, with battery-electric demand secondary to BMW’s electric flexibility development chances (Jung et al., 2023).</w:t>
            </w:r>
          </w:p>
          <w:p w:rsidR="00000000" w:rsidDel="00000000" w:rsidP="00000000" w:rsidRDefault="00000000" w:rsidRPr="00000000" w14:paraId="00000061">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services and software vehicles make chances for recurring incomes beyond old-style vehicle sales models (De Vincenzi et al., 2024).</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Threats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3">
            <w:pPr>
              <w:numPr>
                <w:ilvl w:val="0"/>
                <w:numId w:val="6"/>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and Chinese EV builders increase modest pressure finished progressive technology and lower-cost electric vehicles (Cresti et al., 2025).</w:t>
            </w:r>
          </w:p>
          <w:p w:rsidR="00000000" w:rsidDel="00000000" w:rsidP="00000000" w:rsidRDefault="00000000" w:rsidRPr="00000000" w14:paraId="00000064">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Battery supply risks continue important since Europe be contingent heavily on introduced serious materials and cells (Barman et al., 2023).</w:t>
            </w:r>
          </w:p>
        </w:tc>
      </w:tr>
    </w:tbl>
    <w:p w:rsidR="00000000" w:rsidDel="00000000" w:rsidP="00000000" w:rsidRDefault="00000000" w:rsidRPr="00000000" w14:paraId="00000065">
      <w:pPr>
        <w:pStyle w:val="Heading3"/>
        <w:rPr/>
      </w:pPr>
      <w:bookmarkStart w:colFirst="0" w:colLast="0" w:name="_heading=h.9ay6exukwl3c" w:id="14"/>
      <w:bookmarkEnd w:id="14"/>
      <w:r w:rsidDel="00000000" w:rsidR="00000000" w:rsidRPr="00000000">
        <w:rPr>
          <w:rtl w:val="0"/>
        </w:rPr>
        <w:t xml:space="preserve">VRIO Analysis:</w:t>
      </w:r>
    </w:p>
    <w:p w:rsidR="00000000" w:rsidDel="00000000" w:rsidP="00000000" w:rsidRDefault="00000000" w:rsidRPr="00000000" w14:paraId="00000066">
      <w:pPr>
        <w:spacing w:after="80" w:before="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3962400"/>
            <wp:effectExtent b="25400" l="25400" r="25400" t="254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9624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7">
      <w:pPr>
        <w:spacing w:after="80" w:before="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2: VRIO Analysis</w:t>
      </w:r>
    </w:p>
    <w:p w:rsidR="00000000" w:rsidDel="00000000" w:rsidP="00000000" w:rsidRDefault="00000000" w:rsidRPr="00000000" w14:paraId="00000068">
      <w:pPr>
        <w:spacing w:after="80" w:before="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(Source: Messineo, 2024)</w:t>
      </w:r>
    </w:p>
    <w:p w:rsidR="00000000" w:rsidDel="00000000" w:rsidP="00000000" w:rsidRDefault="00000000" w:rsidRPr="00000000" w14:paraId="0000006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VRIO (Value, Rarity, Imitability and Organisation) outline assists BMW in identifying strategic capitals that make sustainable modest benefits (Messineo, 2024). Assessing worth, rarity, imitability and organisational capability highlights the rank of BMW’s brand standing, engineering know-how, EV technology and industrial network in emerging a fruitful sustainability-focused strategy.</w:t>
      </w:r>
    </w:p>
    <w:sdt>
      <w:sdtPr>
        <w:lock w:val="contentLocked"/>
        <w:id w:val="255852909"/>
        <w:tag w:val="goog_rdk_0"/>
      </w:sdtPr>
      <w:sdtContent>
        <w:tbl>
          <w:tblPr>
            <w:tblStyle w:val="Table3"/>
            <w:tblW w:w="9280.0" w:type="dxa"/>
            <w:jc w:val="left"/>
            <w:tblInd w:w="-10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95"/>
            <w:gridCol w:w="7085"/>
            <w:tblGridChange w:id="0">
              <w:tblGrid>
                <w:gridCol w:w="2195"/>
                <w:gridCol w:w="7085"/>
              </w:tblGrid>
            </w:tblGridChange>
          </w:tblGrid>
          <w:tr>
            <w:trPr>
              <w:cantSplit w:val="0"/>
              <w:trHeight w:val="5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A">
                <w:pPr>
                  <w:spacing w:after="80"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Resource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B">
                <w:pPr>
                  <w:spacing w:after="80"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Strategic Value (VRIO Assessment)</w:t>
                </w:r>
                <w:r w:rsidDel="00000000" w:rsidR="00000000" w:rsidRPr="00000000">
                  <w:rPr>
                    <w:rtl w:val="0"/>
                  </w:rPr>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C">
                <w:pPr>
                  <w:spacing w:after="8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Brand reputation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D">
                <w:pPr>
                  <w:numPr>
                    <w:ilvl w:val="0"/>
                    <w:numId w:val="7"/>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premium brand makes strong client loyalty and pricing power, secondary sustainable modest benefit. </w:t>
                </w:r>
              </w:p>
              <w:p w:rsidR="00000000" w:rsidDel="00000000" w:rsidP="00000000" w:rsidRDefault="00000000" w:rsidRPr="00000000" w14:paraId="0000006E">
                <w:pPr>
                  <w:numPr>
                    <w:ilvl w:val="0"/>
                    <w:numId w:val="7"/>
                  </w:numPr>
                  <w:spacing w:after="8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continued as the worldwide premium vehicle leader with 2.45 million deliveries in 2024 (BMW Group, 2025).</w:t>
                </w:r>
              </w:p>
            </w:tc>
          </w:tr>
          <w:tr>
            <w:trPr>
              <w:cantSplit w:val="0"/>
              <w:trHeight w:val="134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F">
                <w:pPr>
                  <w:spacing w:after="8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Engineering capability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0">
                <w:pPr>
                  <w:numPr>
                    <w:ilvl w:val="0"/>
                    <w:numId w:val="13"/>
                  </w:numPr>
                  <w:spacing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Progressive engineering know-how in presentation, quality and vehicle novelty provides modest benefit against automotive rivals. </w:t>
                </w:r>
              </w:p>
              <w:p w:rsidR="00000000" w:rsidDel="00000000" w:rsidP="00000000" w:rsidRDefault="00000000" w:rsidRPr="00000000" w14:paraId="00000071">
                <w:pPr>
                  <w:numPr>
                    <w:ilvl w:val="0"/>
                    <w:numId w:val="13"/>
                  </w:numPr>
                  <w:spacing w:after="8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EV growth attained 426,536 fully electric deliveries in 2024 (BMW Group, 2025).</w:t>
                </w:r>
              </w:p>
            </w:tc>
          </w:tr>
          <w:tr>
            <w:trPr>
              <w:cantSplit w:val="0"/>
              <w:trHeight w:val="10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2">
                <w:pPr>
                  <w:spacing w:after="8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Global manufacturing network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3">
                <w:pPr>
                  <w:numPr>
                    <w:ilvl w:val="0"/>
                    <w:numId w:val="2"/>
                  </w:numPr>
                  <w:spacing w:after="8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33 manufacturing sites across 16 countries deliver valuable flexibility and working flexibility, making good capability (BMW Group, 2025).</w:t>
                </w:r>
              </w:p>
            </w:tc>
          </w:tr>
          <w:tr>
            <w:trPr>
              <w:cantSplit w:val="0"/>
              <w:trHeight w:val="10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4">
                <w:pPr>
                  <w:spacing w:after="8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EV technology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5">
                <w:pPr>
                  <w:numPr>
                    <w:ilvl w:val="0"/>
                    <w:numId w:val="1"/>
                  </w:numPr>
                  <w:spacing w:after="8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Battery innovation and electric platforms signify emerging capabilities that might develop future sustainable compensations (Cresti et al., 2025).</w:t>
                </w:r>
              </w:p>
            </w:tc>
          </w:tr>
        </w:tbl>
      </w:sdtContent>
    </w:sdt>
    <w:p w:rsidR="00000000" w:rsidDel="00000000" w:rsidP="00000000" w:rsidRDefault="00000000" w:rsidRPr="00000000" w14:paraId="00000076">
      <w:pPr>
        <w:pStyle w:val="Heading3"/>
        <w:rPr/>
      </w:pPr>
      <w:bookmarkStart w:colFirst="0" w:colLast="0" w:name="_heading=h.eutz1qcjphph" w:id="15"/>
      <w:bookmarkEnd w:id="15"/>
      <w:r w:rsidDel="00000000" w:rsidR="00000000" w:rsidRPr="00000000">
        <w:rPr>
          <w:rtl w:val="0"/>
        </w:rPr>
        <w:t xml:space="preserve">Value Chain Analysis</w:t>
      </w:r>
    </w:p>
    <w:p w:rsidR="00000000" w:rsidDel="00000000" w:rsidP="00000000" w:rsidRDefault="00000000" w:rsidRPr="00000000" w14:paraId="00000077">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value chain management syndicates know-how, innovation, and a premium customer experience to generate a good advantage. Advanced manufacturing arrangements and a global supply chain safeguard the creation of high-quality vehicles, although selling and digital services increase purchaser loyalty  (BMW Group, 2024). The company places specific importance on human rights, ethical business, accountable raw material sourcing and the sustainable management of lithium, nickel, aluminium, copper and natural rubber. Done investigate and, growth, technological innovation, and skilled human resources, BMW upholds a strong good location in the premium car marketplace (BMW Group, 2024).</w:t>
      </w:r>
    </w:p>
    <w:p w:rsidR="00000000" w:rsidDel="00000000" w:rsidP="00000000" w:rsidRDefault="00000000" w:rsidRPr="00000000" w14:paraId="00000078">
      <w:pPr>
        <w:pStyle w:val="Heading1"/>
        <w:rPr/>
      </w:pPr>
      <w:bookmarkStart w:colFirst="0" w:colLast="0" w:name="_heading=h.hvz8lmc9lasu" w:id="16"/>
      <w:bookmarkEnd w:id="16"/>
      <w:r w:rsidDel="00000000" w:rsidR="00000000" w:rsidRPr="00000000">
        <w:rPr>
          <w:rtl w:val="0"/>
        </w:rPr>
        <w:t xml:space="preserve">6. Strategy Formulation: Recommended Future Strategy</w:t>
      </w:r>
    </w:p>
    <w:p w:rsidR="00000000" w:rsidDel="00000000" w:rsidP="00000000" w:rsidRDefault="00000000" w:rsidRPr="00000000" w14:paraId="00000079">
      <w:pPr>
        <w:spacing w:line="360" w:lineRule="auto"/>
        <w:jc w:val="both"/>
        <w:rPr>
          <w:rFonts w:ascii="Times New Roman" w:cs="Times New Roman" w:eastAsia="Times New Roman" w:hAnsi="Times New Roman"/>
          <w:b w:val="1"/>
          <w:bCs w:val="1"/>
          <w:sz w:val="24"/>
          <w:szCs w:val="24"/>
        </w:rPr>
      </w:pPr>
      <w:bookmarkStart w:colFirst="0" w:colLast="0" w:name="_heading=h.wyjjydgqhtsv" w:id="17"/>
      <w:bookmarkEnd w:id="17"/>
      <w:r w:rsidDel="00000000" w:rsidR="00000000" w:rsidRPr="00000000">
        <w:rPr>
          <w:rFonts w:ascii="Times New Roman" w:cs="Times New Roman" w:eastAsia="Times New Roman" w:hAnsi="Times New Roman"/>
          <w:b w:val="1"/>
          <w:bCs w:val="1"/>
          <w:sz w:val="24"/>
          <w:szCs w:val="24"/>
          <w:rtl w:val="0"/>
        </w:rPr>
        <w:t xml:space="preserve">“BMW Digital-Electric Premium Mobility Ecosystem Strategy”</w:t>
      </w:r>
    </w:p>
    <w:p w:rsidR="00000000" w:rsidDel="00000000" w:rsidP="00000000" w:rsidRDefault="00000000" w:rsidRPr="00000000" w14:paraId="000000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must develop a Digital-Electric Premium Mobility Ecosystem Strategy by way of its future plan, with an emphasis on electric mobility, battery innovation, and sustainable vehicle stages  (Demartini et al., 2023). The growth of the BMW i series, battery companies and charging infrastructure is required to tackle the tasks of stricter emissions rules, technology-driven EV rivalry and climate change. The transition toward electric vehicles needs a round of reduced supply chain restructuring and services growth, which will determine long-term decarbonisation and competitiveness (Demartini et al., 2023).</w:t>
      </w:r>
    </w:p>
    <w:p w:rsidR="00000000" w:rsidDel="00000000" w:rsidP="00000000" w:rsidRDefault="00000000" w:rsidRPr="00000000" w14:paraId="0000007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must upsurge its assets in artificial intelligence, autonomous driving skills, connected services and over-the-air software competencies for the growth of software-defined vehicles (SDV). This will allow BMW to transition from a traditional vehicle industry to a person-centric numerical mobility bionetwork (Vincenzi et al., 2024). However, speaking of cybersecurity, data privacy, V2X security and technical difficulties is vital in executing SDV. Then, accepting a circular cheap founded on reuse, repair, remanufacturing and reprocessing in the life cycle organisation of EVs will upsurge modest advantage (Vincenzi et al., 2024).</w:t>
      </w:r>
    </w:p>
    <w:p w:rsidR="00000000" w:rsidDel="00000000" w:rsidP="00000000" w:rsidRDefault="00000000" w:rsidRPr="00000000" w14:paraId="0000007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BMW's ultimate planned importance is to reinforce its site as a dealer of sustainable luxury mobility done circular making, use of renewable energy and recycled materials. Including circular economy philosophies into manufacturing will decrease reliance on inputs, increase conservational recital and uphold a premium sustainability position (Rönkkö et al., 2023). EV battery recycling, closed-loop manufacturing and responsible raw material management are serious for future competitiveness. BMW can attain sustainable, modest benefits by combining brand heritage, digital innovation and ecological accountability (Rönkkö et al., 2023).</w:t>
      </w:r>
    </w:p>
    <w:p w:rsidR="00000000" w:rsidDel="00000000" w:rsidP="00000000" w:rsidRDefault="00000000" w:rsidRPr="00000000" w14:paraId="0000007D">
      <w:pPr>
        <w:pStyle w:val="Heading1"/>
        <w:rPr/>
      </w:pPr>
      <w:bookmarkStart w:colFirst="0" w:colLast="0" w:name="_heading=h.hvancj4cyy5n" w:id="18"/>
      <w:bookmarkEnd w:id="18"/>
      <w:r w:rsidDel="00000000" w:rsidR="00000000" w:rsidRPr="00000000">
        <w:rPr>
          <w:rtl w:val="0"/>
        </w:rPr>
        <w:t xml:space="preserve">7. Conclusion and Recommendations</w:t>
      </w:r>
    </w:p>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demonstrates that the automobile manufacturing industry is experiencing big changes due to electrification, digital transformation, sustainable growth pressures and technology-driven rivalry. BMW’s robust premium brand, engineering know-how, global manufacturing network and innovation competencies are significant assets. Electric vehicles (EVs) are transforming the transportation sector finished battery technology, accusing substructure, AI-based energy management and policy effects (Satpathy et al., 2025). But to face rivalry from Tesla and Chinese EV builders, BMW will be essential to continuously transform into a digital, sustainable and groundbreaking business model.</w:t>
      </w:r>
    </w:p>
    <w:p w:rsidR="00000000" w:rsidDel="00000000" w:rsidP="00000000" w:rsidRDefault="00000000" w:rsidRPr="00000000" w14:paraId="000000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PESTEL, SWOT, VRIO and Value Chain analysis, it is vital for BMW to accept a strong Digital-Electric Transformation Approach. The company must upsurge reserves in electric vehicles, battery technology, accusing substructure and artificial intelligence (BMW Group, 2025). BMW is using AI to recover making competence, customer involvement, vehicle growth and imitation. Then, by strengthening circular manufacturing, renewable energy and a responsible supply chain, BMW will be able to uphold its leadership in sustainable premium mobility (BMW Group, 2025).</w:t>
      </w:r>
    </w:p>
    <w:p w:rsidR="00000000" w:rsidDel="00000000" w:rsidP="00000000" w:rsidRDefault="00000000" w:rsidRPr="00000000" w14:paraId="00000080">
      <w:pPr>
        <w:spacing w:before="200" w:line="360" w:lineRule="auto"/>
        <w:jc w:val="both"/>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1">
      <w:pPr>
        <w:pStyle w:val="Heading1"/>
        <w:rPr/>
      </w:pPr>
      <w:bookmarkStart w:colFirst="0" w:colLast="0" w:name="_heading=h.timx3d8qauy8" w:id="19"/>
      <w:bookmarkEnd w:id="19"/>
      <w:r w:rsidDel="00000000" w:rsidR="00000000" w:rsidRPr="00000000">
        <w:rPr>
          <w:rtl w:val="0"/>
        </w:rPr>
        <w:t xml:space="preserve">Reference List</w:t>
      </w:r>
    </w:p>
    <w:p w:rsidR="00000000" w:rsidDel="00000000" w:rsidP="00000000" w:rsidRDefault="00000000" w:rsidRPr="00000000" w14:paraId="0000008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Barman, P., Dutta, L. and Azzopardi, B. (2023) ‘Electric vehicle battery supply chain and critical materials: a brief survey of state of the art’, IET Conference Proceedings. Available at: https://www.researchgate.net/publication/369947661_Electric_Vehicle_Battery_Supply_Chain_and_Critical_Materials_A_Brief_Survey_of_State_of_the_Art (Accessed: 25 July 2026).</w:t>
      </w:r>
    </w:p>
    <w:p w:rsidR="00000000" w:rsidDel="00000000" w:rsidP="00000000" w:rsidRDefault="00000000" w:rsidRPr="00000000" w14:paraId="00000083">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(2024) BMW Group Report 2024. Available at: https://www.bmwgroup.com/en/report/2024/index.html?pdf-viewer=report(Accessed: 25 July 2026).</w:t>
      </w:r>
    </w:p>
    <w:p w:rsidR="00000000" w:rsidDel="00000000" w:rsidP="00000000" w:rsidRDefault="00000000" w:rsidRPr="00000000" w14:paraId="00000084">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(2024). BMW Group Supply Chain - Due Diligence &amp; Suppliers. [online] www.bmwgroup.com. Available at: https://www.bmwgroup.com/en/sustainability/supply-chain.html [Accessed 25 July 2026].</w:t>
      </w:r>
    </w:p>
    <w:p w:rsidR="00000000" w:rsidDel="00000000" w:rsidP="00000000" w:rsidRDefault="00000000" w:rsidRPr="00000000" w14:paraId="00000085">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(2024). Brands &amp; Business Segments of BMW Group. [online] www.bmwgroup.com. Available at: https://www.bmwgroup.com/en/company/brands-products.html [Accessed 25 July 2026].</w:t>
      </w:r>
    </w:p>
    <w:p w:rsidR="00000000" w:rsidDel="00000000" w:rsidP="00000000" w:rsidRDefault="00000000" w:rsidRPr="00000000" w14:paraId="00000086">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(2025) BMW Group Report 2024: Management Report. Available at: https://www.bmwgroup.com/en/report/2024/management-report/index.html (Accessed: 25 July 2026).</w:t>
      </w:r>
    </w:p>
    <w:p w:rsidR="00000000" w:rsidDel="00000000" w:rsidP="00000000" w:rsidRDefault="00000000" w:rsidRPr="00000000" w14:paraId="00000087">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(2025). Artificial Intelligence at BMW Group. [online] www.bmwgroup.com. Available at: https://www.bmwgroup.com/en/innovation/artificial-intelligence.html [Accessed 25 July 2026].</w:t>
      </w:r>
    </w:p>
    <w:p w:rsidR="00000000" w:rsidDel="00000000" w:rsidP="00000000" w:rsidRDefault="00000000" w:rsidRPr="00000000" w14:paraId="00000088">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(2025). BMW Group History. [online] BMW Group. Available at: https://www.bmwgroup.com/en/company/history.html [Accessed 25 July 2026].</w:t>
      </w:r>
    </w:p>
    <w:p w:rsidR="00000000" w:rsidDel="00000000" w:rsidP="00000000" w:rsidRDefault="00000000" w:rsidRPr="00000000" w14:paraId="00000089">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Cresti, L., Mazzilli, D., Patelli, A., Sbardella, A. and Tacchella, A. (2025) ‘Vulnerabilities and capabilities in the EU Automotive industry: Leveraging Input-Output Analysis and Economic Complexity’, arXiv. Available at: https://arxiv.org/abs/2501.01781 (Accessed: 25 July 2026).</w:t>
      </w:r>
    </w:p>
    <w:p w:rsidR="00000000" w:rsidDel="00000000" w:rsidP="00000000" w:rsidRDefault="00000000" w:rsidRPr="00000000" w14:paraId="0000008A">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 Vincenzi, M., Pesé, M.D., Bodei, C., Brooks, R.R., Hasan, M. and Steinhorst, S. (2024) ‘Contextualizing Security and Privacy of Software-Defined Vehicles: State of the Art and Industry Perspectives’, arXiv. Available at: https://arxiv.org/abs/2411.10612 (Accessed: 25 July 2026).</w:t>
      </w:r>
    </w:p>
    <w:p w:rsidR="00000000" w:rsidDel="00000000" w:rsidP="00000000" w:rsidRDefault="00000000" w:rsidRPr="00000000" w14:paraId="0000008B">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Deloitte (2025) Global Automotive Consumer Study: Automotive industry trends and future mobility. Available at: https://www.deloitte.com/global/en/industries/automotive/perspectives/global-automotive-consumer-study-2025.html (Accessed: 25 July 2026).</w:t>
      </w:r>
    </w:p>
    <w:p w:rsidR="00000000" w:rsidDel="00000000" w:rsidP="00000000" w:rsidRDefault="00000000" w:rsidRPr="00000000" w14:paraId="0000008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Demartini, M., Ferrari, M., Govindan, K. and Tonelli, F. (2023) ‘The transition to electric vehicles and a net zero economy: A model based on circular economy, stakeholder theory, and system thinking approach’, Journal of Cleaner Production, 405, 137031. Available at: https://doi.org/10.1016/j.jclepro.2023.137031 (Accessed: 25 July 2026).</w:t>
      </w:r>
    </w:p>
    <w:p w:rsidR="00000000" w:rsidDel="00000000" w:rsidP="00000000" w:rsidRDefault="00000000" w:rsidRPr="00000000" w14:paraId="0000008D">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European Commission (2025) CO₂ emission performance standards for cars and vans. Available at: https://climate.ec.europa.eu/eu-action/transport-decarbonisation/road-transport/cars-and-vans_en (Accessed: 25 July 2026).</w:t>
      </w:r>
    </w:p>
    <w:p w:rsidR="00000000" w:rsidDel="00000000" w:rsidP="00000000" w:rsidRDefault="00000000" w:rsidRPr="00000000" w14:paraId="0000008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Hossain, A., Hossain, E. and Uddin, N. (2025). BMW-Supply Chain Management System. North American Academic Research, [online] 8(1), pp.115–121. https://www.researchgate.net/publication/389749925_BMW-Supply_Chain_Management_System</w:t>
      </w:r>
    </w:p>
    <w:p w:rsidR="00000000" w:rsidDel="00000000" w:rsidP="00000000" w:rsidRDefault="00000000" w:rsidRPr="00000000" w14:paraId="0000008F">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Inside Tesla’s Blueprint: Strategy, Sustainability, and Competitive Edge. (2025). [online] Thestrategyinstitute.org. Available at: https://www.thestrategyinstitute.org/insights/inside-teslas-blueprint-strategy-sustainability-and-competitive-edge [Accessed 25 July 2026].</w:t>
      </w:r>
    </w:p>
    <w:p w:rsidR="00000000" w:rsidDel="00000000" w:rsidP="00000000" w:rsidRDefault="00000000" w:rsidRPr="00000000" w14:paraId="00000090">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International Energy Agency (IEA) (2024) Global EV Outlook 2024. Paris: International Energy Agency. Available at: https://www.iea.org/reports/global-ev-outlook-2024 (Accessed: 25 July 2026).</w:t>
      </w:r>
    </w:p>
    <w:p w:rsidR="00000000" w:rsidDel="00000000" w:rsidP="00000000" w:rsidRDefault="00000000" w:rsidRPr="00000000" w14:paraId="00000091">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Jung, F., Schröder, M. and Timme, M. (2023) ‘Exponential Adoption of Battery Electric Cars’, arXiv. Available at: https://arxiv.org/abs/2306.16152 (Accessed: 25 July 2026).</w:t>
      </w:r>
    </w:p>
    <w:p w:rsidR="00000000" w:rsidDel="00000000" w:rsidP="00000000" w:rsidRDefault="00000000" w:rsidRPr="00000000" w14:paraId="00000092">
      <w:pPr>
        <w:spacing w:after="8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Messineo, R. (2024). VRIO Analysis: The Framework to Identify Competitive Advantages. [online] ClearPoint Strategy. Available at: https://www.clearpointstrategy.com/blog/vrio-framework [Accessed 25 July 2026].</w:t>
      </w:r>
    </w:p>
    <w:p w:rsidR="00000000" w:rsidDel="00000000" w:rsidP="00000000" w:rsidRDefault="00000000" w:rsidRPr="00000000" w14:paraId="00000093">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Ramji, A., Sperling, D. and Fulton, L. (2024) ‘Sustainable Market Incentives — Lessons from European Feebates for a Zero-Emission Vehicle Future’, Transportation Research Part D: Transport and Environment. Available at: https://doi.org/10.1016/j.trd.2024.104122 (Accessed: 25 July 2026). </w:t>
      </w:r>
    </w:p>
    <w:p w:rsidR="00000000" w:rsidDel="00000000" w:rsidP="00000000" w:rsidRDefault="00000000" w:rsidRPr="00000000" w14:paraId="00000094">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Rönkkö, P., Majava, J., Hyvärinen, T., Oksanen, I., Tervonen, P. and Lassi, U. (2023) ‘The circular economy of electric vehicle batteries: A Finnish case study’, Environment Systems and Decisions, 44, pp.100–113. Available at: https://doi.org/10.1007/s10669-023-09916-z (Accessed: 25 July 2026).</w:t>
      </w:r>
    </w:p>
    <w:p w:rsidR="00000000" w:rsidDel="00000000" w:rsidP="00000000" w:rsidRDefault="00000000" w:rsidRPr="00000000" w14:paraId="00000095">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Satpathy, P.R., Ramachandaramurthy, V.K., Radha Krishnan, T.R. and Padmanaban, S. (2025). Technological innovations and sustainable strategies for advancing electric vehicle performance and market integration. Energy Strategy Reviews, 60, p.101790.https://www.sciencedirect.com/science/article/pii/S2211467X25001531</w:t>
      </w:r>
    </w:p>
    <w:p w:rsidR="00000000" w:rsidDel="00000000" w:rsidP="00000000" w:rsidRDefault="00000000" w:rsidRPr="00000000" w14:paraId="0000009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 (2025). BMW i series: electric car deliveries 2014-2025. [online] Available at: https://www.statista.com/statistics/417011/global-sales-of-bmw-i-electric-vehicles/?srsltid=afmboop5p3jtb0ujiidyuwmjwt5frmntnbskvt7lnucthsdyfegswpn6 [Accessed 25 July 2026].</w:t>
      </w:r>
    </w:p>
    <w:p w:rsidR="00000000" w:rsidDel="00000000" w:rsidP="00000000" w:rsidRDefault="00000000" w:rsidRPr="00000000" w14:paraId="00000097">
      <w:pPr>
        <w:spacing w:before="20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9" w:type="default"/>
      <w:pgSz w:h="15840" w:w="12240"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before="200" w:line="360" w:lineRule="auto"/>
      <w:jc w:val="both"/>
    </w:pPr>
    <w:rPr>
      <w:rFonts w:ascii="Times New Roman" w:cs="Times New Roman" w:eastAsia="Times New Roman" w:hAnsi="Times New Roman"/>
      <w:b w:val="1"/>
      <w:bCs w:val="1"/>
      <w:sz w:val="24"/>
      <w:szCs w:val="24"/>
    </w:rPr>
  </w:style>
  <w:style w:type="paragraph" w:styleId="Heading2">
    <w:name w:val="heading 2"/>
    <w:basedOn w:val="Normal"/>
    <w:next w:val="Normal"/>
    <w:pPr>
      <w:spacing w:before="200" w:line="360" w:lineRule="auto"/>
      <w:jc w:val="both"/>
    </w:pPr>
    <w:rPr>
      <w:rFonts w:ascii="Times New Roman" w:cs="Times New Roman" w:eastAsia="Times New Roman" w:hAnsi="Times New Roman"/>
      <w:b w:val="1"/>
      <w:bCs w:val="1"/>
      <w:sz w:val="24"/>
      <w:szCs w:val="24"/>
    </w:rPr>
  </w:style>
  <w:style w:type="paragraph" w:styleId="Heading3">
    <w:name w:val="heading 3"/>
    <w:basedOn w:val="Normal"/>
    <w:next w:val="Normal"/>
    <w:pPr>
      <w:spacing w:before="200" w:line="360" w:lineRule="auto"/>
      <w:jc w:val="both"/>
    </w:pPr>
    <w:rPr>
      <w:rFonts w:ascii="Times New Roman" w:cs="Times New Roman" w:eastAsia="Times New Roman" w:hAnsi="Times New Roman"/>
      <w:b w:val="1"/>
      <w:bCs w:val="1"/>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St2WRr99tDo+dlOfLOdZg61C9A==">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9a6c4533-42d4-4e8c-890e-1bbd8bca2b5d</vt:lpwstr>
  </property>
</Properties>
</file>