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E8665" w14:textId="62E9D3BB" w:rsidR="00452995" w:rsidRDefault="000B386C">
      <w:pPr>
        <w:spacing w:after="0" w:line="360" w:lineRule="auto"/>
        <w:jc w:val="both"/>
        <w:rPr>
          <w:rFonts w:ascii="Arial" w:hAnsi="Arial" w:cs="Arial"/>
          <w:sz w:val="24"/>
          <w:szCs w:val="24"/>
        </w:rPr>
      </w:pPr>
      <w:r>
        <w:rPr>
          <w:noProof/>
        </w:rPr>
        <w:drawing>
          <wp:inline distT="0" distB="0" distL="0" distR="0" wp14:anchorId="4597DA25" wp14:editId="596BA82D">
            <wp:extent cx="2005700" cy="901700"/>
            <wp:effectExtent l="0" t="0" r="0" b="0"/>
            <wp:docPr id="79074197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36891" cy="915722"/>
                    </a:xfrm>
                    <a:prstGeom prst="rect">
                      <a:avLst/>
                    </a:prstGeom>
                    <a:noFill/>
                    <a:ln>
                      <a:noFill/>
                    </a:ln>
                  </pic:spPr>
                </pic:pic>
              </a:graphicData>
            </a:graphic>
          </wp:inline>
        </w:drawing>
      </w:r>
    </w:p>
    <w:p w14:paraId="650E8666" w14:textId="55990482" w:rsidR="00452995" w:rsidRDefault="00452995">
      <w:pPr>
        <w:spacing w:after="123" w:line="360" w:lineRule="auto"/>
        <w:jc w:val="both"/>
        <w:rPr>
          <w:rFonts w:ascii="Arial" w:hAnsi="Arial" w:cs="Arial"/>
          <w:sz w:val="24"/>
          <w:szCs w:val="24"/>
        </w:rPr>
      </w:pPr>
    </w:p>
    <w:p w14:paraId="650E8667" w14:textId="7934433E" w:rsidR="00452995" w:rsidRDefault="00494ABE">
      <w:pPr>
        <w:spacing w:after="322" w:line="360" w:lineRule="auto"/>
        <w:jc w:val="both"/>
        <w:rPr>
          <w:rFonts w:ascii="Arial" w:hAnsi="Arial" w:cs="Arial"/>
          <w:sz w:val="24"/>
          <w:szCs w:val="24"/>
        </w:rPr>
      </w:pPr>
      <w:r>
        <w:rPr>
          <w:rFonts w:ascii="Arial" w:hAnsi="Arial" w:cs="Arial"/>
          <w:sz w:val="24"/>
          <w:szCs w:val="24"/>
        </w:rPr>
        <w:t xml:space="preserve"> </w:t>
      </w:r>
      <w:r w:rsidR="007E562F">
        <w:rPr>
          <w:rFonts w:ascii="Arial" w:hAnsi="Arial" w:cs="Arial"/>
          <w:sz w:val="24"/>
          <w:szCs w:val="24"/>
        </w:rPr>
        <w:t xml:space="preserve">                       </w:t>
      </w:r>
    </w:p>
    <w:p w14:paraId="1E364DFC" w14:textId="77777777" w:rsidR="001D6818" w:rsidRDefault="007E562F">
      <w:pPr>
        <w:pStyle w:val="Heading3"/>
        <w:spacing w:before="0"/>
        <w:rPr>
          <w:rFonts w:ascii="Arial" w:hAnsi="Arial" w:cs="Arial"/>
        </w:rPr>
      </w:pPr>
      <w:r>
        <w:rPr>
          <w:rFonts w:ascii="Arial" w:hAnsi="Arial" w:cs="Arial"/>
        </w:rPr>
        <w:t xml:space="preserve">              </w:t>
      </w:r>
    </w:p>
    <w:p w14:paraId="3BE48F39" w14:textId="77777777" w:rsidR="001D6818" w:rsidRDefault="001D6818">
      <w:pPr>
        <w:pStyle w:val="Heading3"/>
        <w:spacing w:before="0"/>
        <w:rPr>
          <w:rFonts w:ascii="Arial" w:hAnsi="Arial" w:cs="Arial"/>
        </w:rPr>
      </w:pPr>
    </w:p>
    <w:p w14:paraId="3DB5D447" w14:textId="14033415" w:rsidR="00EE5D48" w:rsidRPr="00EE5D48" w:rsidRDefault="001D6818">
      <w:pPr>
        <w:pStyle w:val="Heading3"/>
        <w:spacing w:before="0"/>
        <w:rPr>
          <w:rFonts w:ascii="Times New Roman" w:eastAsia="Times New Roman" w:hAnsi="Times New Roman" w:cs="Times New Roman"/>
          <w:b/>
          <w:bCs/>
          <w:color w:val="auto"/>
          <w:sz w:val="27"/>
          <w:szCs w:val="27"/>
          <w:lang w:val="en-GB" w:eastAsia="en-GB"/>
        </w:rPr>
      </w:pPr>
      <w:r>
        <w:rPr>
          <w:rFonts w:ascii="Arial" w:hAnsi="Arial" w:cs="Arial"/>
        </w:rPr>
        <w:t xml:space="preserve">              </w:t>
      </w:r>
      <w:r w:rsidR="00EE5D48" w:rsidRPr="00EE5D48">
        <w:rPr>
          <w:rFonts w:ascii="Times New Roman" w:eastAsia="Times New Roman" w:hAnsi="Times New Roman" w:cs="Times New Roman"/>
          <w:b/>
          <w:bCs/>
          <w:color w:val="auto"/>
          <w:sz w:val="27"/>
          <w:szCs w:val="27"/>
          <w:lang w:val="en-GB" w:eastAsia="en-GB"/>
        </w:rPr>
        <w:t>Principles of Health and Social Care Practice</w:t>
      </w:r>
    </w:p>
    <w:p w14:paraId="039D7A38" w14:textId="77777777" w:rsidR="00EE5D48" w:rsidRPr="00EE5D48" w:rsidRDefault="00EE5D48" w:rsidP="00EE5D48">
      <w:pPr>
        <w:spacing w:after="0" w:line="240" w:lineRule="auto"/>
        <w:rPr>
          <w:rFonts w:ascii="Times New Roman" w:eastAsia="Times New Roman" w:hAnsi="Times New Roman" w:cs="Times New Roman"/>
          <w:sz w:val="24"/>
          <w:szCs w:val="24"/>
          <w:lang w:val="en-GB" w:eastAsia="en-GB"/>
        </w:rPr>
      </w:pPr>
    </w:p>
    <w:p w14:paraId="650E8668" w14:textId="717F89B4" w:rsidR="00452995" w:rsidRDefault="00452995">
      <w:pPr>
        <w:spacing w:after="292" w:line="360" w:lineRule="auto"/>
        <w:jc w:val="both"/>
        <w:rPr>
          <w:rFonts w:ascii="Arial" w:hAnsi="Arial" w:cs="Arial"/>
          <w:sz w:val="24"/>
          <w:szCs w:val="24"/>
        </w:rPr>
      </w:pPr>
    </w:p>
    <w:p w14:paraId="10DA403E" w14:textId="77777777" w:rsidR="00486909" w:rsidRDefault="00486909">
      <w:pPr>
        <w:spacing w:after="292" w:line="360" w:lineRule="auto"/>
        <w:ind w:left="-5" w:hanging="10"/>
        <w:jc w:val="both"/>
        <w:rPr>
          <w:rFonts w:ascii="Arial" w:hAnsi="Arial" w:cs="Arial"/>
          <w:b/>
          <w:sz w:val="24"/>
          <w:szCs w:val="24"/>
        </w:rPr>
      </w:pPr>
    </w:p>
    <w:p w14:paraId="650E8669" w14:textId="5CD274DE" w:rsidR="00452995" w:rsidRDefault="00494ABE">
      <w:pPr>
        <w:spacing w:after="292" w:line="360" w:lineRule="auto"/>
        <w:ind w:left="-5" w:hanging="10"/>
        <w:jc w:val="both"/>
        <w:rPr>
          <w:rFonts w:ascii="Arial" w:hAnsi="Arial" w:cs="Arial"/>
          <w:sz w:val="24"/>
          <w:szCs w:val="24"/>
        </w:rPr>
      </w:pPr>
      <w:r>
        <w:rPr>
          <w:rFonts w:ascii="Arial" w:hAnsi="Arial" w:cs="Arial"/>
          <w:b/>
          <w:sz w:val="24"/>
          <w:szCs w:val="24"/>
        </w:rPr>
        <w:t>Student name</w:t>
      </w:r>
      <w:r>
        <w:rPr>
          <w:rFonts w:ascii="Arial" w:hAnsi="Arial" w:cs="Arial"/>
          <w:sz w:val="24"/>
          <w:szCs w:val="24"/>
        </w:rPr>
        <w:t xml:space="preserve">: </w:t>
      </w:r>
      <w:r w:rsidR="00697432">
        <w:rPr>
          <w:rFonts w:ascii="Arial" w:hAnsi="Arial" w:cs="Arial"/>
          <w:sz w:val="24"/>
          <w:szCs w:val="24"/>
        </w:rPr>
        <w:t>Ferdoushi Rahman Monju</w:t>
      </w:r>
    </w:p>
    <w:p w14:paraId="650E866C" w14:textId="7D339612" w:rsidR="00452995" w:rsidRDefault="00494ABE" w:rsidP="00EE5D48">
      <w:pPr>
        <w:spacing w:after="292" w:line="360" w:lineRule="auto"/>
        <w:ind w:left="-5" w:hanging="10"/>
        <w:jc w:val="both"/>
        <w:rPr>
          <w:rFonts w:ascii="Arial" w:hAnsi="Arial" w:cs="Arial"/>
          <w:sz w:val="24"/>
          <w:szCs w:val="24"/>
        </w:rPr>
      </w:pPr>
      <w:r>
        <w:rPr>
          <w:rFonts w:ascii="Arial" w:hAnsi="Arial" w:cs="Arial"/>
          <w:b/>
          <w:sz w:val="24"/>
          <w:szCs w:val="24"/>
        </w:rPr>
        <w:t>Student ID</w:t>
      </w:r>
      <w:r>
        <w:rPr>
          <w:rFonts w:ascii="Arial" w:hAnsi="Arial" w:cs="Arial"/>
          <w:sz w:val="24"/>
          <w:szCs w:val="24"/>
        </w:rPr>
        <w:t xml:space="preserve">: </w:t>
      </w:r>
      <w:r w:rsidR="00697432">
        <w:rPr>
          <w:rFonts w:ascii="Arial" w:hAnsi="Arial" w:cs="Arial"/>
          <w:sz w:val="24"/>
          <w:szCs w:val="24"/>
        </w:rPr>
        <w:t>2430137</w:t>
      </w:r>
    </w:p>
    <w:p w14:paraId="7BAC83D3" w14:textId="3B7E86F5" w:rsidR="0058426C" w:rsidRPr="00843AEA" w:rsidRDefault="00494ABE">
      <w:pPr>
        <w:pStyle w:val="Heading3"/>
        <w:shd w:val="clear" w:color="auto" w:fill="FFFFFF"/>
        <w:spacing w:before="0"/>
        <w:rPr>
          <w:rFonts w:ascii="Arial" w:eastAsia="Times New Roman" w:hAnsi="Arial" w:cs="Arial"/>
          <w:b/>
          <w:bCs/>
          <w:color w:val="1D2125"/>
          <w:sz w:val="22"/>
          <w:szCs w:val="22"/>
          <w:lang w:val="en-GB" w:eastAsia="en-GB"/>
        </w:rPr>
      </w:pPr>
      <w:r>
        <w:rPr>
          <w:rFonts w:ascii="Arial" w:hAnsi="Arial" w:cs="Arial"/>
          <w:b/>
        </w:rPr>
        <w:t>Module code</w:t>
      </w:r>
      <w:r>
        <w:rPr>
          <w:rFonts w:ascii="Arial" w:hAnsi="Arial" w:cs="Arial"/>
        </w:rPr>
        <w:t xml:space="preserve">: </w:t>
      </w:r>
      <w:r w:rsidR="00E402F7">
        <w:rPr>
          <w:rFonts w:ascii="Arial" w:hAnsi="Arial" w:cs="Arial"/>
        </w:rPr>
        <w:t>BM</w:t>
      </w:r>
      <w:r w:rsidR="005E334F">
        <w:rPr>
          <w:rFonts w:ascii="Arial" w:hAnsi="Arial" w:cs="Arial"/>
        </w:rPr>
        <w:t>HP</w:t>
      </w:r>
      <w:r w:rsidR="00C779EE">
        <w:rPr>
          <w:rFonts w:ascii="Arial" w:hAnsi="Arial" w:cs="Arial"/>
        </w:rPr>
        <w:t>5016</w:t>
      </w:r>
    </w:p>
    <w:p w14:paraId="1FF1F097" w14:textId="77777777" w:rsidR="00C779EE" w:rsidRDefault="00C779EE" w:rsidP="00403CF3">
      <w:pPr>
        <w:spacing w:after="292" w:line="360" w:lineRule="auto"/>
        <w:jc w:val="both"/>
        <w:rPr>
          <w:rFonts w:ascii="Arial" w:hAnsi="Arial" w:cs="Arial"/>
          <w:sz w:val="24"/>
          <w:szCs w:val="24"/>
        </w:rPr>
      </w:pPr>
    </w:p>
    <w:p w14:paraId="650E866E" w14:textId="5E34857D" w:rsidR="00452995" w:rsidRDefault="00494ABE" w:rsidP="00403CF3">
      <w:pPr>
        <w:spacing w:after="292" w:line="360" w:lineRule="auto"/>
        <w:jc w:val="both"/>
        <w:rPr>
          <w:rFonts w:ascii="Arial" w:hAnsi="Arial" w:cs="Arial"/>
          <w:sz w:val="24"/>
          <w:szCs w:val="24"/>
        </w:rPr>
      </w:pPr>
      <w:r>
        <w:rPr>
          <w:rFonts w:ascii="Arial" w:hAnsi="Arial" w:cs="Arial"/>
          <w:b/>
          <w:sz w:val="24"/>
          <w:szCs w:val="24"/>
        </w:rPr>
        <w:t>Lecturer name</w:t>
      </w:r>
      <w:r>
        <w:rPr>
          <w:rFonts w:ascii="Arial" w:hAnsi="Arial" w:cs="Arial"/>
          <w:sz w:val="24"/>
          <w:szCs w:val="24"/>
        </w:rPr>
        <w:t xml:space="preserve">: </w:t>
      </w:r>
      <w:r w:rsidR="0058426C">
        <w:rPr>
          <w:rFonts w:ascii="Arial" w:hAnsi="Arial" w:cs="Arial"/>
          <w:sz w:val="24"/>
          <w:szCs w:val="24"/>
        </w:rPr>
        <w:t xml:space="preserve">Mark </w:t>
      </w:r>
      <w:r w:rsidR="001D6818">
        <w:rPr>
          <w:rFonts w:ascii="Arial" w:hAnsi="Arial" w:cs="Arial"/>
          <w:sz w:val="24"/>
          <w:szCs w:val="24"/>
        </w:rPr>
        <w:t>Kane</w:t>
      </w:r>
    </w:p>
    <w:p w14:paraId="650E866F" w14:textId="77777777" w:rsidR="00452995" w:rsidRDefault="00494ABE">
      <w:pPr>
        <w:spacing w:after="252" w:line="360" w:lineRule="auto"/>
        <w:jc w:val="both"/>
        <w:rPr>
          <w:rFonts w:ascii="Arial" w:hAnsi="Arial" w:cs="Arial"/>
          <w:sz w:val="24"/>
          <w:szCs w:val="24"/>
        </w:rPr>
      </w:pPr>
      <w:r>
        <w:rPr>
          <w:rFonts w:ascii="Arial" w:hAnsi="Arial" w:cs="Arial"/>
          <w:sz w:val="24"/>
          <w:szCs w:val="24"/>
        </w:rPr>
        <w:t xml:space="preserve"> </w:t>
      </w:r>
    </w:p>
    <w:p w14:paraId="650E8670" w14:textId="77777777" w:rsidR="00452995" w:rsidRDefault="00494ABE">
      <w:pPr>
        <w:spacing w:after="0"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 </w:t>
      </w:r>
    </w:p>
    <w:p w14:paraId="650E8671" w14:textId="77777777" w:rsidR="00452995" w:rsidRDefault="00452995">
      <w:pPr>
        <w:spacing w:after="282" w:line="360" w:lineRule="auto"/>
        <w:ind w:left="-5" w:hanging="10"/>
        <w:jc w:val="both"/>
        <w:rPr>
          <w:rFonts w:ascii="Arial" w:hAnsi="Arial" w:cs="Arial"/>
          <w:b/>
          <w:sz w:val="24"/>
          <w:szCs w:val="24"/>
        </w:rPr>
      </w:pPr>
    </w:p>
    <w:p w14:paraId="650E8672" w14:textId="77777777" w:rsidR="00452995" w:rsidRDefault="00452995">
      <w:pPr>
        <w:spacing w:after="282" w:line="360" w:lineRule="auto"/>
        <w:ind w:left="-5" w:hanging="10"/>
        <w:jc w:val="both"/>
        <w:rPr>
          <w:rFonts w:ascii="Arial" w:hAnsi="Arial" w:cs="Arial"/>
          <w:b/>
          <w:sz w:val="24"/>
          <w:szCs w:val="24"/>
        </w:rPr>
      </w:pPr>
    </w:p>
    <w:p w14:paraId="650E8673" w14:textId="77777777" w:rsidR="00452995" w:rsidRDefault="00452995">
      <w:pPr>
        <w:spacing w:after="282" w:line="360" w:lineRule="auto"/>
        <w:ind w:left="-5" w:hanging="10"/>
        <w:jc w:val="both"/>
        <w:rPr>
          <w:rFonts w:ascii="Arial" w:hAnsi="Arial" w:cs="Arial"/>
          <w:b/>
          <w:sz w:val="24"/>
          <w:szCs w:val="24"/>
        </w:rPr>
      </w:pPr>
    </w:p>
    <w:p w14:paraId="650E8674" w14:textId="77777777" w:rsidR="00452995" w:rsidRDefault="00452995">
      <w:pPr>
        <w:spacing w:after="282" w:line="360" w:lineRule="auto"/>
        <w:ind w:left="-5" w:hanging="10"/>
        <w:jc w:val="both"/>
        <w:rPr>
          <w:rFonts w:ascii="Arial" w:hAnsi="Arial" w:cs="Arial"/>
          <w:b/>
          <w:sz w:val="24"/>
          <w:szCs w:val="24"/>
        </w:rPr>
      </w:pPr>
    </w:p>
    <w:p w14:paraId="650E8675" w14:textId="77777777" w:rsidR="00452995" w:rsidRDefault="00452995">
      <w:pPr>
        <w:spacing w:after="282" w:line="360" w:lineRule="auto"/>
        <w:ind w:left="-5" w:hanging="10"/>
        <w:jc w:val="both"/>
        <w:rPr>
          <w:rFonts w:ascii="Arial" w:hAnsi="Arial" w:cs="Arial"/>
          <w:b/>
          <w:sz w:val="24"/>
          <w:szCs w:val="24"/>
        </w:rPr>
      </w:pPr>
    </w:p>
    <w:p w14:paraId="650E8676" w14:textId="77777777" w:rsidR="00452995" w:rsidRDefault="00452995">
      <w:pPr>
        <w:spacing w:after="282" w:line="360" w:lineRule="auto"/>
        <w:ind w:left="-5" w:hanging="10"/>
        <w:jc w:val="both"/>
        <w:rPr>
          <w:rFonts w:ascii="Arial" w:hAnsi="Arial" w:cs="Arial"/>
          <w:b/>
          <w:sz w:val="24"/>
          <w:szCs w:val="24"/>
        </w:rPr>
      </w:pPr>
    </w:p>
    <w:p w14:paraId="650E8677" w14:textId="77777777" w:rsidR="00452995" w:rsidRDefault="00452995">
      <w:pPr>
        <w:spacing w:after="0" w:line="360" w:lineRule="auto"/>
        <w:jc w:val="both"/>
        <w:rPr>
          <w:rFonts w:ascii="Arial" w:hAnsi="Arial" w:cs="Arial"/>
          <w:sz w:val="24"/>
          <w:szCs w:val="24"/>
        </w:rPr>
      </w:pPr>
    </w:p>
    <w:p w14:paraId="650E867A" w14:textId="77777777" w:rsidR="00452995" w:rsidRDefault="00494ABE" w:rsidP="0000096B">
      <w:pPr>
        <w:pStyle w:val="Heading1"/>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r>
        <w:rPr>
          <w:rFonts w:ascii="Arial" w:hAnsi="Arial" w:cs="Arial"/>
          <w:b/>
          <w:bCs/>
          <w:color w:val="1F1F1F"/>
          <w:sz w:val="24"/>
          <w:szCs w:val="24"/>
          <w14:textFill>
            <w14:solidFill>
              <w14:srgbClr w14:val="1F1F1F">
                <w14:lumMod w14:val="85000"/>
                <w14:lumOff w14:val="15000"/>
              </w14:srgbClr>
            </w14:solidFill>
          </w14:textFill>
        </w:rPr>
        <w:t>The Social Model of Disability: A Theoretical and Practical Analysis of its Role in Health and Social Care</w:t>
      </w:r>
    </w:p>
    <w:p w14:paraId="50A9C9A9" w14:textId="77777777" w:rsidR="00621DAD" w:rsidRPr="00621DAD" w:rsidRDefault="00621DAD" w:rsidP="00621DAD"/>
    <w:p w14:paraId="650E867B" w14:textId="77777777" w:rsidR="00452995" w:rsidRDefault="00494ABE">
      <w:pPr>
        <w:pStyle w:val="Heading2"/>
        <w:keepNext w:val="0"/>
        <w:keepLines w:val="0"/>
        <w:spacing w:before="0" w:after="120" w:line="14" w:lineRule="atLeast"/>
        <w:jc w:val="both"/>
        <w:rPr>
          <w:rFonts w:ascii="Arial" w:hAnsi="Arial" w:cs="Arial"/>
          <w:sz w:val="24"/>
          <w:szCs w:val="24"/>
        </w:rPr>
      </w:pPr>
      <w:r>
        <w:rPr>
          <w:rFonts w:ascii="Arial" w:hAnsi="Arial" w:cs="Arial"/>
          <w:b/>
          <w:bCs/>
          <w:color w:val="1F1F1F"/>
          <w:sz w:val="24"/>
          <w:szCs w:val="24"/>
          <w14:textFill>
            <w14:solidFill>
              <w14:srgbClr w14:val="1F1F1F">
                <w14:lumMod w14:val="85000"/>
                <w14:lumOff w14:val="15000"/>
              </w14:srgbClr>
            </w14:solidFill>
          </w14:textFill>
        </w:rPr>
        <w:t>1. Introduction</w:t>
      </w:r>
    </w:p>
    <w:p w14:paraId="0031256F" w14:textId="262B61E4" w:rsidR="00A111DE" w:rsidRDefault="00494ABE">
      <w:pPr>
        <w:pStyle w:val="NormalWeb"/>
        <w:spacing w:before="0" w:beforeAutospacing="0" w:after="240" w:afterAutospacing="0" w:line="14" w:lineRule="atLeast"/>
        <w:jc w:val="both"/>
        <w:rPr>
          <w:rFonts w:ascii="Arial" w:hAnsi="Arial" w:cs="Arial"/>
          <w:szCs w:val="22"/>
        </w:rPr>
      </w:pPr>
      <w:r w:rsidRPr="00127205">
        <w:rPr>
          <w:rFonts w:ascii="Arial" w:hAnsi="Arial" w:cs="Arial"/>
          <w:color w:val="1F1F1F"/>
          <w:szCs w:val="22"/>
        </w:rPr>
        <w:t xml:space="preserve">The </w:t>
      </w:r>
      <w:r w:rsidR="00E64570">
        <w:rPr>
          <w:rFonts w:ascii="Arial" w:hAnsi="Arial" w:cs="Arial"/>
          <w:color w:val="1F1F1F"/>
          <w:szCs w:val="22"/>
        </w:rPr>
        <w:t>understanding</w:t>
      </w:r>
      <w:r w:rsidRPr="00127205">
        <w:rPr>
          <w:rFonts w:ascii="Arial" w:hAnsi="Arial" w:cs="Arial"/>
          <w:color w:val="1F1F1F"/>
          <w:szCs w:val="22"/>
        </w:rPr>
        <w:t xml:space="preserve"> of disability has </w:t>
      </w:r>
      <w:r w:rsidR="00E64570">
        <w:rPr>
          <w:rFonts w:ascii="Arial" w:hAnsi="Arial" w:cs="Arial"/>
          <w:color w:val="1F1F1F"/>
          <w:szCs w:val="22"/>
        </w:rPr>
        <w:t>changed</w:t>
      </w:r>
      <w:r w:rsidRPr="00127205">
        <w:rPr>
          <w:rFonts w:ascii="Arial" w:hAnsi="Arial" w:cs="Arial"/>
          <w:color w:val="1F1F1F"/>
          <w:szCs w:val="22"/>
        </w:rPr>
        <w:t xml:space="preserve"> </w:t>
      </w:r>
      <w:proofErr w:type="spellStart"/>
      <w:r w:rsidR="00955318">
        <w:rPr>
          <w:rFonts w:ascii="Arial" w:hAnsi="Arial" w:cs="Arial"/>
          <w:color w:val="1F1F1F"/>
          <w:szCs w:val="22"/>
        </w:rPr>
        <w:t>singificantly</w:t>
      </w:r>
      <w:proofErr w:type="spellEnd"/>
      <w:r w:rsidRPr="00127205">
        <w:rPr>
          <w:rFonts w:ascii="Arial" w:hAnsi="Arial" w:cs="Arial"/>
          <w:color w:val="1F1F1F"/>
          <w:szCs w:val="22"/>
        </w:rPr>
        <w:t xml:space="preserve">  over the last five decades, </w:t>
      </w:r>
      <w:r w:rsidR="00A33577">
        <w:rPr>
          <w:rFonts w:ascii="Arial" w:hAnsi="Arial" w:cs="Arial"/>
          <w:color w:val="1F1F1F"/>
          <w:szCs w:val="22"/>
        </w:rPr>
        <w:t>shifting from</w:t>
      </w:r>
      <w:r w:rsidR="001F1B0A">
        <w:rPr>
          <w:rFonts w:ascii="Arial" w:hAnsi="Arial" w:cs="Arial"/>
          <w:color w:val="1F1F1F"/>
          <w:szCs w:val="22"/>
        </w:rPr>
        <w:t xml:space="preserve"> </w:t>
      </w:r>
      <w:r w:rsidRPr="00127205">
        <w:rPr>
          <w:rFonts w:ascii="Arial" w:hAnsi="Arial" w:cs="Arial"/>
          <w:color w:val="1F1F1F"/>
          <w:szCs w:val="22"/>
        </w:rPr>
        <w:t xml:space="preserve"> a </w:t>
      </w:r>
      <w:r w:rsidR="001F1B0A">
        <w:rPr>
          <w:rFonts w:ascii="Arial" w:hAnsi="Arial" w:cs="Arial"/>
          <w:color w:val="1F1F1F"/>
          <w:szCs w:val="22"/>
        </w:rPr>
        <w:t xml:space="preserve">narrow </w:t>
      </w:r>
      <w:r w:rsidR="00F46A45">
        <w:rPr>
          <w:rFonts w:ascii="Arial" w:hAnsi="Arial" w:cs="Arial"/>
          <w:color w:val="1F1F1F"/>
          <w:szCs w:val="22"/>
        </w:rPr>
        <w:t xml:space="preserve">focus </w:t>
      </w:r>
      <w:r w:rsidRPr="00127205">
        <w:rPr>
          <w:rFonts w:ascii="Arial" w:hAnsi="Arial" w:cs="Arial"/>
          <w:color w:val="1F1F1F"/>
          <w:szCs w:val="22"/>
        </w:rPr>
        <w:t xml:space="preserve">on individual biological </w:t>
      </w:r>
      <w:r w:rsidR="00F46A45">
        <w:rPr>
          <w:rFonts w:ascii="Arial" w:hAnsi="Arial" w:cs="Arial"/>
          <w:color w:val="1F1F1F"/>
          <w:szCs w:val="22"/>
        </w:rPr>
        <w:t>imp</w:t>
      </w:r>
      <w:r w:rsidR="00151C34">
        <w:rPr>
          <w:rFonts w:ascii="Arial" w:hAnsi="Arial" w:cs="Arial"/>
          <w:color w:val="1F1F1F"/>
          <w:szCs w:val="22"/>
        </w:rPr>
        <w:t xml:space="preserve">airments </w:t>
      </w:r>
      <w:r w:rsidRPr="00127205">
        <w:rPr>
          <w:rFonts w:ascii="Arial" w:hAnsi="Arial" w:cs="Arial"/>
          <w:color w:val="1F1F1F"/>
          <w:szCs w:val="22"/>
        </w:rPr>
        <w:t>to</w:t>
      </w:r>
      <w:r w:rsidR="008B13FC">
        <w:rPr>
          <w:rFonts w:ascii="Arial" w:hAnsi="Arial" w:cs="Arial"/>
          <w:color w:val="1F1F1F"/>
          <w:szCs w:val="22"/>
        </w:rPr>
        <w:t xml:space="preserve">ward a </w:t>
      </w:r>
      <w:r w:rsidRPr="00127205">
        <w:rPr>
          <w:rFonts w:ascii="Arial" w:hAnsi="Arial" w:cs="Arial"/>
          <w:color w:val="1F1F1F"/>
          <w:szCs w:val="22"/>
        </w:rPr>
        <w:t xml:space="preserve">broader </w:t>
      </w:r>
      <w:r w:rsidR="00F62566">
        <w:rPr>
          <w:rFonts w:ascii="Arial" w:hAnsi="Arial" w:cs="Arial"/>
          <w:color w:val="1F1F1F"/>
          <w:szCs w:val="22"/>
        </w:rPr>
        <w:t xml:space="preserve">consideration </w:t>
      </w:r>
      <w:r w:rsidRPr="00127205">
        <w:rPr>
          <w:rFonts w:ascii="Arial" w:hAnsi="Arial" w:cs="Arial"/>
          <w:color w:val="1F1F1F"/>
          <w:szCs w:val="22"/>
        </w:rPr>
        <w:t xml:space="preserve"> of societal exclusion. At the </w:t>
      </w:r>
      <w:proofErr w:type="spellStart"/>
      <w:r w:rsidR="00486909" w:rsidRPr="00127205">
        <w:rPr>
          <w:rFonts w:ascii="Arial" w:hAnsi="Arial" w:cs="Arial"/>
          <w:color w:val="1F1F1F"/>
          <w:szCs w:val="22"/>
        </w:rPr>
        <w:t>epicentre</w:t>
      </w:r>
      <w:proofErr w:type="spellEnd"/>
      <w:r w:rsidRPr="00127205">
        <w:rPr>
          <w:rFonts w:ascii="Arial" w:hAnsi="Arial" w:cs="Arial"/>
          <w:color w:val="1F1F1F"/>
          <w:szCs w:val="22"/>
        </w:rPr>
        <w:t xml:space="preserve"> of this shift is the Social Model of Disability, a framework that posits that disability is not an inherent </w:t>
      </w:r>
      <w:r w:rsidR="009C2BBE">
        <w:rPr>
          <w:rFonts w:ascii="Arial" w:hAnsi="Arial" w:cs="Arial"/>
          <w:color w:val="1F1F1F"/>
          <w:szCs w:val="22"/>
        </w:rPr>
        <w:t>characteristic</w:t>
      </w:r>
      <w:r w:rsidRPr="00127205">
        <w:rPr>
          <w:rFonts w:ascii="Arial" w:hAnsi="Arial" w:cs="Arial"/>
          <w:color w:val="1F1F1F"/>
          <w:szCs w:val="22"/>
        </w:rPr>
        <w:t xml:space="preserve"> of a</w:t>
      </w:r>
      <w:r w:rsidR="00C97BD1">
        <w:rPr>
          <w:rFonts w:ascii="Arial" w:hAnsi="Arial" w:cs="Arial"/>
          <w:color w:val="1F1F1F"/>
          <w:szCs w:val="22"/>
        </w:rPr>
        <w:t xml:space="preserve">n </w:t>
      </w:r>
      <w:r w:rsidR="000525A9">
        <w:rPr>
          <w:rFonts w:ascii="Arial" w:hAnsi="Arial" w:cs="Arial"/>
          <w:color w:val="1F1F1F"/>
          <w:szCs w:val="22"/>
        </w:rPr>
        <w:t>individual’s</w:t>
      </w:r>
      <w:r w:rsidRPr="00127205">
        <w:rPr>
          <w:rFonts w:ascii="Arial" w:hAnsi="Arial" w:cs="Arial"/>
          <w:color w:val="1F1F1F"/>
          <w:szCs w:val="22"/>
        </w:rPr>
        <w:t xml:space="preserve"> body or mind but rather a complex form of social </w:t>
      </w:r>
      <w:r w:rsidR="00626977">
        <w:rPr>
          <w:rFonts w:ascii="Arial" w:hAnsi="Arial" w:cs="Arial"/>
          <w:color w:val="1F1F1F"/>
          <w:szCs w:val="22"/>
        </w:rPr>
        <w:t>barriers and oppression</w:t>
      </w:r>
      <w:r w:rsidRPr="00127205">
        <w:rPr>
          <w:rFonts w:ascii="Arial" w:hAnsi="Arial" w:cs="Arial"/>
          <w:color w:val="1F1F1F"/>
          <w:szCs w:val="22"/>
        </w:rPr>
        <w:t>. By distinguishing between "impairment"</w:t>
      </w:r>
      <w:r w:rsidR="00486909" w:rsidRPr="00127205">
        <w:rPr>
          <w:rFonts w:ascii="Arial" w:hAnsi="Arial" w:cs="Arial"/>
          <w:color w:val="1F1F1F"/>
          <w:szCs w:val="22"/>
        </w:rPr>
        <w:t>,</w:t>
      </w:r>
      <w:r w:rsidRPr="00127205">
        <w:rPr>
          <w:rFonts w:ascii="Arial" w:hAnsi="Arial" w:cs="Arial"/>
          <w:color w:val="1F1F1F"/>
          <w:szCs w:val="22"/>
        </w:rPr>
        <w:t xml:space="preserve"> defined as a functional limitation of the mind or body</w:t>
      </w:r>
      <w:r w:rsidR="00486909" w:rsidRPr="00127205">
        <w:rPr>
          <w:rFonts w:ascii="Arial" w:hAnsi="Arial" w:cs="Arial"/>
          <w:color w:val="1F1F1F"/>
          <w:szCs w:val="22"/>
        </w:rPr>
        <w:t>,</w:t>
      </w:r>
      <w:r w:rsidRPr="00127205">
        <w:rPr>
          <w:rFonts w:ascii="Arial" w:hAnsi="Arial" w:cs="Arial"/>
          <w:color w:val="1F1F1F"/>
          <w:szCs w:val="22"/>
        </w:rPr>
        <w:t xml:space="preserve"> and "disability"</w:t>
      </w:r>
      <w:r w:rsidR="00486909" w:rsidRPr="00127205">
        <w:rPr>
          <w:rFonts w:ascii="Arial" w:hAnsi="Arial" w:cs="Arial"/>
          <w:color w:val="1F1F1F"/>
          <w:szCs w:val="22"/>
        </w:rPr>
        <w:t>,</w:t>
      </w:r>
      <w:r w:rsidRPr="00127205">
        <w:rPr>
          <w:rFonts w:ascii="Arial" w:hAnsi="Arial" w:cs="Arial"/>
          <w:color w:val="1F1F1F"/>
          <w:szCs w:val="22"/>
        </w:rPr>
        <w:t xml:space="preserve"> defined as the social restriction caused by an unaccommodating environment</w:t>
      </w:r>
      <w:r w:rsidR="00486909" w:rsidRPr="00127205">
        <w:rPr>
          <w:rFonts w:ascii="Arial" w:hAnsi="Arial" w:cs="Arial"/>
          <w:color w:val="1F1F1F"/>
          <w:szCs w:val="22"/>
        </w:rPr>
        <w:t>,</w:t>
      </w:r>
      <w:r w:rsidRPr="00127205">
        <w:rPr>
          <w:rFonts w:ascii="Arial" w:hAnsi="Arial" w:cs="Arial"/>
          <w:color w:val="1F1F1F"/>
          <w:szCs w:val="22"/>
        </w:rPr>
        <w:t xml:space="preserve"> the model challenges the traditional </w:t>
      </w:r>
      <w:proofErr w:type="spellStart"/>
      <w:r w:rsidR="00486909" w:rsidRPr="00127205">
        <w:rPr>
          <w:rFonts w:ascii="Arial" w:hAnsi="Arial" w:cs="Arial"/>
          <w:color w:val="1F1F1F"/>
          <w:szCs w:val="22"/>
        </w:rPr>
        <w:t>medicalised</w:t>
      </w:r>
      <w:proofErr w:type="spellEnd"/>
      <w:r w:rsidRPr="00127205">
        <w:rPr>
          <w:rFonts w:ascii="Arial" w:hAnsi="Arial" w:cs="Arial"/>
          <w:color w:val="1F1F1F"/>
          <w:szCs w:val="22"/>
        </w:rPr>
        <w:t xml:space="preserve"> view that has long </w:t>
      </w:r>
      <w:r w:rsidR="009700EB">
        <w:rPr>
          <w:rFonts w:ascii="Arial" w:hAnsi="Arial" w:cs="Arial"/>
          <w:color w:val="1F1F1F"/>
          <w:szCs w:val="22"/>
        </w:rPr>
        <w:t>influ</w:t>
      </w:r>
      <w:r w:rsidR="00F84E94">
        <w:rPr>
          <w:rFonts w:ascii="Arial" w:hAnsi="Arial" w:cs="Arial"/>
          <w:color w:val="1F1F1F"/>
          <w:szCs w:val="22"/>
        </w:rPr>
        <w:t>enced</w:t>
      </w:r>
      <w:r w:rsidRPr="00127205">
        <w:rPr>
          <w:rFonts w:ascii="Arial" w:hAnsi="Arial" w:cs="Arial"/>
          <w:color w:val="1F1F1F"/>
          <w:szCs w:val="22"/>
        </w:rPr>
        <w:t xml:space="preserve"> health and social care policy.</w:t>
      </w:r>
      <w:r w:rsidR="00A111DE">
        <w:rPr>
          <w:rFonts w:ascii="Arial" w:hAnsi="Arial" w:cs="Arial"/>
          <w:szCs w:val="22"/>
        </w:rPr>
        <w:t xml:space="preserve"> </w:t>
      </w:r>
    </w:p>
    <w:p w14:paraId="650E867D" w14:textId="25D2020C" w:rsidR="00452995" w:rsidRPr="00F84E94" w:rsidRDefault="00A111DE">
      <w:pPr>
        <w:pStyle w:val="NormalWeb"/>
        <w:spacing w:before="0" w:beforeAutospacing="0" w:after="240" w:afterAutospacing="0" w:line="14" w:lineRule="atLeast"/>
        <w:jc w:val="both"/>
        <w:rPr>
          <w:rFonts w:ascii="Arial" w:hAnsi="Arial" w:cs="Arial"/>
          <w:szCs w:val="22"/>
        </w:rPr>
      </w:pPr>
      <w:r>
        <w:rPr>
          <w:rFonts w:ascii="Arial" w:hAnsi="Arial" w:cs="Arial"/>
          <w:color w:val="1F1F1F"/>
          <w:szCs w:val="22"/>
        </w:rPr>
        <w:t xml:space="preserve">This </w:t>
      </w:r>
      <w:proofErr w:type="spellStart"/>
      <w:r w:rsidR="00494ABE" w:rsidRPr="00127205">
        <w:rPr>
          <w:rFonts w:ascii="Arial" w:hAnsi="Arial" w:cs="Arial"/>
          <w:color w:val="1F1F1F"/>
          <w:szCs w:val="22"/>
        </w:rPr>
        <w:t>concept</w:t>
      </w:r>
      <w:r>
        <w:rPr>
          <w:rFonts w:ascii="Arial" w:hAnsi="Arial" w:cs="Arial"/>
          <w:color w:val="1F1F1F"/>
          <w:szCs w:val="22"/>
        </w:rPr>
        <w:t>is</w:t>
      </w:r>
      <w:proofErr w:type="spellEnd"/>
      <w:r>
        <w:rPr>
          <w:rFonts w:ascii="Arial" w:hAnsi="Arial" w:cs="Arial"/>
          <w:color w:val="1F1F1F"/>
          <w:szCs w:val="22"/>
        </w:rPr>
        <w:t xml:space="preserve"> highly</w:t>
      </w:r>
      <w:r w:rsidR="0023220C">
        <w:rPr>
          <w:rFonts w:ascii="Arial" w:hAnsi="Arial" w:cs="Arial"/>
          <w:color w:val="1F1F1F"/>
          <w:szCs w:val="22"/>
        </w:rPr>
        <w:t xml:space="preserve"> important </w:t>
      </w:r>
      <w:r w:rsidR="00494ABE" w:rsidRPr="00127205">
        <w:rPr>
          <w:rFonts w:ascii="Arial" w:hAnsi="Arial" w:cs="Arial"/>
          <w:color w:val="1F1F1F"/>
          <w:szCs w:val="22"/>
        </w:rPr>
        <w:t xml:space="preserve"> for modern society cannot be overstated. The significance of the Social Model lies in its power to reframe the disabled person’s experience from one of pathology to one of citizenship. We need this model because it provides a roadmap for human rights and social justice; without it, the "problem" of disability remains </w:t>
      </w:r>
      <w:proofErr w:type="spellStart"/>
      <w:r w:rsidR="00D04876" w:rsidRPr="00127205">
        <w:rPr>
          <w:rFonts w:ascii="Arial" w:hAnsi="Arial" w:cs="Arial"/>
          <w:color w:val="1F1F1F"/>
          <w:szCs w:val="22"/>
        </w:rPr>
        <w:t>localised</w:t>
      </w:r>
      <w:proofErr w:type="spellEnd"/>
      <w:r w:rsidR="00494ABE" w:rsidRPr="00127205">
        <w:rPr>
          <w:rFonts w:ascii="Arial" w:hAnsi="Arial" w:cs="Arial"/>
          <w:color w:val="1F1F1F"/>
          <w:szCs w:val="22"/>
        </w:rPr>
        <w:t xml:space="preserve"> within the individual, leading to paternalistic care and the segregation of those who do not fit a normative biological standard. In the context of the United Kingdom, where the history of </w:t>
      </w:r>
      <w:proofErr w:type="spellStart"/>
      <w:r w:rsidR="00802621" w:rsidRPr="00127205">
        <w:rPr>
          <w:rFonts w:ascii="Arial" w:hAnsi="Arial" w:cs="Arial"/>
          <w:color w:val="1F1F1F"/>
          <w:szCs w:val="22"/>
        </w:rPr>
        <w:t>institutionalisation</w:t>
      </w:r>
      <w:proofErr w:type="spellEnd"/>
      <w:r w:rsidR="00494ABE" w:rsidRPr="00127205">
        <w:rPr>
          <w:rFonts w:ascii="Arial" w:hAnsi="Arial" w:cs="Arial"/>
          <w:color w:val="1F1F1F"/>
          <w:szCs w:val="22"/>
        </w:rPr>
        <w:t xml:space="preserve"> is long and complex, the Social Model offers a necessary ethical pivot. By identifying the problem as a failure of the social environment to accommodate diversity, the model shifts the burden of adaptation from the individual to the institution. It serves as an essential tool for creating equitable systems in health and social care, ensuring that practitioners look beyond clinical diagnoses to address the external barriers</w:t>
      </w:r>
      <w:r w:rsidR="00802621" w:rsidRPr="00127205">
        <w:rPr>
          <w:rFonts w:ascii="Arial" w:hAnsi="Arial" w:cs="Arial"/>
          <w:color w:val="1F1F1F"/>
          <w:szCs w:val="22"/>
        </w:rPr>
        <w:t>,</w:t>
      </w:r>
      <w:r w:rsidR="00494ABE" w:rsidRPr="00127205">
        <w:rPr>
          <w:rFonts w:ascii="Arial" w:hAnsi="Arial" w:cs="Arial"/>
          <w:color w:val="1F1F1F"/>
          <w:szCs w:val="22"/>
        </w:rPr>
        <w:t xml:space="preserve"> physical, attitudinal, and systemic that prevent individuals from living independent and fulfilling lives.</w:t>
      </w:r>
    </w:p>
    <w:p w14:paraId="650E867E" w14:textId="77777777" w:rsidR="00452995" w:rsidRDefault="00494AB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r>
        <w:rPr>
          <w:rFonts w:ascii="Arial" w:hAnsi="Arial" w:cs="Arial"/>
          <w:b/>
          <w:bCs/>
          <w:color w:val="1F1F1F"/>
          <w:sz w:val="24"/>
          <w:szCs w:val="24"/>
          <w14:textFill>
            <w14:solidFill>
              <w14:srgbClr w14:val="1F1F1F">
                <w14:lumMod w14:val="85000"/>
                <w14:lumOff w14:val="15000"/>
              </w14:srgbClr>
            </w14:solidFill>
          </w14:textFill>
        </w:rPr>
        <w:t>2. The Development of the Chosen Concept</w:t>
      </w:r>
    </w:p>
    <w:p w14:paraId="442C9692" w14:textId="4B27B692" w:rsidR="009D57AD" w:rsidRPr="009D57AD" w:rsidRDefault="00494ABE" w:rsidP="009D57AD">
      <w:pPr>
        <w:pStyle w:val="Heading3"/>
        <w:keepNext w:val="0"/>
        <w:keepLines w:val="0"/>
        <w:spacing w:before="0" w:after="120" w:line="14" w:lineRule="atLeast"/>
        <w:jc w:val="both"/>
        <w:rPr>
          <w:rFonts w:ascii="Arial" w:hAnsi="Arial" w:cs="Arial"/>
          <w:b/>
          <w:bCs/>
          <w:color w:val="1F1F1F"/>
          <w14:textFill>
            <w14:solidFill>
              <w14:srgbClr w14:val="1F1F1F">
                <w14:lumMod w14:val="95000"/>
                <w14:lumOff w14:val="5000"/>
              </w14:srgbClr>
            </w14:solidFill>
          </w14:textFill>
        </w:rPr>
      </w:pPr>
      <w:r>
        <w:rPr>
          <w:rFonts w:ascii="Arial" w:hAnsi="Arial" w:cs="Arial"/>
          <w:b/>
          <w:bCs/>
          <w:color w:val="1F1F1F"/>
          <w14:textFill>
            <w14:solidFill>
              <w14:srgbClr w14:val="1F1F1F">
                <w14:lumMod w14:val="95000"/>
                <w14:lumOff w14:val="5000"/>
              </w14:srgbClr>
            </w14:solidFill>
          </w14:textFill>
        </w:rPr>
        <w:t>2.1 The Emergence of the Concept</w:t>
      </w:r>
    </w:p>
    <w:p w14:paraId="650E8680" w14:textId="5922DDF1" w:rsidR="00452995" w:rsidRPr="00621DAD" w:rsidRDefault="00494ABE">
      <w:pPr>
        <w:pStyle w:val="NormalWeb"/>
        <w:spacing w:before="0" w:beforeAutospacing="0" w:after="240" w:afterAutospacing="0" w:line="14" w:lineRule="atLeast"/>
        <w:jc w:val="both"/>
        <w:rPr>
          <w:rFonts w:ascii="Arial" w:hAnsi="Arial" w:cs="Arial"/>
          <w:szCs w:val="22"/>
        </w:rPr>
      </w:pPr>
      <w:r w:rsidRPr="00621DAD">
        <w:rPr>
          <w:rFonts w:ascii="Arial" w:hAnsi="Arial" w:cs="Arial"/>
          <w:color w:val="1F1F1F"/>
          <w:szCs w:val="22"/>
        </w:rPr>
        <w:t xml:space="preserve">The Social Model of Disability did not originate within the passive halls of academia; it was forged in the fire of grassroots political struggle. In the early 1970s, disabled people in the United Kingdom began to </w:t>
      </w:r>
      <w:proofErr w:type="spellStart"/>
      <w:r w:rsidR="00802621" w:rsidRPr="00621DAD">
        <w:rPr>
          <w:rFonts w:ascii="Arial" w:hAnsi="Arial" w:cs="Arial"/>
          <w:color w:val="1F1F1F"/>
          <w:szCs w:val="22"/>
        </w:rPr>
        <w:t>organise</w:t>
      </w:r>
      <w:proofErr w:type="spellEnd"/>
      <w:r w:rsidRPr="00621DAD">
        <w:rPr>
          <w:rFonts w:ascii="Arial" w:hAnsi="Arial" w:cs="Arial"/>
          <w:color w:val="1F1F1F"/>
          <w:szCs w:val="22"/>
        </w:rPr>
        <w:t xml:space="preserve"> against the pervasive </w:t>
      </w:r>
      <w:proofErr w:type="spellStart"/>
      <w:r w:rsidR="00802621" w:rsidRPr="00621DAD">
        <w:rPr>
          <w:rFonts w:ascii="Arial" w:hAnsi="Arial" w:cs="Arial"/>
          <w:color w:val="1F1F1F"/>
          <w:szCs w:val="22"/>
        </w:rPr>
        <w:t>institutionalisation</w:t>
      </w:r>
      <w:proofErr w:type="spellEnd"/>
      <w:r w:rsidRPr="00621DAD">
        <w:rPr>
          <w:rFonts w:ascii="Arial" w:hAnsi="Arial" w:cs="Arial"/>
          <w:color w:val="1F1F1F"/>
          <w:szCs w:val="22"/>
        </w:rPr>
        <w:t xml:space="preserve"> and charity-based approaches to their lives. The most significant group in this movement was the Union of the Physically Impaired Against Segregation (UPIAS), founded by activists such as Paul Hunt and Vic Finkelstein. In their seminal document, </w:t>
      </w:r>
      <w:r w:rsidRPr="00621DAD">
        <w:rPr>
          <w:rFonts w:ascii="Arial" w:hAnsi="Arial" w:cs="Arial"/>
          <w:i/>
          <w:iCs/>
          <w:color w:val="1F1F1F"/>
          <w:szCs w:val="22"/>
        </w:rPr>
        <w:t>Fundamental Principles of Disability</w:t>
      </w:r>
      <w:r w:rsidRPr="00621DAD">
        <w:rPr>
          <w:rFonts w:ascii="Arial" w:hAnsi="Arial" w:cs="Arial"/>
          <w:color w:val="1F1F1F"/>
          <w:szCs w:val="22"/>
        </w:rPr>
        <w:t xml:space="preserve"> (1976), UPIAS asserted that people were not disabled by their physical impairments but by a society that refused to consider their needs. This was a radical act of self-definition that moved the disability discourse from the realm of medicine to the realm of civil rights. Finkelstein, an anti-apartheid activist, viewed the segregation of disabled people as a form of social apartheid, arguing that the industrial world was built specifically for the "able-bodied" worker, thereby excluding those with functional variations.</w:t>
      </w:r>
    </w:p>
    <w:p w14:paraId="650E8681" w14:textId="448CC0D3"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 xml:space="preserve">2.2 Theoretical </w:t>
      </w:r>
      <w:proofErr w:type="spellStart"/>
      <w:r w:rsidR="00802621">
        <w:rPr>
          <w:rFonts w:ascii="Arial" w:hAnsi="Arial" w:cs="Arial"/>
          <w:b/>
          <w:bCs/>
          <w:color w:val="1F1F1F"/>
          <w14:textFill>
            <w14:solidFill>
              <w14:srgbClr w14:val="1F1F1F">
                <w14:lumMod w14:val="95000"/>
                <w14:lumOff w14:val="5000"/>
              </w14:srgbClr>
            </w14:solidFill>
          </w14:textFill>
        </w:rPr>
        <w:t>Formalisation</w:t>
      </w:r>
      <w:proofErr w:type="spellEnd"/>
      <w:r>
        <w:rPr>
          <w:rFonts w:ascii="Arial" w:hAnsi="Arial" w:cs="Arial"/>
          <w:b/>
          <w:bCs/>
          <w:color w:val="1F1F1F"/>
          <w14:textFill>
            <w14:solidFill>
              <w14:srgbClr w14:val="1F1F1F">
                <w14:lumMod w14:val="95000"/>
                <w14:lumOff w14:val="5000"/>
              </w14:srgbClr>
            </w14:solidFill>
          </w14:textFill>
        </w:rPr>
        <w:t xml:space="preserve"> and Change</w:t>
      </w:r>
    </w:p>
    <w:p w14:paraId="650E8682" w14:textId="5DC2A68B" w:rsidR="00452995" w:rsidRPr="00621DAD" w:rsidRDefault="00494ABE">
      <w:pPr>
        <w:pStyle w:val="NormalWeb"/>
        <w:spacing w:before="0" w:beforeAutospacing="0" w:after="240" w:afterAutospacing="0" w:line="14" w:lineRule="atLeast"/>
        <w:jc w:val="both"/>
        <w:rPr>
          <w:rFonts w:ascii="Arial" w:hAnsi="Arial" w:cs="Arial"/>
          <w:szCs w:val="22"/>
        </w:rPr>
      </w:pPr>
      <w:r w:rsidRPr="00621DAD">
        <w:rPr>
          <w:rFonts w:ascii="Arial" w:hAnsi="Arial" w:cs="Arial"/>
          <w:color w:val="1F1F1F"/>
          <w:szCs w:val="22"/>
        </w:rPr>
        <w:t xml:space="preserve">In the 1980s, sociologist and activist Mike Oliver took these radical grassroots principles and </w:t>
      </w:r>
      <w:proofErr w:type="spellStart"/>
      <w:r w:rsidR="00802621" w:rsidRPr="00621DAD">
        <w:rPr>
          <w:rFonts w:ascii="Arial" w:hAnsi="Arial" w:cs="Arial"/>
          <w:color w:val="1F1F1F"/>
          <w:szCs w:val="22"/>
        </w:rPr>
        <w:t>formalised</w:t>
      </w:r>
      <w:proofErr w:type="spellEnd"/>
      <w:r w:rsidRPr="00621DAD">
        <w:rPr>
          <w:rFonts w:ascii="Arial" w:hAnsi="Arial" w:cs="Arial"/>
          <w:color w:val="1F1F1F"/>
          <w:szCs w:val="22"/>
        </w:rPr>
        <w:t xml:space="preserve"> them into the academic Social Model of Disability. Oliver (1990) clarified that the Social Model was not a theory meant to explain every aspect of an individual's life but rather a tool for liberation. He argued that the "individual model" (or medical model) had become an ideology serving to maintain the power of professionals over disabled people. Over time, the model has changed and adapted; while it initially focused heavily on physical barriers for wheelchair users, it has expanded to include sensory impairments, learning disabilities, and </w:t>
      </w:r>
      <w:r w:rsidRPr="00621DAD">
        <w:rPr>
          <w:rFonts w:ascii="Arial" w:hAnsi="Arial" w:cs="Arial"/>
          <w:color w:val="1F1F1F"/>
          <w:szCs w:val="22"/>
        </w:rPr>
        <w:lastRenderedPageBreak/>
        <w:t>neurodiversity. However, this expansion has revealed tensions. For instance, the model’s focus on external barriers was often easier to apply to a flight of stairs than to the internal cognitive experiences of individuals with neurodivergent conditions, requiring a more nuanced understanding of "attitudinal" and "communicative" barriers.</w:t>
      </w:r>
    </w:p>
    <w:p w14:paraId="650E8683"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2.3 Critiques and Responses</w:t>
      </w:r>
    </w:p>
    <w:p w14:paraId="650E8684" w14:textId="77777777" w:rsidR="00452995" w:rsidRPr="00621DAD" w:rsidRDefault="00494ABE">
      <w:pPr>
        <w:pStyle w:val="NormalWeb"/>
        <w:spacing w:before="0" w:beforeAutospacing="0" w:after="240" w:afterAutospacing="0" w:line="14" w:lineRule="atLeast"/>
        <w:jc w:val="both"/>
        <w:rPr>
          <w:rFonts w:ascii="Arial" w:hAnsi="Arial" w:cs="Arial"/>
          <w:szCs w:val="22"/>
        </w:rPr>
      </w:pPr>
      <w:r w:rsidRPr="00621DAD">
        <w:rPr>
          <w:rFonts w:ascii="Arial" w:hAnsi="Arial" w:cs="Arial"/>
          <w:color w:val="1F1F1F"/>
          <w:szCs w:val="22"/>
        </w:rPr>
        <w:t>Despite its revolutionary impact, the Social Model has faced significant academic and practical critiques. One of the most prominent critics, Tom Shakespeare (2014), argues that the model risks being too dogmatic by ignoring the reality of the body. He suggests that for many, disability involves physical pain, chronic illness, and fatigue that no amount of social change can fully erase. Shakespeare suggests that by neglecting impairment, the model risks alienating those whose primary struggle is their physical health.</w:t>
      </w:r>
    </w:p>
    <w:p w14:paraId="4CA78C7D" w14:textId="5D6737A3" w:rsidR="005E046D" w:rsidRPr="007D35D3" w:rsidRDefault="00494ABE">
      <w:pPr>
        <w:pStyle w:val="NormalWeb"/>
        <w:spacing w:before="0" w:beforeAutospacing="0" w:after="240" w:afterAutospacing="0" w:line="14" w:lineRule="atLeast"/>
        <w:jc w:val="both"/>
        <w:rPr>
          <w:rFonts w:ascii="Arial" w:hAnsi="Arial" w:cs="Arial"/>
          <w:color w:val="1F1F1F"/>
          <w:szCs w:val="22"/>
        </w:rPr>
      </w:pPr>
      <w:r w:rsidRPr="00621DAD">
        <w:rPr>
          <w:rFonts w:ascii="Arial" w:hAnsi="Arial" w:cs="Arial"/>
          <w:color w:val="1F1F1F"/>
          <w:szCs w:val="22"/>
        </w:rPr>
        <w:t xml:space="preserve">In response, scholars like Carol Thomas (2007) developed the "social relational" model, introducing the concept of "impairment effects." This acknowledges the lived consequences of having a body that functions differently without returning to a </w:t>
      </w:r>
      <w:proofErr w:type="spellStart"/>
      <w:r w:rsidR="00B34519" w:rsidRPr="00621DAD">
        <w:rPr>
          <w:rFonts w:ascii="Arial" w:hAnsi="Arial" w:cs="Arial"/>
          <w:color w:val="1F1F1F"/>
          <w:szCs w:val="22"/>
        </w:rPr>
        <w:t>medicalised</w:t>
      </w:r>
      <w:proofErr w:type="spellEnd"/>
      <w:r w:rsidRPr="00621DAD">
        <w:rPr>
          <w:rFonts w:ascii="Arial" w:hAnsi="Arial" w:cs="Arial"/>
          <w:color w:val="1F1F1F"/>
          <w:szCs w:val="22"/>
        </w:rPr>
        <w:t xml:space="preserve"> view. Thomas argues that while disability is a form of social oppression, we must still </w:t>
      </w:r>
      <w:proofErr w:type="spellStart"/>
      <w:r w:rsidR="00B34519" w:rsidRPr="00621DAD">
        <w:rPr>
          <w:rFonts w:ascii="Arial" w:hAnsi="Arial" w:cs="Arial"/>
          <w:color w:val="1F1F1F"/>
          <w:szCs w:val="22"/>
        </w:rPr>
        <w:t>recognise</w:t>
      </w:r>
      <w:proofErr w:type="spellEnd"/>
      <w:r w:rsidRPr="00621DAD">
        <w:rPr>
          <w:rFonts w:ascii="Arial" w:hAnsi="Arial" w:cs="Arial"/>
          <w:color w:val="1F1F1F"/>
          <w:szCs w:val="22"/>
        </w:rPr>
        <w:t xml:space="preserve"> the personal reality of impairment. Furthermore, early iterations were </w:t>
      </w:r>
      <w:proofErr w:type="spellStart"/>
      <w:r w:rsidR="00B34519" w:rsidRPr="00621DAD">
        <w:rPr>
          <w:rFonts w:ascii="Arial" w:hAnsi="Arial" w:cs="Arial"/>
          <w:color w:val="1F1F1F"/>
          <w:szCs w:val="22"/>
        </w:rPr>
        <w:t>criticised</w:t>
      </w:r>
      <w:proofErr w:type="spellEnd"/>
      <w:r w:rsidRPr="00621DAD">
        <w:rPr>
          <w:rFonts w:ascii="Arial" w:hAnsi="Arial" w:cs="Arial"/>
          <w:color w:val="1F1F1F"/>
          <w:szCs w:val="22"/>
        </w:rPr>
        <w:t xml:space="preserve"> for ignoring intersectionality</w:t>
      </w:r>
      <w:r w:rsidR="00B34519" w:rsidRPr="00621DAD">
        <w:rPr>
          <w:rFonts w:ascii="Arial" w:hAnsi="Arial" w:cs="Arial"/>
          <w:color w:val="1F1F1F"/>
          <w:szCs w:val="22"/>
        </w:rPr>
        <w:t>,</w:t>
      </w:r>
      <w:r w:rsidRPr="00621DAD">
        <w:rPr>
          <w:rFonts w:ascii="Arial" w:hAnsi="Arial" w:cs="Arial"/>
          <w:color w:val="1F1F1F"/>
          <w:szCs w:val="22"/>
        </w:rPr>
        <w:t xml:space="preserve"> how race, gender, and class overlap with disability. Modern discourse, influenced by the work of scholars like Kimberlé Crenshaw, has since evolved to </w:t>
      </w:r>
      <w:proofErr w:type="spellStart"/>
      <w:r w:rsidR="00B34519" w:rsidRPr="00621DAD">
        <w:rPr>
          <w:rFonts w:ascii="Arial" w:hAnsi="Arial" w:cs="Arial"/>
          <w:color w:val="1F1F1F"/>
          <w:szCs w:val="22"/>
        </w:rPr>
        <w:t>recognise</w:t>
      </w:r>
      <w:proofErr w:type="spellEnd"/>
      <w:r w:rsidRPr="00621DAD">
        <w:rPr>
          <w:rFonts w:ascii="Arial" w:hAnsi="Arial" w:cs="Arial"/>
          <w:color w:val="1F1F1F"/>
          <w:szCs w:val="22"/>
        </w:rPr>
        <w:t xml:space="preserve"> that a disabled person’s experience is shaped by these multiple layers of identity, leading to a more inclusive, "second-generation" social model.</w:t>
      </w:r>
    </w:p>
    <w:p w14:paraId="650E8686" w14:textId="77777777" w:rsidR="00452995" w:rsidRDefault="00494ABE">
      <w:pPr>
        <w:pStyle w:val="Heading2"/>
        <w:keepNext w:val="0"/>
        <w:keepLines w:val="0"/>
        <w:spacing w:before="0" w:after="120" w:line="14" w:lineRule="atLeast"/>
        <w:jc w:val="both"/>
        <w:rPr>
          <w:rFonts w:ascii="Arial" w:hAnsi="Arial" w:cs="Arial"/>
          <w:sz w:val="24"/>
          <w:szCs w:val="24"/>
        </w:rPr>
      </w:pPr>
      <w:r>
        <w:rPr>
          <w:rFonts w:ascii="Arial" w:hAnsi="Arial" w:cs="Arial"/>
          <w:b/>
          <w:bCs/>
          <w:color w:val="1F1F1F"/>
          <w:sz w:val="24"/>
          <w:szCs w:val="24"/>
          <w14:textFill>
            <w14:solidFill>
              <w14:srgbClr w14:val="1F1F1F">
                <w14:lumMod w14:val="85000"/>
                <w14:lumOff w14:val="15000"/>
              </w14:srgbClr>
            </w14:solidFill>
          </w14:textFill>
        </w:rPr>
        <w:t>3. Application of the Concept in Practice</w:t>
      </w:r>
    </w:p>
    <w:p w14:paraId="650E8687"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3.1 Policy Application in the UK</w:t>
      </w:r>
    </w:p>
    <w:p w14:paraId="650E8688" w14:textId="29C14546" w:rsidR="00452995" w:rsidRPr="00546082" w:rsidRDefault="00494ABE">
      <w:pPr>
        <w:pStyle w:val="NormalWeb"/>
        <w:spacing w:before="0" w:beforeAutospacing="0" w:after="240" w:afterAutospacing="0" w:line="14" w:lineRule="atLeast"/>
        <w:jc w:val="both"/>
        <w:rPr>
          <w:rFonts w:ascii="Arial" w:hAnsi="Arial" w:cs="Arial"/>
          <w:szCs w:val="22"/>
        </w:rPr>
      </w:pPr>
      <w:r w:rsidRPr="00546082">
        <w:rPr>
          <w:rFonts w:ascii="Arial" w:hAnsi="Arial" w:cs="Arial"/>
          <w:color w:val="1F1F1F"/>
          <w:szCs w:val="22"/>
        </w:rPr>
        <w:t xml:space="preserve">In the United Kingdom, the Social Model has fundamentally reshaped modern policy and health care delivery. The transition from the Disability Discrimination Act (1995) to the Equality Act (2010) represents the legislative enshrining of these principles, placing a proactive duty on </w:t>
      </w:r>
      <w:proofErr w:type="spellStart"/>
      <w:r w:rsidR="00B34519" w:rsidRPr="00546082">
        <w:rPr>
          <w:rFonts w:ascii="Arial" w:hAnsi="Arial" w:cs="Arial"/>
          <w:color w:val="1F1F1F"/>
          <w:szCs w:val="22"/>
        </w:rPr>
        <w:t>organisations</w:t>
      </w:r>
      <w:proofErr w:type="spellEnd"/>
      <w:r w:rsidRPr="00546082">
        <w:rPr>
          <w:rFonts w:ascii="Arial" w:hAnsi="Arial" w:cs="Arial"/>
          <w:color w:val="1F1F1F"/>
          <w:szCs w:val="22"/>
        </w:rPr>
        <w:t xml:space="preserve"> to make "reasonable adjustments." Within the National Health Service (NHS), the Long Term Plan (2019) reflects a growing awareness of the need to tackle health inequalities by addressing the social determinants of health. The NHS has moved toward a Universal </w:t>
      </w:r>
      <w:proofErr w:type="spellStart"/>
      <w:r w:rsidRPr="00546082">
        <w:rPr>
          <w:rFonts w:ascii="Arial" w:hAnsi="Arial" w:cs="Arial"/>
          <w:color w:val="1F1F1F"/>
          <w:szCs w:val="22"/>
        </w:rPr>
        <w:t>Personalised</w:t>
      </w:r>
      <w:proofErr w:type="spellEnd"/>
      <w:r w:rsidRPr="00546082">
        <w:rPr>
          <w:rFonts w:ascii="Arial" w:hAnsi="Arial" w:cs="Arial"/>
          <w:color w:val="1F1F1F"/>
          <w:szCs w:val="22"/>
        </w:rPr>
        <w:t xml:space="preserve"> Care model, which seeks to give people more choice and control over their mental and physical health. This reflects Social Model principles by acknowledging that clinical health is inextricably linked to social participation.</w:t>
      </w:r>
    </w:p>
    <w:p w14:paraId="650E8689" w14:textId="47B43EB6" w:rsidR="00452995" w:rsidRPr="00546082" w:rsidRDefault="00494ABE">
      <w:pPr>
        <w:pStyle w:val="NormalWeb"/>
        <w:spacing w:before="0" w:beforeAutospacing="0" w:after="240" w:afterAutospacing="0" w:line="14" w:lineRule="atLeast"/>
        <w:jc w:val="both"/>
        <w:rPr>
          <w:rFonts w:ascii="Arial" w:hAnsi="Arial" w:cs="Arial"/>
          <w:szCs w:val="22"/>
        </w:rPr>
      </w:pPr>
      <w:r w:rsidRPr="00546082">
        <w:rPr>
          <w:rFonts w:ascii="Arial" w:hAnsi="Arial" w:cs="Arial"/>
          <w:color w:val="1F1F1F"/>
          <w:szCs w:val="22"/>
        </w:rPr>
        <w:t xml:space="preserve">A key practical application within the UK is the rise of "Social Prescribing." As outlined by the NHS (2019), this acknowledges that an individual's </w:t>
      </w:r>
      <w:r w:rsidR="00B34519" w:rsidRPr="00546082">
        <w:rPr>
          <w:rFonts w:ascii="Arial" w:hAnsi="Arial" w:cs="Arial"/>
          <w:color w:val="1F1F1F"/>
          <w:szCs w:val="22"/>
        </w:rPr>
        <w:t>well-being</w:t>
      </w:r>
      <w:r w:rsidRPr="00546082">
        <w:rPr>
          <w:rFonts w:ascii="Arial" w:hAnsi="Arial" w:cs="Arial"/>
          <w:color w:val="1F1F1F"/>
          <w:szCs w:val="22"/>
        </w:rPr>
        <w:t xml:space="preserve"> often depends on community connection and the removal of social isolation rather than just medical prescriptions. In the sector of social care, the Care Act 2014 represents a landmark application of the model. The Act’s focus on "Well-being" and "Person-</w:t>
      </w:r>
      <w:proofErr w:type="spellStart"/>
      <w:r w:rsidRPr="00546082">
        <w:rPr>
          <w:rFonts w:ascii="Arial" w:hAnsi="Arial" w:cs="Arial"/>
          <w:color w:val="1F1F1F"/>
          <w:szCs w:val="22"/>
        </w:rPr>
        <w:t>Centred</w:t>
      </w:r>
      <w:proofErr w:type="spellEnd"/>
      <w:r w:rsidRPr="00546082">
        <w:rPr>
          <w:rFonts w:ascii="Arial" w:hAnsi="Arial" w:cs="Arial"/>
          <w:color w:val="1F1F1F"/>
          <w:szCs w:val="22"/>
        </w:rPr>
        <w:t xml:space="preserve"> Care" moves away from a service-led model where people are fitted into existing slots to a person-led model. Through Direct Payments and Personal Budgets, disabled individuals are given the financial power to hire their own support staff and design their own care packages (Department of Health, 2001). This shifts the power from the local authority back to the individual, </w:t>
      </w:r>
      <w:proofErr w:type="spellStart"/>
      <w:r w:rsidR="00B34519" w:rsidRPr="00546082">
        <w:rPr>
          <w:rFonts w:ascii="Arial" w:hAnsi="Arial" w:cs="Arial"/>
          <w:color w:val="1F1F1F"/>
          <w:szCs w:val="22"/>
        </w:rPr>
        <w:t>honouring</w:t>
      </w:r>
      <w:proofErr w:type="spellEnd"/>
      <w:r w:rsidRPr="00546082">
        <w:rPr>
          <w:rFonts w:ascii="Arial" w:hAnsi="Arial" w:cs="Arial"/>
          <w:color w:val="1F1F1F"/>
          <w:szCs w:val="22"/>
        </w:rPr>
        <w:t xml:space="preserve"> the demand for autonomy.</w:t>
      </w:r>
    </w:p>
    <w:p w14:paraId="650E868A"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3.2 Implementation Problems</w:t>
      </w:r>
    </w:p>
    <w:p w14:paraId="650E868B" w14:textId="06A0C557" w:rsidR="00452995" w:rsidRPr="00546082" w:rsidRDefault="00494ABE">
      <w:pPr>
        <w:pStyle w:val="NormalWeb"/>
        <w:spacing w:before="0" w:beforeAutospacing="0" w:after="240" w:afterAutospacing="0" w:line="14" w:lineRule="atLeast"/>
        <w:jc w:val="both"/>
        <w:rPr>
          <w:rFonts w:ascii="Arial" w:hAnsi="Arial" w:cs="Arial"/>
          <w:szCs w:val="22"/>
        </w:rPr>
      </w:pPr>
      <w:r w:rsidRPr="00546082">
        <w:rPr>
          <w:rFonts w:ascii="Arial" w:hAnsi="Arial" w:cs="Arial"/>
          <w:color w:val="1F1F1F"/>
          <w:szCs w:val="22"/>
        </w:rPr>
        <w:t>However, several problems occur when trying to implement the Social Model in real-world settings. A primary issue is the "</w:t>
      </w:r>
      <w:proofErr w:type="spellStart"/>
      <w:r w:rsidR="00B34519" w:rsidRPr="00546082">
        <w:rPr>
          <w:rFonts w:ascii="Arial" w:hAnsi="Arial" w:cs="Arial"/>
          <w:color w:val="1F1F1F"/>
          <w:szCs w:val="22"/>
        </w:rPr>
        <w:t>medicalisation</w:t>
      </w:r>
      <w:proofErr w:type="spellEnd"/>
      <w:r w:rsidRPr="00546082">
        <w:rPr>
          <w:rFonts w:ascii="Arial" w:hAnsi="Arial" w:cs="Arial"/>
          <w:color w:val="1F1F1F"/>
          <w:szCs w:val="22"/>
        </w:rPr>
        <w:t xml:space="preserve"> of eligibility." To receive social care funding or disability benefits, an individual must often undergo a medical assessment to prove their deficit. This creates a paradox where disabled people must </w:t>
      </w:r>
      <w:proofErr w:type="spellStart"/>
      <w:r w:rsidR="00B34519" w:rsidRPr="00546082">
        <w:rPr>
          <w:rFonts w:ascii="Arial" w:hAnsi="Arial" w:cs="Arial"/>
          <w:color w:val="1F1F1F"/>
          <w:szCs w:val="22"/>
        </w:rPr>
        <w:t>emphasise</w:t>
      </w:r>
      <w:proofErr w:type="spellEnd"/>
      <w:r w:rsidRPr="00546082">
        <w:rPr>
          <w:rFonts w:ascii="Arial" w:hAnsi="Arial" w:cs="Arial"/>
          <w:color w:val="1F1F1F"/>
          <w:szCs w:val="22"/>
        </w:rPr>
        <w:t xml:space="preserve"> their incapacity to receive the support they need to live independently. This "gatekeeping" process remains firmly </w:t>
      </w:r>
      <w:r w:rsidRPr="00546082">
        <w:rPr>
          <w:rFonts w:ascii="Arial" w:hAnsi="Arial" w:cs="Arial"/>
          <w:color w:val="1F1F1F"/>
          <w:szCs w:val="22"/>
        </w:rPr>
        <w:lastRenderedPageBreak/>
        <w:t>rooted in the medical model, often forcing individuals to focus on their "worst days" to secure basic rights.</w:t>
      </w:r>
    </w:p>
    <w:p w14:paraId="4BCB8336" w14:textId="3436102A" w:rsidR="007D35D3" w:rsidRPr="007D35D3" w:rsidRDefault="00494ABE">
      <w:pPr>
        <w:pStyle w:val="NormalWeb"/>
        <w:spacing w:before="0" w:beforeAutospacing="0" w:after="240" w:afterAutospacing="0" w:line="14" w:lineRule="atLeast"/>
        <w:jc w:val="both"/>
        <w:rPr>
          <w:rFonts w:ascii="Arial" w:hAnsi="Arial" w:cs="Arial"/>
          <w:color w:val="1F1F1F"/>
          <w:szCs w:val="22"/>
        </w:rPr>
      </w:pPr>
      <w:r w:rsidRPr="00546082">
        <w:rPr>
          <w:rFonts w:ascii="Arial" w:hAnsi="Arial" w:cs="Arial"/>
          <w:color w:val="1F1F1F"/>
          <w:szCs w:val="22"/>
        </w:rPr>
        <w:t>Furthermore, financial constraints and years of austerity have forced many services to retreat to a safety-only model, focusing solely on basic physical needs like washing and dressing, rather than the social inclusion and community participation that the Social Model champions. Institutional resistance also remains a factor; many clinical environments are still governed by the pressure to treat and discharge, often neglecting the long-term social barriers a patient will face once they leave the hospital. This is particularly evident in mental health settings, where the "biopsychosocial" model is often promised but a purely "biological" approach (medication only) is delivered due to resource shortages.</w:t>
      </w:r>
    </w:p>
    <w:p w14:paraId="650E868D" w14:textId="77777777" w:rsidR="00452995" w:rsidRDefault="00494ABE">
      <w:pPr>
        <w:pStyle w:val="Heading2"/>
        <w:keepNext w:val="0"/>
        <w:keepLines w:val="0"/>
        <w:spacing w:before="0" w:after="120" w:line="14" w:lineRule="atLeast"/>
        <w:jc w:val="both"/>
        <w:rPr>
          <w:rFonts w:ascii="Arial" w:hAnsi="Arial" w:cs="Arial"/>
          <w:sz w:val="24"/>
          <w:szCs w:val="24"/>
        </w:rPr>
      </w:pPr>
      <w:r>
        <w:rPr>
          <w:rFonts w:ascii="Arial" w:hAnsi="Arial" w:cs="Arial"/>
          <w:b/>
          <w:bCs/>
          <w:color w:val="1F1F1F"/>
          <w:sz w:val="24"/>
          <w:szCs w:val="24"/>
          <w14:textFill>
            <w14:solidFill>
              <w14:srgbClr w14:val="1F1F1F">
                <w14:lumMod w14:val="85000"/>
                <w14:lumOff w14:val="15000"/>
              </w14:srgbClr>
            </w14:solidFill>
          </w14:textFill>
        </w:rPr>
        <w:t>4. Recommendations for Policy and Practice</w:t>
      </w:r>
    </w:p>
    <w:p w14:paraId="650E868E" w14:textId="77777777" w:rsidR="00452995" w:rsidRPr="003E2DB8" w:rsidRDefault="00494ABE">
      <w:pPr>
        <w:pStyle w:val="NormalWeb"/>
        <w:spacing w:before="0" w:beforeAutospacing="0" w:after="240" w:afterAutospacing="0" w:line="14" w:lineRule="atLeast"/>
        <w:jc w:val="both"/>
        <w:rPr>
          <w:rFonts w:ascii="Arial" w:hAnsi="Arial" w:cs="Arial"/>
          <w:szCs w:val="22"/>
        </w:rPr>
      </w:pPr>
      <w:r w:rsidRPr="003E2DB8">
        <w:rPr>
          <w:rFonts w:ascii="Arial" w:hAnsi="Arial" w:cs="Arial"/>
          <w:color w:val="1F1F1F"/>
          <w:szCs w:val="22"/>
        </w:rPr>
        <w:t>To improve and maintain outcomes in health and social care based on the application of the Social Model, several recommendations are necessary.</w:t>
      </w:r>
    </w:p>
    <w:p w14:paraId="650E868F"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4.1 Co-Production and Inclusion</w:t>
      </w:r>
    </w:p>
    <w:p w14:paraId="650E8690" w14:textId="464660D2" w:rsidR="00452995" w:rsidRPr="003E2DB8" w:rsidRDefault="00494ABE">
      <w:pPr>
        <w:pStyle w:val="NormalWeb"/>
        <w:spacing w:before="0" w:beforeAutospacing="0" w:after="240" w:afterAutospacing="0" w:line="14" w:lineRule="atLeast"/>
        <w:jc w:val="both"/>
        <w:rPr>
          <w:rFonts w:ascii="Arial" w:hAnsi="Arial" w:cs="Arial"/>
          <w:szCs w:val="22"/>
        </w:rPr>
      </w:pPr>
      <w:r w:rsidRPr="003E2DB8">
        <w:rPr>
          <w:rFonts w:ascii="Arial" w:hAnsi="Arial" w:cs="Arial"/>
          <w:color w:val="1F1F1F"/>
          <w:szCs w:val="22"/>
        </w:rPr>
        <w:t xml:space="preserve">First, policy development must move beyond mere consultation toward true "co-production." Currently, disabled people are often asked for feedback after a policy is drafted. Instead, they should be equal partners from the inception of any health or social care service. NHS England (2017) guidance on participation </w:t>
      </w:r>
      <w:proofErr w:type="spellStart"/>
      <w:r w:rsidR="00D04876" w:rsidRPr="003E2DB8">
        <w:rPr>
          <w:rFonts w:ascii="Arial" w:hAnsi="Arial" w:cs="Arial"/>
          <w:color w:val="1F1F1F"/>
          <w:szCs w:val="22"/>
        </w:rPr>
        <w:t>emphasises</w:t>
      </w:r>
      <w:proofErr w:type="spellEnd"/>
      <w:r w:rsidRPr="003E2DB8">
        <w:rPr>
          <w:rFonts w:ascii="Arial" w:hAnsi="Arial" w:cs="Arial"/>
          <w:color w:val="1F1F1F"/>
          <w:szCs w:val="22"/>
        </w:rPr>
        <w:t xml:space="preserve"> that patients and the public should be involved in the design of services to ensure they meet the actual needs of the community. This must become the mandatory standard across all Integrated Care Boards (ICBs) in the UK.</w:t>
      </w:r>
    </w:p>
    <w:p w14:paraId="650E8691"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4.2 Reforming the Assessment Framework</w:t>
      </w:r>
    </w:p>
    <w:p w14:paraId="650E8692" w14:textId="29DA6060" w:rsidR="00452995" w:rsidRPr="003E2DB8" w:rsidRDefault="00494ABE">
      <w:pPr>
        <w:pStyle w:val="NormalWeb"/>
        <w:spacing w:before="0" w:beforeAutospacing="0" w:after="240" w:afterAutospacing="0" w:line="14" w:lineRule="atLeast"/>
        <w:jc w:val="both"/>
        <w:rPr>
          <w:rFonts w:ascii="Arial" w:hAnsi="Arial" w:cs="Arial"/>
          <w:szCs w:val="22"/>
        </w:rPr>
      </w:pPr>
      <w:r w:rsidRPr="003E2DB8">
        <w:rPr>
          <w:rFonts w:ascii="Arial" w:hAnsi="Arial" w:cs="Arial"/>
          <w:color w:val="1F1F1F"/>
          <w:szCs w:val="22"/>
        </w:rPr>
        <w:t>There is an urgent need to reform the assessment process for support and benefits. Assessments should focus on "Environmental and Social Barrier Audits" rather than "Biological Deficit Tests." Instead of asking how far an individual can walk, assessments should investigate the barriers in the local environment</w:t>
      </w:r>
      <w:r w:rsidR="00D04876" w:rsidRPr="003E2DB8">
        <w:rPr>
          <w:rFonts w:ascii="Arial" w:hAnsi="Arial" w:cs="Arial"/>
          <w:color w:val="1F1F1F"/>
          <w:szCs w:val="22"/>
        </w:rPr>
        <w:t>,</w:t>
      </w:r>
      <w:r w:rsidRPr="003E2DB8">
        <w:rPr>
          <w:rFonts w:ascii="Arial" w:hAnsi="Arial" w:cs="Arial"/>
          <w:color w:val="1F1F1F"/>
          <w:szCs w:val="22"/>
        </w:rPr>
        <w:t xml:space="preserve"> such as </w:t>
      </w:r>
      <w:r w:rsidR="00D04876" w:rsidRPr="003E2DB8">
        <w:rPr>
          <w:rFonts w:ascii="Arial" w:hAnsi="Arial" w:cs="Arial"/>
          <w:color w:val="1F1F1F"/>
          <w:szCs w:val="22"/>
        </w:rPr>
        <w:t xml:space="preserve">a </w:t>
      </w:r>
      <w:r w:rsidRPr="003E2DB8">
        <w:rPr>
          <w:rFonts w:ascii="Arial" w:hAnsi="Arial" w:cs="Arial"/>
          <w:color w:val="1F1F1F"/>
          <w:szCs w:val="22"/>
        </w:rPr>
        <w:t>lack of accessible transport or discriminatory workplace practices that prevent that individual from accessing the community. This would align the funding mechanism with the philosophical goals of the Social Model, focusing on what is required to make the environment accessible rather than what is "wrong" with the person.</w:t>
      </w:r>
    </w:p>
    <w:p w14:paraId="650E8693"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4.3 Mandatory Professional Education</w:t>
      </w:r>
    </w:p>
    <w:p w14:paraId="650E8694" w14:textId="2AAA9AEC" w:rsidR="00452995" w:rsidRPr="00664BFF" w:rsidRDefault="00494ABE">
      <w:pPr>
        <w:pStyle w:val="NormalWeb"/>
        <w:spacing w:before="0" w:beforeAutospacing="0" w:after="240" w:afterAutospacing="0" w:line="14" w:lineRule="atLeast"/>
        <w:jc w:val="both"/>
        <w:rPr>
          <w:rFonts w:ascii="Arial" w:hAnsi="Arial" w:cs="Arial"/>
          <w:szCs w:val="22"/>
        </w:rPr>
      </w:pPr>
      <w:r w:rsidRPr="00664BFF">
        <w:rPr>
          <w:rFonts w:ascii="Arial" w:hAnsi="Arial" w:cs="Arial"/>
          <w:color w:val="1F1F1F"/>
          <w:szCs w:val="22"/>
        </w:rPr>
        <w:t xml:space="preserve">Disability awareness training must be integrated into the core curriculum for all medical, nursing, and social work students. This training should be led by disabled activists and focus on identifying and dismantling social barriers. Practitioners must be trained to </w:t>
      </w:r>
      <w:proofErr w:type="spellStart"/>
      <w:r w:rsidR="00D04876" w:rsidRPr="00664BFF">
        <w:rPr>
          <w:rFonts w:ascii="Arial" w:hAnsi="Arial" w:cs="Arial"/>
          <w:color w:val="1F1F1F"/>
          <w:szCs w:val="22"/>
        </w:rPr>
        <w:t>recognise</w:t>
      </w:r>
      <w:proofErr w:type="spellEnd"/>
      <w:r w:rsidRPr="00664BFF">
        <w:rPr>
          <w:rFonts w:ascii="Arial" w:hAnsi="Arial" w:cs="Arial"/>
          <w:color w:val="1F1F1F"/>
          <w:szCs w:val="22"/>
        </w:rPr>
        <w:t xml:space="preserve"> "diagnostic overshadowing," where a person's social and emotional needs are ignored in </w:t>
      </w:r>
      <w:proofErr w:type="spellStart"/>
      <w:r w:rsidR="00D04876" w:rsidRPr="00664BFF">
        <w:rPr>
          <w:rFonts w:ascii="Arial" w:hAnsi="Arial" w:cs="Arial"/>
          <w:color w:val="1F1F1F"/>
          <w:szCs w:val="22"/>
        </w:rPr>
        <w:t>favour</w:t>
      </w:r>
      <w:proofErr w:type="spellEnd"/>
      <w:r w:rsidRPr="00664BFF">
        <w:rPr>
          <w:rFonts w:ascii="Arial" w:hAnsi="Arial" w:cs="Arial"/>
          <w:color w:val="1F1F1F"/>
          <w:szCs w:val="22"/>
        </w:rPr>
        <w:t xml:space="preserve"> of their clinical label. Education should also focus on the "human rights" approach to disability, moving professionals away from the role of "healer" to the role of "facilitator."</w:t>
      </w:r>
    </w:p>
    <w:p w14:paraId="650E8695" w14:textId="77777777" w:rsidR="00452995" w:rsidRDefault="00494ABE">
      <w:pPr>
        <w:pStyle w:val="Heading3"/>
        <w:keepNext w:val="0"/>
        <w:keepLines w:val="0"/>
        <w:spacing w:before="0" w:after="120" w:line="14" w:lineRule="atLeast"/>
        <w:jc w:val="both"/>
        <w:rPr>
          <w:rFonts w:ascii="Arial" w:hAnsi="Arial" w:cs="Arial"/>
        </w:rPr>
      </w:pPr>
      <w:r>
        <w:rPr>
          <w:rFonts w:ascii="Arial" w:hAnsi="Arial" w:cs="Arial"/>
          <w:b/>
          <w:bCs/>
          <w:color w:val="1F1F1F"/>
          <w14:textFill>
            <w14:solidFill>
              <w14:srgbClr w14:val="1F1F1F">
                <w14:lumMod w14:val="95000"/>
                <w14:lumOff w14:val="5000"/>
              </w14:srgbClr>
            </w14:solidFill>
          </w14:textFill>
        </w:rPr>
        <w:t>4.4 Legislative Enforcement and Funding</w:t>
      </w:r>
    </w:p>
    <w:p w14:paraId="650E8696" w14:textId="6982B6D8"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color w:val="1F1F1F"/>
          <w:szCs w:val="22"/>
        </w:rPr>
        <w:t xml:space="preserve">Finally, policy should </w:t>
      </w:r>
      <w:proofErr w:type="spellStart"/>
      <w:r w:rsidR="00D04876" w:rsidRPr="007E1FD5">
        <w:rPr>
          <w:rFonts w:ascii="Arial" w:hAnsi="Arial" w:cs="Arial"/>
          <w:color w:val="1F1F1F"/>
          <w:szCs w:val="22"/>
        </w:rPr>
        <w:t>prioritise</w:t>
      </w:r>
      <w:proofErr w:type="spellEnd"/>
      <w:r w:rsidRPr="007E1FD5">
        <w:rPr>
          <w:rFonts w:ascii="Arial" w:hAnsi="Arial" w:cs="Arial"/>
          <w:color w:val="1F1F1F"/>
          <w:szCs w:val="22"/>
        </w:rPr>
        <w:t xml:space="preserve"> holistic funding for social inclusion as a preventative health measure. Strengthening the enforcement of the Equality Act 2010 is also crucial. Rather than placing the burden on the disabled individual to bring a legal challenge against an inaccessible service, the government should establish a proactive "Accessibility Inspectorate" to audit providers. By investing in community-based support and accessible transport, as suggested by the NHS Long Term Plan, the healthcare system can reduce the long-term burden on acute services while fostering a society where every person is valued as an equal member.</w:t>
      </w:r>
    </w:p>
    <w:p w14:paraId="6068641F" w14:textId="77777777" w:rsidR="00851C25" w:rsidRDefault="00851C25">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6AED88A6" w14:textId="77777777" w:rsidR="00851C25" w:rsidRDefault="00851C25">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650E8697" w14:textId="1FD5DF8B" w:rsidR="00452995" w:rsidRDefault="00494ABE">
      <w:pPr>
        <w:pStyle w:val="Heading2"/>
        <w:keepNext w:val="0"/>
        <w:keepLines w:val="0"/>
        <w:spacing w:before="0" w:after="120" w:line="14" w:lineRule="atLeast"/>
        <w:jc w:val="both"/>
        <w:rPr>
          <w:rFonts w:ascii="Arial" w:hAnsi="Arial" w:cs="Arial"/>
          <w:sz w:val="24"/>
          <w:szCs w:val="24"/>
        </w:rPr>
      </w:pPr>
      <w:r>
        <w:rPr>
          <w:rFonts w:ascii="Arial" w:hAnsi="Arial" w:cs="Arial"/>
          <w:b/>
          <w:bCs/>
          <w:color w:val="1F1F1F"/>
          <w:sz w:val="24"/>
          <w:szCs w:val="24"/>
          <w14:textFill>
            <w14:solidFill>
              <w14:srgbClr w14:val="1F1F1F">
                <w14:lumMod w14:val="85000"/>
                <w14:lumOff w14:val="15000"/>
              </w14:srgbClr>
            </w14:solidFill>
          </w14:textFill>
        </w:rPr>
        <w:t>5. Conclusion</w:t>
      </w:r>
    </w:p>
    <w:p w14:paraId="650E8698"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color w:val="1F1F1F"/>
          <w:szCs w:val="22"/>
        </w:rPr>
        <w:t>The Social Model of Disability represents a landmark shift in the history of human rights and social care. By decoupling impairment from disability, it has provided a powerful tool for challenging oppression and demanding a more inclusive society. It has moved the discourse from tragedy to citizenship and from paternalism to autonomy. Throughout its development, the model has faced and integrated critiques regarding the reality of the body and the diversity of the disabled experience through an intersectional lens, moving toward a more sophisticated social-relational understanding.</w:t>
      </w:r>
    </w:p>
    <w:p w14:paraId="650E8699" w14:textId="5113CF48"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color w:val="1F1F1F"/>
          <w:szCs w:val="22"/>
        </w:rPr>
        <w:t xml:space="preserve">While it has been successfully applied to modern UK policies like the Care Act 2014 and integrated into the NHS's vision for </w:t>
      </w:r>
      <w:proofErr w:type="spellStart"/>
      <w:r w:rsidRPr="007E1FD5">
        <w:rPr>
          <w:rFonts w:ascii="Arial" w:hAnsi="Arial" w:cs="Arial"/>
          <w:color w:val="1F1F1F"/>
          <w:szCs w:val="22"/>
        </w:rPr>
        <w:t>personalised</w:t>
      </w:r>
      <w:proofErr w:type="spellEnd"/>
      <w:r w:rsidRPr="007E1FD5">
        <w:rPr>
          <w:rFonts w:ascii="Arial" w:hAnsi="Arial" w:cs="Arial"/>
          <w:color w:val="1F1F1F"/>
          <w:szCs w:val="22"/>
        </w:rPr>
        <w:t xml:space="preserve"> care, significant implementation problems remain</w:t>
      </w:r>
      <w:r w:rsidR="00D04876" w:rsidRPr="007E1FD5">
        <w:rPr>
          <w:rFonts w:ascii="Arial" w:hAnsi="Arial" w:cs="Arial"/>
          <w:color w:val="1F1F1F"/>
          <w:szCs w:val="22"/>
        </w:rPr>
        <w:t>,</w:t>
      </w:r>
      <w:r w:rsidRPr="007E1FD5">
        <w:rPr>
          <w:rFonts w:ascii="Arial" w:hAnsi="Arial" w:cs="Arial"/>
          <w:color w:val="1F1F1F"/>
          <w:szCs w:val="22"/>
        </w:rPr>
        <w:t xml:space="preserve"> most notably the lingering </w:t>
      </w:r>
      <w:proofErr w:type="spellStart"/>
      <w:r w:rsidR="00D04876" w:rsidRPr="007E1FD5">
        <w:rPr>
          <w:rFonts w:ascii="Arial" w:hAnsi="Arial" w:cs="Arial"/>
          <w:color w:val="1F1F1F"/>
          <w:szCs w:val="22"/>
        </w:rPr>
        <w:t>medicalisation</w:t>
      </w:r>
      <w:proofErr w:type="spellEnd"/>
      <w:r w:rsidRPr="007E1FD5">
        <w:rPr>
          <w:rFonts w:ascii="Arial" w:hAnsi="Arial" w:cs="Arial"/>
          <w:color w:val="1F1F1F"/>
          <w:szCs w:val="22"/>
        </w:rPr>
        <w:t xml:space="preserve"> of eligibility and the impact of financial constraints. The recommendations provided</w:t>
      </w:r>
      <w:r w:rsidR="004D0E4E" w:rsidRPr="007E1FD5">
        <w:rPr>
          <w:rFonts w:ascii="Arial" w:hAnsi="Arial" w:cs="Arial"/>
          <w:color w:val="1F1F1F"/>
          <w:szCs w:val="22"/>
        </w:rPr>
        <w:t>,</w:t>
      </w:r>
      <w:r w:rsidRPr="007E1FD5">
        <w:rPr>
          <w:rFonts w:ascii="Arial" w:hAnsi="Arial" w:cs="Arial"/>
          <w:color w:val="1F1F1F"/>
          <w:szCs w:val="22"/>
        </w:rPr>
        <w:t xml:space="preserve"> focusing on co-production, assessment reform, and mandatory education</w:t>
      </w:r>
      <w:r w:rsidR="004D0E4E" w:rsidRPr="007E1FD5">
        <w:rPr>
          <w:rFonts w:ascii="Arial" w:hAnsi="Arial" w:cs="Arial"/>
          <w:color w:val="1F1F1F"/>
          <w:szCs w:val="22"/>
        </w:rPr>
        <w:t>,</w:t>
      </w:r>
      <w:r w:rsidRPr="007E1FD5">
        <w:rPr>
          <w:rFonts w:ascii="Arial" w:hAnsi="Arial" w:cs="Arial"/>
          <w:color w:val="1F1F1F"/>
          <w:szCs w:val="22"/>
        </w:rPr>
        <w:t xml:space="preserve"> offer a path toward a truly barrier-free society. The challenge for the next generation of professionals is to ensure that the Social Model is not just a theoretical concept used in assignments but a lived reality. The ultimate goal remains a world where every person, regardless of their physical or mental condition, has the right to a full, independent, and dignified life.</w:t>
      </w:r>
    </w:p>
    <w:p w14:paraId="6A4F6293" w14:textId="77777777" w:rsidR="004D0E4E" w:rsidRPr="007E1FD5" w:rsidRDefault="004D0E4E">
      <w:pPr>
        <w:pStyle w:val="Heading2"/>
        <w:keepNext w:val="0"/>
        <w:keepLines w:val="0"/>
        <w:spacing w:before="0" w:after="120" w:line="14" w:lineRule="atLeast"/>
        <w:jc w:val="both"/>
        <w:rPr>
          <w:rFonts w:ascii="Arial" w:hAnsi="Arial" w:cs="Arial"/>
          <w:b/>
          <w:bCs/>
          <w:color w:val="1F1F1F"/>
          <w:sz w:val="22"/>
          <w:szCs w:val="22"/>
          <w14:textFill>
            <w14:solidFill>
              <w14:srgbClr w14:val="1F1F1F">
                <w14:lumMod w14:val="85000"/>
                <w14:lumOff w14:val="15000"/>
              </w14:srgbClr>
            </w14:solidFill>
          </w14:textFill>
        </w:rPr>
      </w:pPr>
    </w:p>
    <w:p w14:paraId="58C12992" w14:textId="77777777" w:rsidR="004D0E4E" w:rsidRPr="007E1FD5" w:rsidRDefault="004D0E4E">
      <w:pPr>
        <w:pStyle w:val="Heading2"/>
        <w:keepNext w:val="0"/>
        <w:keepLines w:val="0"/>
        <w:spacing w:before="0" w:after="120" w:line="14" w:lineRule="atLeast"/>
        <w:jc w:val="both"/>
        <w:rPr>
          <w:rFonts w:ascii="Arial" w:hAnsi="Arial" w:cs="Arial"/>
          <w:b/>
          <w:bCs/>
          <w:color w:val="1F1F1F"/>
          <w:sz w:val="22"/>
          <w:szCs w:val="22"/>
          <w14:textFill>
            <w14:solidFill>
              <w14:srgbClr w14:val="1F1F1F">
                <w14:lumMod w14:val="85000"/>
                <w14:lumOff w14:val="15000"/>
              </w14:srgbClr>
            </w14:solidFill>
          </w14:textFill>
        </w:rPr>
      </w:pPr>
    </w:p>
    <w:p w14:paraId="00AC9F8A" w14:textId="77777777" w:rsidR="004D0E4E" w:rsidRDefault="004D0E4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01E18584" w14:textId="77777777" w:rsidR="004D0E4E" w:rsidRDefault="004D0E4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7D76DDBC" w14:textId="77777777" w:rsidR="004D0E4E" w:rsidRDefault="004D0E4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3A6774B3" w14:textId="77777777" w:rsidR="004D0E4E" w:rsidRDefault="004D0E4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2531387C" w14:textId="77777777" w:rsidR="004D0E4E" w:rsidRDefault="004D0E4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3A184A4C" w14:textId="77777777" w:rsidR="007E1FD5" w:rsidRDefault="007E1FD5" w:rsidP="007E1FD5"/>
    <w:p w14:paraId="4C0203B8" w14:textId="77777777" w:rsidR="007E1FD5" w:rsidRDefault="007E1FD5" w:rsidP="007E1FD5"/>
    <w:p w14:paraId="0DB5E37A" w14:textId="77777777" w:rsidR="00F534E9" w:rsidRDefault="00F534E9" w:rsidP="007E1FD5"/>
    <w:p w14:paraId="76CFFC64" w14:textId="77777777" w:rsidR="00F534E9" w:rsidRDefault="00F534E9" w:rsidP="007E1FD5"/>
    <w:p w14:paraId="76C772AB" w14:textId="77777777" w:rsidR="00F534E9" w:rsidRDefault="00F534E9" w:rsidP="007E1FD5"/>
    <w:p w14:paraId="43AC8396" w14:textId="77777777" w:rsidR="00F534E9" w:rsidRDefault="00F534E9" w:rsidP="007E1FD5"/>
    <w:p w14:paraId="71BC0B9C" w14:textId="77777777" w:rsidR="00F534E9" w:rsidRDefault="00F534E9" w:rsidP="007E1FD5"/>
    <w:p w14:paraId="2FD3EF4E" w14:textId="77777777" w:rsidR="00F534E9" w:rsidRDefault="00F534E9" w:rsidP="007E1FD5"/>
    <w:p w14:paraId="690C2A4A" w14:textId="77777777" w:rsidR="00F534E9" w:rsidRDefault="00F534E9" w:rsidP="007E1FD5"/>
    <w:p w14:paraId="5150B818" w14:textId="77777777" w:rsidR="00F534E9" w:rsidRDefault="00F534E9" w:rsidP="007E1FD5"/>
    <w:p w14:paraId="1C200084" w14:textId="77777777" w:rsidR="00F534E9" w:rsidRDefault="00F534E9" w:rsidP="007E1FD5"/>
    <w:p w14:paraId="001A9C4E" w14:textId="77777777" w:rsidR="00F534E9" w:rsidRDefault="00F534E9" w:rsidP="007E1FD5"/>
    <w:p w14:paraId="308DE771" w14:textId="77777777" w:rsidR="00F534E9" w:rsidRPr="007E1FD5" w:rsidRDefault="00F534E9" w:rsidP="007E1FD5"/>
    <w:p w14:paraId="6F0245A1" w14:textId="77777777" w:rsidR="004D0E4E" w:rsidRDefault="004D0E4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p>
    <w:p w14:paraId="650E869A" w14:textId="6C50B37A" w:rsidR="00452995" w:rsidRDefault="00494ABE">
      <w:pPr>
        <w:pStyle w:val="Heading2"/>
        <w:keepNext w:val="0"/>
        <w:keepLines w:val="0"/>
        <w:spacing w:before="0" w:after="120" w:line="14" w:lineRule="atLeast"/>
        <w:jc w:val="both"/>
        <w:rPr>
          <w:rFonts w:ascii="Arial" w:hAnsi="Arial" w:cs="Arial"/>
          <w:b/>
          <w:bCs/>
          <w:color w:val="1F1F1F"/>
          <w:sz w:val="24"/>
          <w:szCs w:val="24"/>
          <w14:textFill>
            <w14:solidFill>
              <w14:srgbClr w14:val="1F1F1F">
                <w14:lumMod w14:val="85000"/>
                <w14:lumOff w14:val="15000"/>
              </w14:srgbClr>
            </w14:solidFill>
          </w14:textFill>
        </w:rPr>
      </w:pPr>
      <w:r>
        <w:rPr>
          <w:rFonts w:ascii="Arial" w:hAnsi="Arial" w:cs="Arial"/>
          <w:b/>
          <w:bCs/>
          <w:color w:val="1F1F1F"/>
          <w:sz w:val="24"/>
          <w:szCs w:val="24"/>
          <w14:textFill>
            <w14:solidFill>
              <w14:srgbClr w14:val="1F1F1F">
                <w14:lumMod w14:val="85000"/>
                <w14:lumOff w14:val="15000"/>
              </w14:srgbClr>
            </w14:solidFill>
          </w14:textFill>
        </w:rPr>
        <w:t>5. References</w:t>
      </w:r>
    </w:p>
    <w:p w14:paraId="4A093176" w14:textId="77777777" w:rsidR="004D0E4E" w:rsidRPr="004D0E4E" w:rsidRDefault="004D0E4E" w:rsidP="004D0E4E"/>
    <w:p w14:paraId="650E869B" w14:textId="3F430334"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Barnes, C. and Mercer, G.</w:t>
      </w:r>
      <w:r w:rsidRPr="007E1FD5">
        <w:rPr>
          <w:rFonts w:ascii="Arial" w:hAnsi="Arial" w:cs="Arial"/>
          <w:color w:val="1F1F1F"/>
          <w:szCs w:val="22"/>
        </w:rPr>
        <w:t xml:space="preserve"> (2010)</w:t>
      </w:r>
      <w:r w:rsidR="004D0E4E" w:rsidRPr="007E1FD5">
        <w:rPr>
          <w:rFonts w:ascii="Arial" w:hAnsi="Arial" w:cs="Arial"/>
          <w:color w:val="1F1F1F"/>
          <w:szCs w:val="22"/>
        </w:rPr>
        <w:t>.</w:t>
      </w:r>
      <w:r w:rsidRPr="007E1FD5">
        <w:rPr>
          <w:rFonts w:ascii="Arial" w:hAnsi="Arial" w:cs="Arial"/>
          <w:color w:val="1F1F1F"/>
          <w:szCs w:val="22"/>
        </w:rPr>
        <w:t xml:space="preserve"> </w:t>
      </w:r>
      <w:r w:rsidRPr="007E1FD5">
        <w:rPr>
          <w:rFonts w:ascii="Arial" w:hAnsi="Arial" w:cs="Arial"/>
          <w:i/>
          <w:iCs/>
          <w:color w:val="1F1F1F"/>
          <w:szCs w:val="22"/>
        </w:rPr>
        <w:t>Exploring Disability</w:t>
      </w:r>
      <w:r w:rsidRPr="007E1FD5">
        <w:rPr>
          <w:rFonts w:ascii="Arial" w:hAnsi="Arial" w:cs="Arial"/>
          <w:color w:val="1F1F1F"/>
          <w:szCs w:val="22"/>
        </w:rPr>
        <w:t xml:space="preserve">. 2nd </w:t>
      </w:r>
      <w:proofErr w:type="spellStart"/>
      <w:r w:rsidRPr="007E1FD5">
        <w:rPr>
          <w:rFonts w:ascii="Arial" w:hAnsi="Arial" w:cs="Arial"/>
          <w:color w:val="1F1F1F"/>
          <w:szCs w:val="22"/>
        </w:rPr>
        <w:t>edn</w:t>
      </w:r>
      <w:proofErr w:type="spellEnd"/>
      <w:r w:rsidRPr="007E1FD5">
        <w:rPr>
          <w:rFonts w:ascii="Arial" w:hAnsi="Arial" w:cs="Arial"/>
          <w:color w:val="1F1F1F"/>
          <w:szCs w:val="22"/>
        </w:rPr>
        <w:t>. Cambridge: Polity Press.</w:t>
      </w:r>
    </w:p>
    <w:p w14:paraId="650E869C"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Department of Health</w:t>
      </w:r>
      <w:r w:rsidRPr="007E1FD5">
        <w:rPr>
          <w:rFonts w:ascii="Arial" w:hAnsi="Arial" w:cs="Arial"/>
          <w:color w:val="1F1F1F"/>
          <w:szCs w:val="22"/>
        </w:rPr>
        <w:t xml:space="preserve"> (2001) </w:t>
      </w:r>
      <w:r w:rsidRPr="007E1FD5">
        <w:rPr>
          <w:rFonts w:ascii="Arial" w:hAnsi="Arial" w:cs="Arial"/>
          <w:i/>
          <w:iCs/>
          <w:color w:val="1F1F1F"/>
          <w:szCs w:val="22"/>
        </w:rPr>
        <w:t>Valuing People: A New Strategy for Learning Disability for the 21st Century</w:t>
      </w:r>
      <w:r w:rsidRPr="007E1FD5">
        <w:rPr>
          <w:rFonts w:ascii="Arial" w:hAnsi="Arial" w:cs="Arial"/>
          <w:color w:val="1F1F1F"/>
          <w:szCs w:val="22"/>
        </w:rPr>
        <w:t>. London: The Stationery Office.</w:t>
      </w:r>
    </w:p>
    <w:p w14:paraId="650E869D"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Finkelstein, V.</w:t>
      </w:r>
      <w:r w:rsidRPr="007E1FD5">
        <w:rPr>
          <w:rFonts w:ascii="Arial" w:hAnsi="Arial" w:cs="Arial"/>
          <w:color w:val="1F1F1F"/>
          <w:szCs w:val="22"/>
        </w:rPr>
        <w:t xml:space="preserve"> (1980) </w:t>
      </w:r>
      <w:r w:rsidRPr="007E1FD5">
        <w:rPr>
          <w:rFonts w:ascii="Arial" w:hAnsi="Arial" w:cs="Arial"/>
          <w:i/>
          <w:iCs/>
          <w:color w:val="1F1F1F"/>
          <w:szCs w:val="22"/>
        </w:rPr>
        <w:t>Attitudes and Disabled People: Issues for Discussion</w:t>
      </w:r>
      <w:r w:rsidRPr="007E1FD5">
        <w:rPr>
          <w:rFonts w:ascii="Arial" w:hAnsi="Arial" w:cs="Arial"/>
          <w:color w:val="1F1F1F"/>
          <w:szCs w:val="22"/>
        </w:rPr>
        <w:t>. New York: World Rehabilitation Fund.</w:t>
      </w:r>
    </w:p>
    <w:p w14:paraId="650E869E"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NHS England</w:t>
      </w:r>
      <w:r w:rsidRPr="007E1FD5">
        <w:rPr>
          <w:rFonts w:ascii="Arial" w:hAnsi="Arial" w:cs="Arial"/>
          <w:color w:val="1F1F1F"/>
          <w:szCs w:val="22"/>
        </w:rPr>
        <w:t xml:space="preserve"> (2017) </w:t>
      </w:r>
      <w:r w:rsidRPr="007E1FD5">
        <w:rPr>
          <w:rFonts w:ascii="Arial" w:hAnsi="Arial" w:cs="Arial"/>
          <w:i/>
          <w:iCs/>
          <w:color w:val="1F1F1F"/>
          <w:szCs w:val="22"/>
        </w:rPr>
        <w:t>Patient and Public Participation in Commissioning Health and Care: Statutory Guidance for Clinical Commissioning Groups and NHS England</w:t>
      </w:r>
      <w:r w:rsidRPr="007E1FD5">
        <w:rPr>
          <w:rFonts w:ascii="Arial" w:hAnsi="Arial" w:cs="Arial"/>
          <w:color w:val="1F1F1F"/>
          <w:szCs w:val="22"/>
        </w:rPr>
        <w:t>. Leeds: NHS England.</w:t>
      </w:r>
    </w:p>
    <w:p w14:paraId="650E869F" w14:textId="0FAA8E4F"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NHS England</w:t>
      </w:r>
      <w:r w:rsidRPr="007E1FD5">
        <w:rPr>
          <w:rFonts w:ascii="Arial" w:hAnsi="Arial" w:cs="Arial"/>
          <w:color w:val="1F1F1F"/>
          <w:szCs w:val="22"/>
        </w:rPr>
        <w:t xml:space="preserve"> (2019)</w:t>
      </w:r>
      <w:r w:rsidR="004D0E4E" w:rsidRPr="007E1FD5">
        <w:rPr>
          <w:rFonts w:ascii="Arial" w:hAnsi="Arial" w:cs="Arial"/>
          <w:color w:val="1F1F1F"/>
          <w:szCs w:val="22"/>
        </w:rPr>
        <w:t>.</w:t>
      </w:r>
      <w:r w:rsidRPr="007E1FD5">
        <w:rPr>
          <w:rFonts w:ascii="Arial" w:hAnsi="Arial" w:cs="Arial"/>
          <w:color w:val="1F1F1F"/>
          <w:szCs w:val="22"/>
        </w:rPr>
        <w:t xml:space="preserve"> </w:t>
      </w:r>
      <w:r w:rsidRPr="007E1FD5">
        <w:rPr>
          <w:rFonts w:ascii="Arial" w:hAnsi="Arial" w:cs="Arial"/>
          <w:i/>
          <w:iCs/>
          <w:color w:val="1F1F1F"/>
          <w:szCs w:val="22"/>
        </w:rPr>
        <w:t>The NHS Long Term Plan</w:t>
      </w:r>
      <w:r w:rsidRPr="007E1FD5">
        <w:rPr>
          <w:rFonts w:ascii="Arial" w:hAnsi="Arial" w:cs="Arial"/>
          <w:color w:val="1F1F1F"/>
          <w:szCs w:val="22"/>
        </w:rPr>
        <w:t>. London: NHS England.</w:t>
      </w:r>
    </w:p>
    <w:p w14:paraId="650E86A0" w14:textId="382E3DC1"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Oliver, M.</w:t>
      </w:r>
      <w:r w:rsidRPr="007E1FD5">
        <w:rPr>
          <w:rFonts w:ascii="Arial" w:hAnsi="Arial" w:cs="Arial"/>
          <w:color w:val="1F1F1F"/>
          <w:szCs w:val="22"/>
        </w:rPr>
        <w:t xml:space="preserve"> (1990)</w:t>
      </w:r>
      <w:r w:rsidR="004D0E4E" w:rsidRPr="007E1FD5">
        <w:rPr>
          <w:rFonts w:ascii="Arial" w:hAnsi="Arial" w:cs="Arial"/>
          <w:color w:val="1F1F1F"/>
          <w:szCs w:val="22"/>
        </w:rPr>
        <w:t>.</w:t>
      </w:r>
      <w:r w:rsidRPr="007E1FD5">
        <w:rPr>
          <w:rFonts w:ascii="Arial" w:hAnsi="Arial" w:cs="Arial"/>
          <w:color w:val="1F1F1F"/>
          <w:szCs w:val="22"/>
        </w:rPr>
        <w:t xml:space="preserve"> </w:t>
      </w:r>
      <w:r w:rsidRPr="007E1FD5">
        <w:rPr>
          <w:rFonts w:ascii="Arial" w:hAnsi="Arial" w:cs="Arial"/>
          <w:i/>
          <w:iCs/>
          <w:color w:val="1F1F1F"/>
          <w:szCs w:val="22"/>
        </w:rPr>
        <w:t>The Politics of Disablement</w:t>
      </w:r>
      <w:r w:rsidRPr="007E1FD5">
        <w:rPr>
          <w:rFonts w:ascii="Arial" w:hAnsi="Arial" w:cs="Arial"/>
          <w:color w:val="1F1F1F"/>
          <w:szCs w:val="22"/>
        </w:rPr>
        <w:t>. London: Macmillan.</w:t>
      </w:r>
    </w:p>
    <w:p w14:paraId="650E86A1"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Oliver, M.</w:t>
      </w:r>
      <w:r w:rsidRPr="007E1FD5">
        <w:rPr>
          <w:rFonts w:ascii="Arial" w:hAnsi="Arial" w:cs="Arial"/>
          <w:color w:val="1F1F1F"/>
          <w:szCs w:val="22"/>
        </w:rPr>
        <w:t xml:space="preserve"> (2013) ‘The social model of disability: thirty years on’, </w:t>
      </w:r>
      <w:r w:rsidRPr="007E1FD5">
        <w:rPr>
          <w:rFonts w:ascii="Arial" w:hAnsi="Arial" w:cs="Arial"/>
          <w:i/>
          <w:iCs/>
          <w:color w:val="1F1F1F"/>
          <w:szCs w:val="22"/>
        </w:rPr>
        <w:t>Disability &amp; Society</w:t>
      </w:r>
      <w:r w:rsidRPr="007E1FD5">
        <w:rPr>
          <w:rFonts w:ascii="Arial" w:hAnsi="Arial" w:cs="Arial"/>
          <w:color w:val="1F1F1F"/>
          <w:szCs w:val="22"/>
        </w:rPr>
        <w:t>, 28(7), pp. 1024-1026.</w:t>
      </w:r>
    </w:p>
    <w:p w14:paraId="650E86A2"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Shakespeare, T.</w:t>
      </w:r>
      <w:r w:rsidRPr="007E1FD5">
        <w:rPr>
          <w:rFonts w:ascii="Arial" w:hAnsi="Arial" w:cs="Arial"/>
          <w:color w:val="1F1F1F"/>
          <w:szCs w:val="22"/>
        </w:rPr>
        <w:t xml:space="preserve"> (2014) </w:t>
      </w:r>
      <w:r w:rsidRPr="007E1FD5">
        <w:rPr>
          <w:rFonts w:ascii="Arial" w:hAnsi="Arial" w:cs="Arial"/>
          <w:i/>
          <w:iCs/>
          <w:color w:val="1F1F1F"/>
          <w:szCs w:val="22"/>
        </w:rPr>
        <w:t>Disability Rights and Wrongs Revisited</w:t>
      </w:r>
      <w:r w:rsidRPr="007E1FD5">
        <w:rPr>
          <w:rFonts w:ascii="Arial" w:hAnsi="Arial" w:cs="Arial"/>
          <w:color w:val="1F1F1F"/>
          <w:szCs w:val="22"/>
        </w:rPr>
        <w:t xml:space="preserve">. 2nd </w:t>
      </w:r>
      <w:proofErr w:type="spellStart"/>
      <w:r w:rsidRPr="007E1FD5">
        <w:rPr>
          <w:rFonts w:ascii="Arial" w:hAnsi="Arial" w:cs="Arial"/>
          <w:color w:val="1F1F1F"/>
          <w:szCs w:val="22"/>
        </w:rPr>
        <w:t>edn</w:t>
      </w:r>
      <w:proofErr w:type="spellEnd"/>
      <w:r w:rsidRPr="007E1FD5">
        <w:rPr>
          <w:rFonts w:ascii="Arial" w:hAnsi="Arial" w:cs="Arial"/>
          <w:color w:val="1F1F1F"/>
          <w:szCs w:val="22"/>
        </w:rPr>
        <w:t>. London: Routledge.</w:t>
      </w:r>
    </w:p>
    <w:p w14:paraId="650E86A3"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Swain, J., French, S., Barnes, C. and Thomas, C.</w:t>
      </w:r>
      <w:r w:rsidRPr="007E1FD5">
        <w:rPr>
          <w:rFonts w:ascii="Arial" w:hAnsi="Arial" w:cs="Arial"/>
          <w:color w:val="1F1F1F"/>
          <w:szCs w:val="22"/>
        </w:rPr>
        <w:t xml:space="preserve"> (2014) </w:t>
      </w:r>
      <w:r w:rsidRPr="007E1FD5">
        <w:rPr>
          <w:rFonts w:ascii="Arial" w:hAnsi="Arial" w:cs="Arial"/>
          <w:i/>
          <w:iCs/>
          <w:color w:val="1F1F1F"/>
          <w:szCs w:val="22"/>
        </w:rPr>
        <w:t>Disabling Barriers - Enabling Environments</w:t>
      </w:r>
      <w:r w:rsidRPr="007E1FD5">
        <w:rPr>
          <w:rFonts w:ascii="Arial" w:hAnsi="Arial" w:cs="Arial"/>
          <w:color w:val="1F1F1F"/>
          <w:szCs w:val="22"/>
        </w:rPr>
        <w:t xml:space="preserve">. 3rd </w:t>
      </w:r>
      <w:proofErr w:type="spellStart"/>
      <w:r w:rsidRPr="007E1FD5">
        <w:rPr>
          <w:rFonts w:ascii="Arial" w:hAnsi="Arial" w:cs="Arial"/>
          <w:color w:val="1F1F1F"/>
          <w:szCs w:val="22"/>
        </w:rPr>
        <w:t>edn</w:t>
      </w:r>
      <w:proofErr w:type="spellEnd"/>
      <w:r w:rsidRPr="007E1FD5">
        <w:rPr>
          <w:rFonts w:ascii="Arial" w:hAnsi="Arial" w:cs="Arial"/>
          <w:color w:val="1F1F1F"/>
          <w:szCs w:val="22"/>
        </w:rPr>
        <w:t>. London: SAGE.</w:t>
      </w:r>
    </w:p>
    <w:p w14:paraId="650E86A4" w14:textId="77777777"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Thomas, C.</w:t>
      </w:r>
      <w:r w:rsidRPr="007E1FD5">
        <w:rPr>
          <w:rFonts w:ascii="Arial" w:hAnsi="Arial" w:cs="Arial"/>
          <w:color w:val="1F1F1F"/>
          <w:szCs w:val="22"/>
        </w:rPr>
        <w:t xml:space="preserve"> (2007) </w:t>
      </w:r>
      <w:r w:rsidRPr="007E1FD5">
        <w:rPr>
          <w:rFonts w:ascii="Arial" w:hAnsi="Arial" w:cs="Arial"/>
          <w:i/>
          <w:iCs/>
          <w:color w:val="1F1F1F"/>
          <w:szCs w:val="22"/>
        </w:rPr>
        <w:t>Sociologies of Disability and Illness</w:t>
      </w:r>
      <w:r w:rsidRPr="007E1FD5">
        <w:rPr>
          <w:rFonts w:ascii="Arial" w:hAnsi="Arial" w:cs="Arial"/>
          <w:color w:val="1F1F1F"/>
          <w:szCs w:val="22"/>
        </w:rPr>
        <w:t>. Basingstoke: Palgrave Macmillan.</w:t>
      </w:r>
    </w:p>
    <w:p w14:paraId="650E86A5" w14:textId="6BF967C3" w:rsidR="00452995" w:rsidRPr="007E1FD5" w:rsidRDefault="00494ABE">
      <w:pPr>
        <w:pStyle w:val="NormalWeb"/>
        <w:spacing w:before="0" w:beforeAutospacing="0" w:after="240" w:afterAutospacing="0" w:line="14" w:lineRule="atLeast"/>
        <w:jc w:val="both"/>
        <w:rPr>
          <w:rFonts w:ascii="Arial" w:hAnsi="Arial" w:cs="Arial"/>
          <w:szCs w:val="22"/>
        </w:rPr>
      </w:pPr>
      <w:r w:rsidRPr="007E1FD5">
        <w:rPr>
          <w:rFonts w:ascii="Arial" w:hAnsi="Arial" w:cs="Arial"/>
          <w:b/>
          <w:bCs/>
          <w:color w:val="1F1F1F"/>
          <w:szCs w:val="22"/>
        </w:rPr>
        <w:t>Union of the Physically Impaired Against Segregation</w:t>
      </w:r>
      <w:r w:rsidRPr="007E1FD5">
        <w:rPr>
          <w:rFonts w:ascii="Arial" w:hAnsi="Arial" w:cs="Arial"/>
          <w:color w:val="1F1F1F"/>
          <w:szCs w:val="22"/>
        </w:rPr>
        <w:t xml:space="preserve"> (1976)</w:t>
      </w:r>
      <w:r w:rsidR="004D0E4E" w:rsidRPr="007E1FD5">
        <w:rPr>
          <w:rFonts w:ascii="Arial" w:hAnsi="Arial" w:cs="Arial"/>
          <w:color w:val="1F1F1F"/>
          <w:szCs w:val="22"/>
        </w:rPr>
        <w:t>.</w:t>
      </w:r>
      <w:r w:rsidRPr="007E1FD5">
        <w:rPr>
          <w:rFonts w:ascii="Arial" w:hAnsi="Arial" w:cs="Arial"/>
          <w:color w:val="1F1F1F"/>
          <w:szCs w:val="22"/>
        </w:rPr>
        <w:t xml:space="preserve"> </w:t>
      </w:r>
      <w:r w:rsidRPr="007E1FD5">
        <w:rPr>
          <w:rFonts w:ascii="Arial" w:hAnsi="Arial" w:cs="Arial"/>
          <w:i/>
          <w:iCs/>
          <w:color w:val="1F1F1F"/>
          <w:szCs w:val="22"/>
        </w:rPr>
        <w:t>Fundamental Principles of Disability</w:t>
      </w:r>
      <w:r w:rsidRPr="007E1FD5">
        <w:rPr>
          <w:rFonts w:ascii="Arial" w:hAnsi="Arial" w:cs="Arial"/>
          <w:color w:val="1F1F1F"/>
          <w:szCs w:val="22"/>
        </w:rPr>
        <w:t>. London: UPIAS.</w:t>
      </w:r>
    </w:p>
    <w:p w14:paraId="650E86A6" w14:textId="290BE811" w:rsidR="00452995" w:rsidRPr="007E1FD5" w:rsidRDefault="00494ABE">
      <w:pPr>
        <w:spacing w:after="0" w:line="360" w:lineRule="auto"/>
        <w:jc w:val="both"/>
        <w:rPr>
          <w:rFonts w:ascii="Arial" w:hAnsi="Arial" w:cs="Arial"/>
        </w:rPr>
      </w:pPr>
      <w:r w:rsidRPr="007E1FD5">
        <w:rPr>
          <w:rFonts w:ascii="Arial" w:eastAsia="SimSun" w:hAnsi="Arial" w:cs="Arial"/>
          <w:b/>
          <w:bCs/>
          <w:color w:val="1F1F1F"/>
        </w:rPr>
        <w:t xml:space="preserve">World Health </w:t>
      </w:r>
      <w:proofErr w:type="spellStart"/>
      <w:r w:rsidR="004D0E4E" w:rsidRPr="007E1FD5">
        <w:rPr>
          <w:rFonts w:ascii="Arial" w:eastAsia="SimSun" w:hAnsi="Arial" w:cs="Arial"/>
          <w:b/>
          <w:bCs/>
          <w:color w:val="1F1F1F"/>
        </w:rPr>
        <w:t>Organisation</w:t>
      </w:r>
      <w:proofErr w:type="spellEnd"/>
      <w:r w:rsidRPr="007E1FD5">
        <w:rPr>
          <w:rFonts w:ascii="Arial" w:eastAsia="SimSun" w:hAnsi="Arial" w:cs="Arial"/>
          <w:color w:val="1F1F1F"/>
        </w:rPr>
        <w:t xml:space="preserve"> (2001) </w:t>
      </w:r>
      <w:r w:rsidRPr="007E1FD5">
        <w:rPr>
          <w:rFonts w:ascii="Arial" w:eastAsia="SimSun" w:hAnsi="Arial" w:cs="Arial"/>
          <w:i/>
          <w:iCs/>
          <w:color w:val="1F1F1F"/>
        </w:rPr>
        <w:t>International Classification of Functioning, Disability and Health (ICF)</w:t>
      </w:r>
      <w:r w:rsidRPr="007E1FD5">
        <w:rPr>
          <w:rFonts w:ascii="Arial" w:eastAsia="SimSun" w:hAnsi="Arial" w:cs="Arial"/>
          <w:color w:val="1F1F1F"/>
        </w:rPr>
        <w:t>. Geneva: WHO.</w:t>
      </w:r>
    </w:p>
    <w:sectPr w:rsidR="00452995" w:rsidRPr="007E1FD5">
      <w:footerReference w:type="default" r:id="rId8"/>
      <w:pgSz w:w="11906" w:h="16838"/>
      <w:pgMar w:top="1440" w:right="1440" w:bottom="162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765F4" w14:textId="77777777" w:rsidR="0068145D" w:rsidRDefault="0068145D">
      <w:pPr>
        <w:spacing w:line="240" w:lineRule="auto"/>
      </w:pPr>
      <w:r>
        <w:separator/>
      </w:r>
    </w:p>
  </w:endnote>
  <w:endnote w:type="continuationSeparator" w:id="0">
    <w:p w14:paraId="0BC2D031" w14:textId="77777777" w:rsidR="0068145D" w:rsidRDefault="006814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053618"/>
      <w:docPartObj>
        <w:docPartGallery w:val="AutoText"/>
      </w:docPartObj>
    </w:sdtPr>
    <w:sdtContent>
      <w:p w14:paraId="650E86AD" w14:textId="77777777" w:rsidR="00452995" w:rsidRDefault="00494ABE">
        <w:pPr>
          <w:pStyle w:val="Footer"/>
          <w:jc w:val="right"/>
        </w:pPr>
        <w:r>
          <w:fldChar w:fldCharType="begin"/>
        </w:r>
        <w:r>
          <w:instrText xml:space="preserve"> PAGE   \* MERGEFORMAT </w:instrText>
        </w:r>
        <w:r>
          <w:fldChar w:fldCharType="separate"/>
        </w:r>
        <w:r>
          <w:t>2</w:t>
        </w:r>
        <w:r>
          <w:fldChar w:fldCharType="end"/>
        </w:r>
      </w:p>
    </w:sdtContent>
  </w:sdt>
  <w:p w14:paraId="650E86AE" w14:textId="77777777" w:rsidR="00452995" w:rsidRDefault="00452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F3D60F" w14:textId="77777777" w:rsidR="0068145D" w:rsidRDefault="0068145D">
      <w:pPr>
        <w:spacing w:after="0"/>
      </w:pPr>
      <w:r>
        <w:separator/>
      </w:r>
    </w:p>
  </w:footnote>
  <w:footnote w:type="continuationSeparator" w:id="0">
    <w:p w14:paraId="0F0DDD5A" w14:textId="77777777" w:rsidR="0068145D" w:rsidRDefault="0068145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387"/>
    <w:rsid w:val="0000096B"/>
    <w:rsid w:val="000525A9"/>
    <w:rsid w:val="0008682D"/>
    <w:rsid w:val="000B386C"/>
    <w:rsid w:val="000B710F"/>
    <w:rsid w:val="00116EB3"/>
    <w:rsid w:val="00127205"/>
    <w:rsid w:val="00151C34"/>
    <w:rsid w:val="001A597C"/>
    <w:rsid w:val="001B73C0"/>
    <w:rsid w:val="001D6818"/>
    <w:rsid w:val="001F1B0A"/>
    <w:rsid w:val="0023220C"/>
    <w:rsid w:val="002A26F0"/>
    <w:rsid w:val="003C5192"/>
    <w:rsid w:val="003C6DEF"/>
    <w:rsid w:val="003E2DB8"/>
    <w:rsid w:val="00403CF3"/>
    <w:rsid w:val="004272B0"/>
    <w:rsid w:val="00452995"/>
    <w:rsid w:val="0046450C"/>
    <w:rsid w:val="00486909"/>
    <w:rsid w:val="00494ABE"/>
    <w:rsid w:val="004D0E4E"/>
    <w:rsid w:val="0050746A"/>
    <w:rsid w:val="005116D8"/>
    <w:rsid w:val="005129C0"/>
    <w:rsid w:val="005131FD"/>
    <w:rsid w:val="0052037E"/>
    <w:rsid w:val="005329ED"/>
    <w:rsid w:val="00546082"/>
    <w:rsid w:val="0058426C"/>
    <w:rsid w:val="00584735"/>
    <w:rsid w:val="005D7B4E"/>
    <w:rsid w:val="005E046D"/>
    <w:rsid w:val="005E334F"/>
    <w:rsid w:val="00621DAD"/>
    <w:rsid w:val="00625B1C"/>
    <w:rsid w:val="00626977"/>
    <w:rsid w:val="00664BFF"/>
    <w:rsid w:val="006669D3"/>
    <w:rsid w:val="0068145D"/>
    <w:rsid w:val="00697432"/>
    <w:rsid w:val="00730248"/>
    <w:rsid w:val="007D35D3"/>
    <w:rsid w:val="007E1FD5"/>
    <w:rsid w:val="007E562F"/>
    <w:rsid w:val="00802621"/>
    <w:rsid w:val="00843AEA"/>
    <w:rsid w:val="00851C25"/>
    <w:rsid w:val="00885FA1"/>
    <w:rsid w:val="0089680B"/>
    <w:rsid w:val="008B13FC"/>
    <w:rsid w:val="00955318"/>
    <w:rsid w:val="009700EB"/>
    <w:rsid w:val="009839F9"/>
    <w:rsid w:val="009C2BBE"/>
    <w:rsid w:val="009D57AD"/>
    <w:rsid w:val="009F311D"/>
    <w:rsid w:val="00A111DE"/>
    <w:rsid w:val="00A15E90"/>
    <w:rsid w:val="00A33577"/>
    <w:rsid w:val="00A9313C"/>
    <w:rsid w:val="00AB5C06"/>
    <w:rsid w:val="00B00E17"/>
    <w:rsid w:val="00B34519"/>
    <w:rsid w:val="00B47C96"/>
    <w:rsid w:val="00B626A7"/>
    <w:rsid w:val="00BC6379"/>
    <w:rsid w:val="00C24748"/>
    <w:rsid w:val="00C4392C"/>
    <w:rsid w:val="00C7651D"/>
    <w:rsid w:val="00C779EE"/>
    <w:rsid w:val="00C965F8"/>
    <w:rsid w:val="00C97BD1"/>
    <w:rsid w:val="00D04876"/>
    <w:rsid w:val="00DA3387"/>
    <w:rsid w:val="00DB1A46"/>
    <w:rsid w:val="00E402F7"/>
    <w:rsid w:val="00E63364"/>
    <w:rsid w:val="00E64570"/>
    <w:rsid w:val="00E86239"/>
    <w:rsid w:val="00EE5D48"/>
    <w:rsid w:val="00F1602B"/>
    <w:rsid w:val="00F46A45"/>
    <w:rsid w:val="00F534E9"/>
    <w:rsid w:val="00F62566"/>
    <w:rsid w:val="00F84E94"/>
    <w:rsid w:val="00FE23CD"/>
    <w:rsid w:val="51AB66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E8665"/>
  <w15:docId w15:val="{37D09AF1-6461-41B0-B80C-6B3EC33B1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EastAsia" w:hAnsiTheme="minorHAnsi" w:cstheme="minorBidi"/>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i/>
      <w:iCs/>
    </w:rPr>
  </w:style>
  <w:style w:type="paragraph" w:styleId="Heading5">
    <w:name w:val="heading 5"/>
    <w:basedOn w:val="Normal"/>
    <w:next w:val="Normal"/>
    <w:link w:val="Heading5Char"/>
    <w:uiPriority w:val="9"/>
    <w:semiHidden/>
    <w:unhideWhenUsed/>
    <w:qFormat/>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pPr>
      <w:keepNext/>
      <w:keepLines/>
      <w:spacing w:before="40" w:after="0"/>
      <w:outlineLvl w:val="5"/>
    </w:p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color w:val="auto"/>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Pr>
      <w:b/>
      <w:bCs/>
      <w:color w:val="auto"/>
    </w:rPr>
  </w:style>
  <w:style w:type="paragraph" w:styleId="Subtitle">
    <w:name w:val="Subtitle"/>
    <w:basedOn w:val="Normal"/>
    <w:next w:val="Normal"/>
    <w:link w:val="SubtitleChar"/>
    <w:uiPriority w:val="11"/>
    <w:qFormat/>
    <w:rPr>
      <w:color w:val="595959" w:themeColor="text1" w:themeTint="A6"/>
      <w:spacing w:val="15"/>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40"/>
    </w:pPr>
    <w:rPr>
      <w:rFonts w:cs="Times New Roman"/>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62626" w:themeColor="text1" w:themeTint="D9"/>
      <w:sz w:val="28"/>
      <w:szCs w:val="28"/>
    </w:rPr>
  </w:style>
  <w:style w:type="character" w:customStyle="1" w:styleId="HeaderChar">
    <w:name w:val="Header Char"/>
    <w:basedOn w:val="DefaultParagraphFont"/>
    <w:link w:val="Header"/>
    <w:uiPriority w:val="99"/>
    <w:rPr>
      <w:rFonts w:ascii="Arial" w:eastAsia="Arial" w:hAnsi="Arial" w:cs="Arial"/>
      <w:color w:val="000000"/>
      <w:sz w:val="24"/>
    </w:rPr>
  </w:style>
  <w:style w:type="character" w:customStyle="1" w:styleId="FooterChar">
    <w:name w:val="Footer Char"/>
    <w:basedOn w:val="DefaultParagraphFont"/>
    <w:link w:val="Footer"/>
    <w:uiPriority w:val="99"/>
    <w:rPr>
      <w:rFonts w:ascii="Arial" w:eastAsia="Arial" w:hAnsi="Arial" w:cs="Arial"/>
      <w:color w:val="000000"/>
      <w:sz w:val="24"/>
    </w:rPr>
  </w:style>
  <w:style w:type="paragraph" w:customStyle="1" w:styleId="TOCHeading1">
    <w:name w:val="TOC Heading1"/>
    <w:basedOn w:val="Heading1"/>
    <w:next w:val="Normal"/>
    <w:uiPriority w:val="39"/>
    <w:unhideWhenUsed/>
    <w:qFormat/>
    <w:pPr>
      <w:outlineLvl w:val="9"/>
    </w:pPr>
  </w:style>
  <w:style w:type="character" w:customStyle="1" w:styleId="whitespace-normal">
    <w:name w:val="whitespace-normal"/>
    <w:basedOn w:val="DefaultParagraphFont"/>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Pr>
      <w:i/>
      <w:iCs/>
    </w:rPr>
  </w:style>
  <w:style w:type="character" w:customStyle="1" w:styleId="Heading5Char">
    <w:name w:val="Heading 5 Char"/>
    <w:basedOn w:val="DefaultParagraphFont"/>
    <w:link w:val="Heading5"/>
    <w:uiPriority w:val="9"/>
    <w:semiHidden/>
    <w:rPr>
      <w:color w:val="404040" w:themeColor="text1" w:themeTint="BF"/>
    </w:rPr>
  </w:style>
  <w:style w:type="character" w:customStyle="1" w:styleId="Heading6Char">
    <w:name w:val="Heading 6 Char"/>
    <w:basedOn w:val="DefaultParagraphFont"/>
    <w:link w:val="Heading6"/>
    <w:uiPriority w:val="9"/>
    <w:semiHidden/>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Pr>
      <w:color w:val="262626" w:themeColor="text1" w:themeTint="D9"/>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62626" w:themeColor="text1" w:themeTint="D9"/>
      <w:sz w:val="21"/>
      <w:szCs w:val="21"/>
    </w:rPr>
  </w:style>
  <w:style w:type="character" w:customStyle="1" w:styleId="TitleChar">
    <w:name w:val="Title Char"/>
    <w:basedOn w:val="DefaultParagraphFont"/>
    <w:link w:val="Title"/>
    <w:uiPriority w:val="10"/>
    <w:rPr>
      <w:rFonts w:asciiTheme="majorHAnsi" w:eastAsiaTheme="majorEastAsia" w:hAnsiTheme="majorHAnsi" w:cstheme="majorBidi"/>
      <w:spacing w:val="-10"/>
      <w:sz w:val="56"/>
      <w:szCs w:val="56"/>
    </w:rPr>
  </w:style>
  <w:style w:type="character" w:customStyle="1" w:styleId="SubtitleChar">
    <w:name w:val="Subtitle Char"/>
    <w:basedOn w:val="DefaultParagraphFont"/>
    <w:link w:val="Subtitle"/>
    <w:uiPriority w:val="11"/>
    <w:rPr>
      <w:color w:val="595959" w:themeColor="text1" w:themeTint="A6"/>
      <w:spacing w:val="15"/>
    </w:rPr>
  </w:style>
  <w:style w:type="paragraph" w:styleId="NoSpacing">
    <w:name w:val="No Spacing"/>
    <w:uiPriority w:val="1"/>
    <w:qFormat/>
    <w:rPr>
      <w:rFonts w:asciiTheme="minorHAnsi" w:eastAsiaTheme="minorEastAsia" w:hAnsiTheme="minorHAnsi" w:cstheme="minorBidi"/>
      <w:sz w:val="22"/>
      <w:szCs w:val="22"/>
    </w:rPr>
  </w:style>
  <w:style w:type="paragraph" w:styleId="Quote">
    <w:name w:val="Quote"/>
    <w:basedOn w:val="Normal"/>
    <w:next w:val="Normal"/>
    <w:link w:val="QuoteChar"/>
    <w:uiPriority w:val="29"/>
    <w:qFormat/>
    <w:pPr>
      <w:spacing w:before="200"/>
      <w:ind w:left="864" w:right="864"/>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404040" w:themeColor="text1" w:themeTint="BF"/>
    </w:rPr>
  </w:style>
  <w:style w:type="character" w:customStyle="1" w:styleId="SubtleEmphasis1">
    <w:name w:val="Subtle Emphasis1"/>
    <w:basedOn w:val="DefaultParagraphFont"/>
    <w:uiPriority w:val="19"/>
    <w:qFormat/>
    <w:rPr>
      <w:i/>
      <w:iCs/>
      <w:color w:val="404040" w:themeColor="text1" w:themeTint="BF"/>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404040" w:themeColor="text1" w:themeTint="BF"/>
    </w:rPr>
  </w:style>
  <w:style w:type="character" w:customStyle="1" w:styleId="IntenseReference1">
    <w:name w:val="Intense Reference1"/>
    <w:basedOn w:val="DefaultParagraphFont"/>
    <w:uiPriority w:val="32"/>
    <w:qFormat/>
    <w:rPr>
      <w:b/>
      <w:bCs/>
      <w:smallCaps/>
      <w:color w:val="404040" w:themeColor="text1" w:themeTint="BF"/>
      <w:spacing w:val="5"/>
    </w:rPr>
  </w:style>
  <w:style w:type="character" w:customStyle="1" w:styleId="BookTitle1">
    <w:name w:val="Book Title1"/>
    <w:basedOn w:val="DefaultParagraphFont"/>
    <w:uiPriority w:val="33"/>
    <w:qFormat/>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0C4B1-FEA5-413A-A453-2776B28FF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2112</Words>
  <Characters>12041</Characters>
  <Application>Microsoft Office Word</Application>
  <DocSecurity>0</DocSecurity>
  <Lines>100</Lines>
  <Paragraphs>28</Paragraphs>
  <ScaleCrop>false</ScaleCrop>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Kazi</dc:creator>
  <cp:lastModifiedBy>Ferdoushi Rahman Monju (2430137)</cp:lastModifiedBy>
  <cp:revision>60</cp:revision>
  <dcterms:created xsi:type="dcterms:W3CDTF">2026-04-25T22:58:00Z</dcterms:created>
  <dcterms:modified xsi:type="dcterms:W3CDTF">2026-04-28T21:02:00Z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55356459-d945-432b-b6fe-546fb6aa0ced</vt:lpwstr>
  </property>
  <property fmtid="{D5CDD505-2E9C-101B-9397-08002B2CF9AE}" pid="3" name="KSOTemplateDocerSaveRecord">
    <vt:lpwstr>eyJoZGlkIjoiNzc1OGY5NzE2NGM3ZjM0ZmEzNmYwOGRhYzAzNzUxOTEiLCJ1c2VySWQiOiIzMTc4NDk0ODI4MTMwIn0=</vt:lpwstr>
  </property>
  <property fmtid="{D5CDD505-2E9C-101B-9397-08002B2CF9AE}" pid="4" name="KSOProductBuildVer">
    <vt:lpwstr>1033-12.1.0.25242</vt:lpwstr>
  </property>
  <property fmtid="{D5CDD505-2E9C-101B-9397-08002B2CF9AE}" pid="5" name="ICV">
    <vt:lpwstr>C4DAA24010454AC29F070B49E16703CF_13</vt:lpwstr>
  </property>
</Properties>
</file>