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E5F05A" w14:textId="5C8110E7" w:rsidR="00B151A8" w:rsidRPr="009E2557" w:rsidRDefault="009E2557" w:rsidP="009E2557">
      <w:pPr>
        <w:spacing w:line="360" w:lineRule="auto"/>
        <w:jc w:val="both"/>
        <w:rPr>
          <w:rFonts w:ascii="Arial" w:hAnsi="Arial" w:cs="Arial"/>
          <w:b/>
          <w:bCs/>
          <w:sz w:val="28"/>
          <w:szCs w:val="28"/>
        </w:rPr>
      </w:pPr>
      <w:r w:rsidRPr="009E2557">
        <w:rPr>
          <w:rFonts w:ascii="Arial" w:hAnsi="Arial" w:cs="Arial"/>
          <w:b/>
          <w:bCs/>
          <w:sz w:val="28"/>
          <w:szCs w:val="28"/>
        </w:rPr>
        <w:t>Financial Management for the Hotel Industry</w:t>
      </w:r>
    </w:p>
    <w:p w14:paraId="61B90954" w14:textId="476F3C17" w:rsidR="009E2557" w:rsidRDefault="009E2557" w:rsidP="009E2557">
      <w:pPr>
        <w:spacing w:line="360" w:lineRule="auto"/>
        <w:jc w:val="both"/>
        <w:rPr>
          <w:rFonts w:ascii="Arial" w:hAnsi="Arial" w:cs="Arial"/>
          <w:b/>
          <w:bCs/>
          <w:sz w:val="28"/>
          <w:szCs w:val="28"/>
        </w:rPr>
      </w:pPr>
      <w:r w:rsidRPr="009E2557">
        <w:rPr>
          <w:rFonts w:ascii="Arial" w:hAnsi="Arial" w:cs="Arial"/>
          <w:b/>
          <w:bCs/>
          <w:sz w:val="28"/>
          <w:szCs w:val="28"/>
        </w:rPr>
        <w:t xml:space="preserve">BMIH5007  </w:t>
      </w:r>
    </w:p>
    <w:p w14:paraId="752CB42F" w14:textId="77777777" w:rsidR="009E2557" w:rsidRDefault="009E2557" w:rsidP="009E2557">
      <w:pPr>
        <w:spacing w:line="360" w:lineRule="auto"/>
        <w:jc w:val="both"/>
        <w:rPr>
          <w:rFonts w:ascii="Arial" w:hAnsi="Arial" w:cs="Arial"/>
          <w:b/>
          <w:bCs/>
          <w:sz w:val="28"/>
          <w:szCs w:val="28"/>
        </w:rPr>
      </w:pPr>
    </w:p>
    <w:p w14:paraId="35BD029C" w14:textId="489219B3" w:rsidR="009E2557" w:rsidRPr="009E2557" w:rsidRDefault="009E2557" w:rsidP="009E2557">
      <w:pPr>
        <w:spacing w:line="360" w:lineRule="auto"/>
        <w:jc w:val="both"/>
        <w:rPr>
          <w:rFonts w:ascii="Arial" w:hAnsi="Arial" w:cs="Arial"/>
          <w:sz w:val="24"/>
          <w:szCs w:val="24"/>
        </w:rPr>
      </w:pPr>
      <w:r w:rsidRPr="009E2557">
        <w:rPr>
          <w:rFonts w:ascii="Arial" w:hAnsi="Arial" w:cs="Arial"/>
          <w:sz w:val="24"/>
          <w:szCs w:val="24"/>
        </w:rPr>
        <w:t>Module lead: Tristan Hawkins</w:t>
      </w:r>
    </w:p>
    <w:p w14:paraId="5D273257" w14:textId="57BF9C3F" w:rsidR="009E2557" w:rsidRPr="009E2557" w:rsidRDefault="009E2557" w:rsidP="009E2557">
      <w:pPr>
        <w:spacing w:line="360" w:lineRule="auto"/>
        <w:jc w:val="both"/>
        <w:rPr>
          <w:rFonts w:ascii="Arial" w:hAnsi="Arial" w:cs="Arial"/>
          <w:sz w:val="24"/>
          <w:szCs w:val="24"/>
        </w:rPr>
      </w:pPr>
      <w:r w:rsidRPr="009E2557">
        <w:rPr>
          <w:rFonts w:ascii="Arial" w:hAnsi="Arial" w:cs="Arial"/>
          <w:sz w:val="24"/>
          <w:szCs w:val="24"/>
        </w:rPr>
        <w:t>Student id:</w:t>
      </w:r>
      <w:r w:rsidR="00EE1EF8">
        <w:rPr>
          <w:rFonts w:ascii="Arial" w:hAnsi="Arial" w:cs="Arial"/>
          <w:sz w:val="24"/>
          <w:szCs w:val="24"/>
        </w:rPr>
        <w:t xml:space="preserve"> </w:t>
      </w:r>
      <w:r w:rsidR="00EE1EF8" w:rsidRPr="00EE1EF8">
        <w:rPr>
          <w:rFonts w:ascii="Arial" w:hAnsi="Arial" w:cs="Arial"/>
          <w:sz w:val="24"/>
          <w:szCs w:val="24"/>
        </w:rPr>
        <w:t>2126985</w:t>
      </w:r>
    </w:p>
    <w:p w14:paraId="521862DA" w14:textId="6A2F4445" w:rsidR="009E2557" w:rsidRPr="009E2557" w:rsidRDefault="009E2557" w:rsidP="009E2557">
      <w:pPr>
        <w:spacing w:line="360" w:lineRule="auto"/>
        <w:jc w:val="both"/>
        <w:rPr>
          <w:rFonts w:ascii="Arial" w:hAnsi="Arial" w:cs="Arial"/>
          <w:sz w:val="24"/>
          <w:szCs w:val="24"/>
        </w:rPr>
      </w:pPr>
      <w:r w:rsidRPr="009E2557">
        <w:rPr>
          <w:rFonts w:ascii="Arial" w:hAnsi="Arial" w:cs="Arial"/>
          <w:sz w:val="24"/>
          <w:szCs w:val="24"/>
        </w:rPr>
        <w:t>Student name:</w:t>
      </w:r>
      <w:r w:rsidR="00EE1EF8">
        <w:rPr>
          <w:rFonts w:ascii="Arial" w:hAnsi="Arial" w:cs="Arial"/>
          <w:sz w:val="24"/>
          <w:szCs w:val="24"/>
        </w:rPr>
        <w:t xml:space="preserve"> </w:t>
      </w:r>
      <w:r w:rsidR="00EE1EF8" w:rsidRPr="00EE1EF8">
        <w:rPr>
          <w:rFonts w:ascii="Arial" w:hAnsi="Arial" w:cs="Arial"/>
          <w:sz w:val="24"/>
          <w:szCs w:val="24"/>
        </w:rPr>
        <w:t>Alexandru Vlad Matei</w:t>
      </w:r>
    </w:p>
    <w:p w14:paraId="3661B5C9" w14:textId="77777777" w:rsidR="009E2557" w:rsidRPr="009E2557" w:rsidRDefault="009E2557" w:rsidP="009E2557">
      <w:pPr>
        <w:spacing w:line="360" w:lineRule="auto"/>
        <w:jc w:val="both"/>
        <w:rPr>
          <w:rFonts w:ascii="Arial" w:hAnsi="Arial" w:cs="Arial"/>
          <w:b/>
          <w:bCs/>
          <w:sz w:val="24"/>
          <w:szCs w:val="24"/>
        </w:rPr>
      </w:pPr>
    </w:p>
    <w:p w14:paraId="3A0EE8D0" w14:textId="0E4863C2" w:rsidR="009E2557" w:rsidRPr="009E2557" w:rsidRDefault="009E2557" w:rsidP="009E2557">
      <w:pPr>
        <w:spacing w:line="360" w:lineRule="auto"/>
        <w:jc w:val="both"/>
        <w:rPr>
          <w:rFonts w:ascii="Arial" w:hAnsi="Arial" w:cs="Arial"/>
          <w:b/>
          <w:bCs/>
          <w:sz w:val="24"/>
          <w:szCs w:val="24"/>
        </w:rPr>
      </w:pPr>
      <w:r w:rsidRPr="009E2557">
        <w:rPr>
          <w:rFonts w:ascii="Arial" w:hAnsi="Arial" w:cs="Arial"/>
          <w:b/>
          <w:bCs/>
          <w:sz w:val="24"/>
          <w:szCs w:val="24"/>
        </w:rPr>
        <w:t>Business Report - Comparison of Two  Hospitality Organisations</w:t>
      </w:r>
    </w:p>
    <w:p w14:paraId="2ECEFCE1" w14:textId="77777777" w:rsidR="009E2557" w:rsidRPr="009E2557" w:rsidRDefault="009E2557" w:rsidP="009E2557">
      <w:pPr>
        <w:spacing w:line="360" w:lineRule="auto"/>
        <w:jc w:val="both"/>
        <w:rPr>
          <w:rFonts w:ascii="Arial" w:hAnsi="Arial" w:cs="Arial"/>
          <w:sz w:val="24"/>
          <w:szCs w:val="24"/>
        </w:rPr>
      </w:pPr>
    </w:p>
    <w:p w14:paraId="7879F011" w14:textId="77777777" w:rsidR="009E2557" w:rsidRPr="009E2557" w:rsidRDefault="009E2557" w:rsidP="009E2557">
      <w:pPr>
        <w:spacing w:line="360" w:lineRule="auto"/>
        <w:jc w:val="both"/>
        <w:rPr>
          <w:rFonts w:ascii="Arial" w:hAnsi="Arial" w:cs="Arial"/>
          <w:sz w:val="24"/>
          <w:szCs w:val="24"/>
        </w:rPr>
      </w:pPr>
    </w:p>
    <w:p w14:paraId="6896F3AD" w14:textId="77777777" w:rsidR="009E2557" w:rsidRPr="009E2557" w:rsidRDefault="009E2557" w:rsidP="009E2557">
      <w:pPr>
        <w:spacing w:line="360" w:lineRule="auto"/>
        <w:jc w:val="both"/>
        <w:rPr>
          <w:rFonts w:ascii="Arial" w:hAnsi="Arial" w:cs="Arial"/>
          <w:sz w:val="24"/>
          <w:szCs w:val="24"/>
        </w:rPr>
      </w:pPr>
    </w:p>
    <w:p w14:paraId="18EE4F32" w14:textId="0CE6BE8A" w:rsidR="009E2557" w:rsidRDefault="009E2557" w:rsidP="009E2557">
      <w:pPr>
        <w:spacing w:line="360" w:lineRule="auto"/>
        <w:jc w:val="both"/>
        <w:rPr>
          <w:rFonts w:ascii="Arial" w:hAnsi="Arial" w:cs="Arial"/>
          <w:sz w:val="24"/>
          <w:szCs w:val="24"/>
        </w:rPr>
      </w:pPr>
      <w:r w:rsidRPr="009E2557">
        <w:rPr>
          <w:rFonts w:ascii="Arial" w:hAnsi="Arial" w:cs="Arial"/>
          <w:sz w:val="24"/>
          <w:szCs w:val="24"/>
        </w:rPr>
        <w:t>Word count:</w:t>
      </w:r>
      <w:r w:rsidR="00344A10">
        <w:rPr>
          <w:rFonts w:ascii="Arial" w:hAnsi="Arial" w:cs="Arial"/>
          <w:sz w:val="24"/>
          <w:szCs w:val="24"/>
        </w:rPr>
        <w:t xml:space="preserve"> 1977</w:t>
      </w:r>
    </w:p>
    <w:p w14:paraId="345A2DDA" w14:textId="77777777" w:rsidR="009E2557" w:rsidRDefault="009E2557" w:rsidP="009E2557">
      <w:pPr>
        <w:spacing w:line="360" w:lineRule="auto"/>
        <w:jc w:val="both"/>
        <w:rPr>
          <w:rFonts w:ascii="Arial" w:hAnsi="Arial" w:cs="Arial"/>
          <w:sz w:val="24"/>
          <w:szCs w:val="24"/>
        </w:rPr>
      </w:pPr>
    </w:p>
    <w:p w14:paraId="7D812F42" w14:textId="77777777" w:rsidR="009E2557" w:rsidRDefault="009E2557" w:rsidP="009E2557">
      <w:pPr>
        <w:spacing w:line="360" w:lineRule="auto"/>
        <w:jc w:val="both"/>
        <w:rPr>
          <w:rFonts w:ascii="Arial" w:hAnsi="Arial" w:cs="Arial"/>
          <w:sz w:val="24"/>
          <w:szCs w:val="24"/>
        </w:rPr>
      </w:pPr>
    </w:p>
    <w:p w14:paraId="5104C37D" w14:textId="77777777" w:rsidR="009E2557" w:rsidRDefault="009E2557" w:rsidP="009E2557">
      <w:pPr>
        <w:spacing w:line="360" w:lineRule="auto"/>
        <w:jc w:val="both"/>
        <w:rPr>
          <w:rFonts w:ascii="Arial" w:hAnsi="Arial" w:cs="Arial"/>
          <w:sz w:val="24"/>
          <w:szCs w:val="24"/>
        </w:rPr>
      </w:pPr>
    </w:p>
    <w:p w14:paraId="4597EB72" w14:textId="77777777" w:rsidR="009E2557" w:rsidRDefault="009E2557" w:rsidP="009E2557">
      <w:pPr>
        <w:spacing w:line="360" w:lineRule="auto"/>
        <w:jc w:val="both"/>
        <w:rPr>
          <w:rFonts w:ascii="Arial" w:hAnsi="Arial" w:cs="Arial"/>
          <w:sz w:val="24"/>
          <w:szCs w:val="24"/>
        </w:rPr>
      </w:pPr>
    </w:p>
    <w:p w14:paraId="073710CD" w14:textId="059D6F3B" w:rsidR="009E2557" w:rsidRDefault="00423BB4" w:rsidP="009E2557">
      <w:pPr>
        <w:spacing w:line="360" w:lineRule="auto"/>
        <w:jc w:val="both"/>
        <w:rPr>
          <w:rFonts w:ascii="Arial" w:hAnsi="Arial" w:cs="Arial"/>
          <w:sz w:val="24"/>
          <w:szCs w:val="24"/>
        </w:rPr>
      </w:pPr>
      <w:r w:rsidRPr="00423BB4">
        <w:rPr>
          <w:rFonts w:ascii="Arial" w:hAnsi="Arial" w:cs="Arial"/>
          <w:noProof/>
          <w:sz w:val="24"/>
          <w:szCs w:val="24"/>
          <w:lang w:eastAsia="en-GB"/>
        </w:rPr>
        <mc:AlternateContent>
          <mc:Choice Requires="wps">
            <w:drawing>
              <wp:anchor distT="91440" distB="91440" distL="114300" distR="114300" simplePos="0" relativeHeight="251659264" behindDoc="0" locked="0" layoutInCell="1" allowOverlap="1" wp14:anchorId="03C0DC0A" wp14:editId="7EF8D37B">
                <wp:simplePos x="0" y="0"/>
                <wp:positionH relativeFrom="margin">
                  <wp:align>left</wp:align>
                </wp:positionH>
                <wp:positionV relativeFrom="paragraph">
                  <wp:posOffset>450850</wp:posOffset>
                </wp:positionV>
                <wp:extent cx="58102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1403985"/>
                        </a:xfrm>
                        <a:prstGeom prst="rect">
                          <a:avLst/>
                        </a:prstGeom>
                        <a:noFill/>
                        <a:ln w="9525">
                          <a:noFill/>
                          <a:miter lim="800000"/>
                          <a:headEnd/>
                          <a:tailEnd/>
                        </a:ln>
                      </wps:spPr>
                      <wps:txbx>
                        <w:txbxContent>
                          <w:p w14:paraId="3C1B7D29" w14:textId="2CC3E531" w:rsidR="00423BB4" w:rsidRPr="00423BB4" w:rsidRDefault="00423BB4" w:rsidP="00423BB4">
                            <w:pPr>
                              <w:pBdr>
                                <w:top w:val="single" w:sz="24" w:space="8" w:color="156082" w:themeColor="accent1"/>
                                <w:bottom w:val="single" w:sz="24" w:space="8" w:color="156082" w:themeColor="accent1"/>
                              </w:pBdr>
                              <w:spacing w:after="0" w:line="360" w:lineRule="auto"/>
                              <w:jc w:val="both"/>
                              <w:rPr>
                                <w:rFonts w:ascii="Arial" w:hAnsi="Arial" w:cs="Arial"/>
                                <w:i/>
                                <w:iCs/>
                                <w:color w:val="156082" w:themeColor="accent1"/>
                                <w:sz w:val="24"/>
                              </w:rPr>
                            </w:pPr>
                            <w:r w:rsidRPr="00423BB4">
                              <w:rPr>
                                <w:rFonts w:ascii="Arial" w:hAnsi="Arial" w:cs="Arial"/>
                                <w:i/>
                                <w:iCs/>
                                <w:color w:val="156082" w:themeColor="accent1"/>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C0DC0A" id="_x0000_t202" coordsize="21600,21600" o:spt="202" path="m,l,21600r21600,l21600,xe">
                <v:stroke joinstyle="miter"/>
                <v:path gradientshapeok="t" o:connecttype="rect"/>
              </v:shapetype>
              <v:shape id="Text Box 2" o:spid="_x0000_s1026" type="#_x0000_t202" style="position:absolute;left:0;text-align:left;margin-left:0;margin-top:35.5pt;width:457.5pt;height:110.55pt;z-index:251659264;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" filled="f" stroked="f">
                <v:textbox style="mso-fit-shape-to-text:t">
                  <w:txbxContent>
                    <w:p w14:paraId="3C1B7D29" w14:textId="2CC3E531" w:rsidR="00423BB4" w:rsidRPr="00423BB4" w:rsidRDefault="00423BB4" w:rsidP="00423BB4">
                      <w:pPr>
                        <w:pBdr>
                          <w:top w:val="single" w:sz="24" w:space="8" w:color="156082" w:themeColor="accent1"/>
                          <w:bottom w:val="single" w:sz="24" w:space="8" w:color="156082" w:themeColor="accent1"/>
                        </w:pBdr>
                        <w:spacing w:after="0" w:line="360" w:lineRule="auto"/>
                        <w:jc w:val="both"/>
                        <w:rPr>
                          <w:rFonts w:ascii="Arial" w:hAnsi="Arial" w:cs="Arial"/>
                          <w:i/>
                          <w:iCs/>
                          <w:color w:val="156082" w:themeColor="accent1"/>
                          <w:sz w:val="24"/>
                        </w:rPr>
                      </w:pPr>
                      <w:r w:rsidRPr="00423BB4">
                        <w:rPr>
                          <w:rFonts w:ascii="Arial" w:hAnsi="Arial" w:cs="Arial"/>
                          <w:i/>
                          <w:iCs/>
                          <w:color w:val="156082" w:themeColor="accent1"/>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w10:wrap type="topAndBottom" anchorx="margin"/>
              </v:shape>
            </w:pict>
          </mc:Fallback>
        </mc:AlternateContent>
      </w:r>
    </w:p>
    <w:p w14:paraId="2A4F88B2" w14:textId="77777777" w:rsidR="009E2557" w:rsidRDefault="009E2557" w:rsidP="009E2557">
      <w:pPr>
        <w:spacing w:line="360" w:lineRule="auto"/>
        <w:jc w:val="both"/>
        <w:rPr>
          <w:rFonts w:ascii="Arial" w:hAnsi="Arial" w:cs="Arial"/>
          <w:sz w:val="24"/>
          <w:szCs w:val="24"/>
        </w:rPr>
      </w:pPr>
    </w:p>
    <w:p w14:paraId="3C7930B6" w14:textId="77777777" w:rsidR="009E2557" w:rsidRDefault="009E2557" w:rsidP="009E2557">
      <w:pPr>
        <w:spacing w:line="360" w:lineRule="auto"/>
        <w:jc w:val="both"/>
        <w:rPr>
          <w:rFonts w:ascii="Arial" w:hAnsi="Arial" w:cs="Arial"/>
          <w:sz w:val="24"/>
          <w:szCs w:val="24"/>
        </w:rPr>
      </w:pPr>
    </w:p>
    <w:p w14:paraId="3D27135F" w14:textId="77777777" w:rsidR="009E2557" w:rsidRDefault="009E2557" w:rsidP="009E2557">
      <w:pPr>
        <w:spacing w:line="360" w:lineRule="auto"/>
        <w:jc w:val="both"/>
        <w:rPr>
          <w:rFonts w:ascii="Arial" w:hAnsi="Arial" w:cs="Arial"/>
          <w:sz w:val="24"/>
          <w:szCs w:val="24"/>
        </w:rPr>
      </w:pPr>
    </w:p>
    <w:p w14:paraId="0171A850" w14:textId="3EDEE7E5" w:rsidR="009E2557" w:rsidRPr="0000445C" w:rsidRDefault="009E2557" w:rsidP="0000445C">
      <w:pPr>
        <w:pStyle w:val="EU"/>
        <w:numPr>
          <w:ilvl w:val="0"/>
          <w:numId w:val="1"/>
        </w:numPr>
        <w:spacing w:line="360" w:lineRule="auto"/>
        <w:rPr>
          <w:color w:val="auto"/>
        </w:rPr>
      </w:pPr>
      <w:bookmarkStart w:id="0" w:name="_Toc180159722"/>
      <w:r w:rsidRPr="0000445C">
        <w:rPr>
          <w:color w:val="auto"/>
        </w:rPr>
        <w:lastRenderedPageBreak/>
        <w:t>Executive summary</w:t>
      </w:r>
      <w:bookmarkEnd w:id="0"/>
      <w:r w:rsidRPr="0000445C">
        <w:rPr>
          <w:color w:val="auto"/>
        </w:rPr>
        <w:t xml:space="preserve"> </w:t>
      </w:r>
    </w:p>
    <w:p w14:paraId="09AB9ABE" w14:textId="69854A86" w:rsidR="009E2557" w:rsidRPr="0000445C" w:rsidRDefault="0000445C" w:rsidP="0000445C">
      <w:pPr>
        <w:spacing w:line="360" w:lineRule="auto"/>
        <w:jc w:val="both"/>
        <w:rPr>
          <w:rFonts w:ascii="Arial" w:hAnsi="Arial" w:cs="Arial"/>
          <w:sz w:val="24"/>
          <w:szCs w:val="24"/>
          <w:lang w:eastAsia="en-GB"/>
        </w:rPr>
      </w:pPr>
      <w:r w:rsidRPr="0000445C">
        <w:rPr>
          <w:rFonts w:ascii="Arial" w:hAnsi="Arial" w:cs="Arial"/>
          <w:sz w:val="24"/>
          <w:szCs w:val="24"/>
          <w:lang w:eastAsia="en-GB"/>
        </w:rPr>
        <w:t xml:space="preserve">This report examines the financial management strategies utilised by Shangri-La Hotels and Premier Inn, concentrating on key aspects such as total revenue, market positioning, growth potential, and their financial commitment to Corporate Social Responsibility (CSR). The analysis reveals that Shangri-La Hotels effectively leverages its position in the luxury market, with its revenue primarily generated from room bookings, food and beverage services, and event hosting. The organisation has integrated sustainability accounting into its financial framework, connecting operational efficiencies to premium pricing. In contrast, Premier Inn, owned by Whitbread, focusses on providing cost-effective accommodation, with the bulk of its revenue derived from room bookings. Premier Inn maintains a strong presence in the UK budget sector, focussing on operational efficiencies and utilising economies of scale to ensure profitability. Both companies demonstrate a significant dedication to corporate social responsibility. Shangri-La places a strong emphasis on high-end sustainability initiatives, which include renewable energy and water conservation. In contrast, Premier Inn focusses on cost-effective sustainability practices, aiming to reduce carbon footprints through the use of renewable energy sources. The report </w:t>
      </w:r>
      <w:r w:rsidR="00A60F75" w:rsidRPr="0000445C">
        <w:rPr>
          <w:rFonts w:ascii="Arial" w:hAnsi="Arial" w:cs="Arial"/>
          <w:sz w:val="24"/>
          <w:szCs w:val="24"/>
          <w:lang w:eastAsia="en-GB"/>
        </w:rPr>
        <w:t>completes</w:t>
      </w:r>
      <w:r w:rsidRPr="0000445C">
        <w:rPr>
          <w:rFonts w:ascii="Arial" w:hAnsi="Arial" w:cs="Arial"/>
          <w:sz w:val="24"/>
          <w:szCs w:val="24"/>
          <w:lang w:eastAsia="en-GB"/>
        </w:rPr>
        <w:t xml:space="preserve"> by recommending that both companies enhance their integration of financial and sustainability practices to promote growth and secure long-term profitability.</w:t>
      </w:r>
    </w:p>
    <w:p w14:paraId="4555774D" w14:textId="77777777" w:rsidR="009E2557" w:rsidRPr="0000445C" w:rsidRDefault="009E2557" w:rsidP="0000445C">
      <w:pPr>
        <w:spacing w:line="360" w:lineRule="auto"/>
        <w:jc w:val="both"/>
        <w:rPr>
          <w:rFonts w:ascii="Arial" w:hAnsi="Arial" w:cs="Arial"/>
          <w:sz w:val="24"/>
          <w:szCs w:val="24"/>
          <w:lang w:eastAsia="en-GB"/>
        </w:rPr>
      </w:pPr>
    </w:p>
    <w:p w14:paraId="6195DB6B" w14:textId="77777777" w:rsidR="009E2557" w:rsidRPr="0000445C" w:rsidRDefault="009E2557" w:rsidP="0000445C">
      <w:pPr>
        <w:spacing w:line="360" w:lineRule="auto"/>
        <w:jc w:val="both"/>
        <w:rPr>
          <w:rFonts w:ascii="Arial" w:hAnsi="Arial" w:cs="Arial"/>
          <w:sz w:val="24"/>
          <w:szCs w:val="24"/>
          <w:lang w:eastAsia="en-GB"/>
        </w:rPr>
      </w:pPr>
    </w:p>
    <w:p w14:paraId="64FD1F9D" w14:textId="77777777" w:rsidR="009E2557" w:rsidRPr="0000445C" w:rsidRDefault="009E2557" w:rsidP="0000445C">
      <w:pPr>
        <w:spacing w:line="360" w:lineRule="auto"/>
        <w:jc w:val="both"/>
        <w:rPr>
          <w:rFonts w:ascii="Arial" w:hAnsi="Arial" w:cs="Arial"/>
          <w:sz w:val="24"/>
          <w:szCs w:val="24"/>
          <w:lang w:eastAsia="en-GB"/>
        </w:rPr>
      </w:pPr>
    </w:p>
    <w:p w14:paraId="2D3F2C44" w14:textId="77777777" w:rsidR="009E2557" w:rsidRPr="0000445C" w:rsidRDefault="009E2557" w:rsidP="0000445C">
      <w:pPr>
        <w:spacing w:line="360" w:lineRule="auto"/>
        <w:jc w:val="both"/>
        <w:rPr>
          <w:rFonts w:ascii="Arial" w:eastAsiaTheme="majorEastAsia" w:hAnsi="Arial" w:cs="Arial"/>
          <w:b/>
          <w:kern w:val="0"/>
          <w:sz w:val="24"/>
          <w:szCs w:val="24"/>
          <w:lang w:eastAsia="en-GB"/>
          <w14:ligatures w14:val="none"/>
        </w:rPr>
      </w:pPr>
    </w:p>
    <w:p w14:paraId="5BD856C1" w14:textId="1585095A" w:rsidR="009E2557" w:rsidRPr="0000445C" w:rsidRDefault="009E2557" w:rsidP="0000445C">
      <w:pPr>
        <w:tabs>
          <w:tab w:val="left" w:pos="2020"/>
        </w:tabs>
        <w:spacing w:line="360" w:lineRule="auto"/>
        <w:jc w:val="both"/>
        <w:rPr>
          <w:rFonts w:ascii="Arial" w:hAnsi="Arial" w:cs="Arial"/>
          <w:sz w:val="24"/>
          <w:szCs w:val="24"/>
          <w:lang w:eastAsia="en-GB"/>
        </w:rPr>
      </w:pPr>
      <w:r w:rsidRPr="0000445C">
        <w:rPr>
          <w:rFonts w:ascii="Arial" w:hAnsi="Arial" w:cs="Arial"/>
          <w:sz w:val="24"/>
          <w:szCs w:val="24"/>
          <w:lang w:eastAsia="en-GB"/>
        </w:rPr>
        <w:tab/>
      </w:r>
    </w:p>
    <w:p w14:paraId="2A099395"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6C404777"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74A0B657"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548C760C"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3D17F730" w14:textId="77777777" w:rsidR="009E2557" w:rsidRPr="0000445C" w:rsidRDefault="009E2557" w:rsidP="0000445C">
      <w:pPr>
        <w:tabs>
          <w:tab w:val="left" w:pos="2020"/>
        </w:tabs>
        <w:spacing w:line="360" w:lineRule="auto"/>
        <w:jc w:val="both"/>
        <w:rPr>
          <w:rFonts w:ascii="Arial" w:hAnsi="Arial" w:cs="Arial"/>
          <w:sz w:val="24"/>
          <w:szCs w:val="24"/>
          <w:lang w:eastAsia="en-GB"/>
        </w:rPr>
      </w:pPr>
    </w:p>
    <w:sdt>
      <w:sdtPr>
        <w:id w:val="21054076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0101684" w14:textId="72E2EA5F" w:rsidR="0000445C" w:rsidRPr="0000445C" w:rsidRDefault="0000445C" w:rsidP="0000445C">
          <w:pPr>
            <w:pStyle w:val="TOCHeading"/>
            <w:spacing w:line="360" w:lineRule="auto"/>
            <w:rPr>
              <w:rFonts w:ascii="Arial" w:hAnsi="Arial" w:cs="Arial"/>
            </w:rPr>
          </w:pPr>
          <w:r w:rsidRPr="0000445C">
            <w:rPr>
              <w:rFonts w:ascii="Arial" w:hAnsi="Arial" w:cs="Arial"/>
            </w:rPr>
            <w:t>Table of Contents</w:t>
          </w:r>
        </w:p>
        <w:p w14:paraId="5A39F263" w14:textId="4F1930D8" w:rsidR="0000445C" w:rsidRPr="0000445C" w:rsidRDefault="0000445C" w:rsidP="0000445C">
          <w:pPr>
            <w:pStyle w:val="TOC1"/>
            <w:tabs>
              <w:tab w:val="left" w:pos="480"/>
              <w:tab w:val="right" w:leader="dot" w:pos="9016"/>
            </w:tabs>
            <w:spacing w:line="360" w:lineRule="auto"/>
            <w:rPr>
              <w:rFonts w:ascii="Arial" w:hAnsi="Arial" w:cs="Arial"/>
              <w:noProof/>
            </w:rPr>
          </w:pPr>
          <w:r w:rsidRPr="0000445C">
            <w:rPr>
              <w:rFonts w:ascii="Arial" w:hAnsi="Arial" w:cs="Arial"/>
            </w:rPr>
            <w:fldChar w:fldCharType="begin"/>
          </w:r>
          <w:r w:rsidRPr="0000445C">
            <w:rPr>
              <w:rFonts w:ascii="Arial" w:hAnsi="Arial" w:cs="Arial"/>
            </w:rPr>
            <w:instrText xml:space="preserve"> TOC \o "1-3" \h \z \u </w:instrText>
          </w:r>
          <w:r w:rsidRPr="0000445C">
            <w:rPr>
              <w:rFonts w:ascii="Arial" w:hAnsi="Arial" w:cs="Arial"/>
            </w:rPr>
            <w:fldChar w:fldCharType="separate"/>
          </w:r>
          <w:hyperlink w:anchor="_Toc180159722" w:history="1">
            <w:r w:rsidRPr="0000445C">
              <w:rPr>
                <w:rStyle w:val="Hyperlink"/>
                <w:rFonts w:ascii="Arial" w:hAnsi="Arial" w:cs="Arial"/>
                <w:noProof/>
              </w:rPr>
              <w:t>0.</w:t>
            </w:r>
            <w:r w:rsidRPr="0000445C">
              <w:rPr>
                <w:rFonts w:ascii="Arial" w:hAnsi="Arial" w:cs="Arial"/>
                <w:noProof/>
              </w:rPr>
              <w:tab/>
            </w:r>
            <w:r w:rsidRPr="0000445C">
              <w:rPr>
                <w:rStyle w:val="Hyperlink"/>
                <w:rFonts w:ascii="Arial" w:hAnsi="Arial" w:cs="Arial"/>
                <w:noProof/>
              </w:rPr>
              <w:t>Executive summary</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_Toc180159722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2</w:t>
            </w:r>
            <w:r w:rsidRPr="0000445C">
              <w:rPr>
                <w:rFonts w:ascii="Arial" w:hAnsi="Arial" w:cs="Arial"/>
                <w:noProof/>
                <w:webHidden/>
              </w:rPr>
              <w:fldChar w:fldCharType="end"/>
            </w:r>
          </w:hyperlink>
        </w:p>
        <w:p w14:paraId="7C14A6FD" w14:textId="37346C08" w:rsidR="0000445C" w:rsidRPr="0000445C" w:rsidRDefault="0000445C" w:rsidP="0000445C">
          <w:pPr>
            <w:pStyle w:val="TOC1"/>
            <w:tabs>
              <w:tab w:val="left" w:pos="480"/>
              <w:tab w:val="right" w:leader="dot" w:pos="9016"/>
            </w:tabs>
            <w:spacing w:line="360" w:lineRule="auto"/>
            <w:rPr>
              <w:rFonts w:ascii="Arial" w:hAnsi="Arial" w:cs="Arial"/>
              <w:noProof/>
            </w:rPr>
          </w:pPr>
          <w:hyperlink w:anchor="_Toc180159723" w:history="1">
            <w:r w:rsidRPr="0000445C">
              <w:rPr>
                <w:rStyle w:val="Hyperlink"/>
                <w:rFonts w:ascii="Arial" w:hAnsi="Arial" w:cs="Arial"/>
                <w:noProof/>
              </w:rPr>
              <w:t>1.</w:t>
            </w:r>
            <w:r w:rsidRPr="0000445C">
              <w:rPr>
                <w:rFonts w:ascii="Arial" w:hAnsi="Arial" w:cs="Arial"/>
                <w:noProof/>
              </w:rPr>
              <w:tab/>
            </w:r>
            <w:r w:rsidRPr="0000445C">
              <w:rPr>
                <w:rStyle w:val="Hyperlink"/>
                <w:rFonts w:ascii="Arial" w:hAnsi="Arial" w:cs="Arial"/>
                <w:noProof/>
              </w:rPr>
              <w:t>Introduction</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_Toc180159723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4</w:t>
            </w:r>
            <w:r w:rsidRPr="0000445C">
              <w:rPr>
                <w:rFonts w:ascii="Arial" w:hAnsi="Arial" w:cs="Arial"/>
                <w:noProof/>
                <w:webHidden/>
              </w:rPr>
              <w:fldChar w:fldCharType="end"/>
            </w:r>
          </w:hyperlink>
        </w:p>
        <w:p w14:paraId="3F573A36" w14:textId="23CE461F" w:rsidR="0000445C" w:rsidRPr="0000445C" w:rsidRDefault="0000445C" w:rsidP="0000445C">
          <w:pPr>
            <w:pStyle w:val="TOC1"/>
            <w:tabs>
              <w:tab w:val="left" w:pos="480"/>
              <w:tab w:val="right" w:leader="dot" w:pos="9016"/>
            </w:tabs>
            <w:spacing w:line="360" w:lineRule="auto"/>
            <w:rPr>
              <w:rFonts w:ascii="Arial" w:hAnsi="Arial" w:cs="Arial"/>
              <w:noProof/>
            </w:rPr>
          </w:pPr>
          <w:hyperlink w:anchor="_Toc180159724" w:history="1">
            <w:r w:rsidRPr="0000445C">
              <w:rPr>
                <w:rStyle w:val="Hyperlink"/>
                <w:rFonts w:ascii="Arial" w:hAnsi="Arial" w:cs="Arial"/>
                <w:noProof/>
              </w:rPr>
              <w:t>2.</w:t>
            </w:r>
            <w:r w:rsidRPr="0000445C">
              <w:rPr>
                <w:rFonts w:ascii="Arial" w:hAnsi="Arial" w:cs="Arial"/>
                <w:noProof/>
              </w:rPr>
              <w:tab/>
            </w:r>
            <w:r w:rsidRPr="0000445C">
              <w:rPr>
                <w:rStyle w:val="Hyperlink"/>
                <w:rFonts w:ascii="Arial" w:hAnsi="Arial" w:cs="Arial"/>
                <w:noProof/>
              </w:rPr>
              <w:t>Financial Management Analysis</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_Toc180159724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5</w:t>
            </w:r>
            <w:r w:rsidRPr="0000445C">
              <w:rPr>
                <w:rFonts w:ascii="Arial" w:hAnsi="Arial" w:cs="Arial"/>
                <w:noProof/>
                <w:webHidden/>
              </w:rPr>
              <w:fldChar w:fldCharType="end"/>
            </w:r>
          </w:hyperlink>
        </w:p>
        <w:p w14:paraId="1060FEAA" w14:textId="28FD1AB9" w:rsidR="0000445C" w:rsidRPr="0000445C" w:rsidRDefault="0000445C" w:rsidP="0000445C">
          <w:pPr>
            <w:pStyle w:val="TOC1"/>
            <w:tabs>
              <w:tab w:val="left" w:pos="720"/>
              <w:tab w:val="right" w:leader="dot" w:pos="9016"/>
            </w:tabs>
            <w:spacing w:line="360" w:lineRule="auto"/>
            <w:rPr>
              <w:rFonts w:ascii="Arial" w:hAnsi="Arial" w:cs="Arial"/>
              <w:noProof/>
            </w:rPr>
          </w:pPr>
          <w:hyperlink w:anchor="_Toc180159725" w:history="1">
            <w:r w:rsidRPr="0000445C">
              <w:rPr>
                <w:rStyle w:val="Hyperlink"/>
                <w:rFonts w:ascii="Arial" w:hAnsi="Arial" w:cs="Arial"/>
                <w:noProof/>
              </w:rPr>
              <w:t>2.1.</w:t>
            </w:r>
            <w:r w:rsidRPr="0000445C">
              <w:rPr>
                <w:rFonts w:ascii="Arial" w:hAnsi="Arial" w:cs="Arial"/>
                <w:noProof/>
              </w:rPr>
              <w:tab/>
            </w:r>
            <w:r w:rsidRPr="0000445C">
              <w:rPr>
                <w:rStyle w:val="Hyperlink"/>
                <w:rFonts w:ascii="Arial" w:hAnsi="Arial" w:cs="Arial"/>
                <w:noProof/>
              </w:rPr>
              <w:t>Total Revenue and Ratio Analysis</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_Toc180159725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5</w:t>
            </w:r>
            <w:r w:rsidRPr="0000445C">
              <w:rPr>
                <w:rFonts w:ascii="Arial" w:hAnsi="Arial" w:cs="Arial"/>
                <w:noProof/>
                <w:webHidden/>
              </w:rPr>
              <w:fldChar w:fldCharType="end"/>
            </w:r>
          </w:hyperlink>
        </w:p>
        <w:p w14:paraId="74167973" w14:textId="6E5E7C7B" w:rsidR="0000445C" w:rsidRPr="0000445C" w:rsidRDefault="0000445C" w:rsidP="0000445C">
          <w:pPr>
            <w:pStyle w:val="TOC1"/>
            <w:tabs>
              <w:tab w:val="left" w:pos="720"/>
              <w:tab w:val="right" w:leader="dot" w:pos="9016"/>
            </w:tabs>
            <w:spacing w:line="360" w:lineRule="auto"/>
            <w:rPr>
              <w:rFonts w:ascii="Arial" w:hAnsi="Arial" w:cs="Arial"/>
              <w:noProof/>
            </w:rPr>
          </w:pPr>
          <w:hyperlink w:anchor="_Toc180159726" w:history="1">
            <w:r w:rsidRPr="0000445C">
              <w:rPr>
                <w:rStyle w:val="Hyperlink"/>
                <w:rFonts w:ascii="Arial" w:hAnsi="Arial" w:cs="Arial"/>
                <w:noProof/>
              </w:rPr>
              <w:t>2.2.</w:t>
            </w:r>
            <w:r w:rsidRPr="0000445C">
              <w:rPr>
                <w:rFonts w:ascii="Arial" w:hAnsi="Arial" w:cs="Arial"/>
                <w:noProof/>
              </w:rPr>
              <w:tab/>
            </w:r>
            <w:r w:rsidRPr="0000445C">
              <w:rPr>
                <w:rStyle w:val="Hyperlink"/>
                <w:rFonts w:ascii="Arial" w:hAnsi="Arial" w:cs="Arial"/>
                <w:noProof/>
              </w:rPr>
              <w:t>Market Position</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_Toc180159726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7</w:t>
            </w:r>
            <w:r w:rsidRPr="0000445C">
              <w:rPr>
                <w:rFonts w:ascii="Arial" w:hAnsi="Arial" w:cs="Arial"/>
                <w:noProof/>
                <w:webHidden/>
              </w:rPr>
              <w:fldChar w:fldCharType="end"/>
            </w:r>
          </w:hyperlink>
        </w:p>
        <w:p w14:paraId="1D3E2BBD" w14:textId="08D51FD3" w:rsidR="0000445C" w:rsidRPr="0000445C" w:rsidRDefault="0000445C" w:rsidP="0000445C">
          <w:pPr>
            <w:pStyle w:val="TOC1"/>
            <w:tabs>
              <w:tab w:val="left" w:pos="720"/>
              <w:tab w:val="right" w:leader="dot" w:pos="9016"/>
            </w:tabs>
            <w:spacing w:line="360" w:lineRule="auto"/>
            <w:rPr>
              <w:rFonts w:ascii="Arial" w:hAnsi="Arial" w:cs="Arial"/>
              <w:noProof/>
            </w:rPr>
          </w:pPr>
          <w:hyperlink w:anchor="_Toc180159727" w:history="1">
            <w:r w:rsidRPr="0000445C">
              <w:rPr>
                <w:rStyle w:val="Hyperlink"/>
                <w:rFonts w:ascii="Arial" w:hAnsi="Arial" w:cs="Arial"/>
                <w:noProof/>
              </w:rPr>
              <w:t>2.3.</w:t>
            </w:r>
            <w:r w:rsidRPr="0000445C">
              <w:rPr>
                <w:rFonts w:ascii="Arial" w:hAnsi="Arial" w:cs="Arial"/>
                <w:noProof/>
              </w:rPr>
              <w:tab/>
            </w:r>
            <w:r w:rsidRPr="0000445C">
              <w:rPr>
                <w:rStyle w:val="Hyperlink"/>
                <w:rFonts w:ascii="Arial" w:hAnsi="Arial" w:cs="Arial"/>
                <w:noProof/>
              </w:rPr>
              <w:t>Growth Potential</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_Toc180159727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8</w:t>
            </w:r>
            <w:r w:rsidRPr="0000445C">
              <w:rPr>
                <w:rFonts w:ascii="Arial" w:hAnsi="Arial" w:cs="Arial"/>
                <w:noProof/>
                <w:webHidden/>
              </w:rPr>
              <w:fldChar w:fldCharType="end"/>
            </w:r>
          </w:hyperlink>
        </w:p>
        <w:p w14:paraId="7520A7FB" w14:textId="78A3ACBB" w:rsidR="0000445C" w:rsidRPr="0000445C" w:rsidRDefault="0000445C" w:rsidP="0000445C">
          <w:pPr>
            <w:pStyle w:val="TOC1"/>
            <w:tabs>
              <w:tab w:val="left" w:pos="720"/>
              <w:tab w:val="right" w:leader="dot" w:pos="9016"/>
            </w:tabs>
            <w:spacing w:line="360" w:lineRule="auto"/>
            <w:rPr>
              <w:rFonts w:ascii="Arial" w:hAnsi="Arial" w:cs="Arial"/>
              <w:noProof/>
            </w:rPr>
          </w:pPr>
          <w:hyperlink w:anchor="_Toc180159728" w:history="1">
            <w:r w:rsidRPr="0000445C">
              <w:rPr>
                <w:rStyle w:val="Hyperlink"/>
                <w:rFonts w:ascii="Arial" w:hAnsi="Arial" w:cs="Arial"/>
                <w:noProof/>
              </w:rPr>
              <w:t>2.4.</w:t>
            </w:r>
            <w:r w:rsidRPr="0000445C">
              <w:rPr>
                <w:rFonts w:ascii="Arial" w:hAnsi="Arial" w:cs="Arial"/>
                <w:noProof/>
              </w:rPr>
              <w:tab/>
            </w:r>
            <w:r w:rsidRPr="0000445C">
              <w:rPr>
                <w:rStyle w:val="Hyperlink"/>
                <w:rFonts w:ascii="Arial" w:hAnsi="Arial" w:cs="Arial"/>
                <w:noProof/>
              </w:rPr>
              <w:t>Financial Commitment to CSR and Sustainable Accounting Practices</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_Toc180159728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8</w:t>
            </w:r>
            <w:r w:rsidRPr="0000445C">
              <w:rPr>
                <w:rFonts w:ascii="Arial" w:hAnsi="Arial" w:cs="Arial"/>
                <w:noProof/>
                <w:webHidden/>
              </w:rPr>
              <w:fldChar w:fldCharType="end"/>
            </w:r>
          </w:hyperlink>
        </w:p>
        <w:p w14:paraId="00D93C7A" w14:textId="7307C2B3" w:rsidR="0000445C" w:rsidRPr="0000445C" w:rsidRDefault="0000445C" w:rsidP="0000445C">
          <w:pPr>
            <w:pStyle w:val="TOC1"/>
            <w:tabs>
              <w:tab w:val="left" w:pos="480"/>
              <w:tab w:val="right" w:leader="dot" w:pos="9016"/>
            </w:tabs>
            <w:spacing w:line="360" w:lineRule="auto"/>
            <w:rPr>
              <w:rFonts w:ascii="Arial" w:hAnsi="Arial" w:cs="Arial"/>
              <w:noProof/>
            </w:rPr>
          </w:pPr>
          <w:hyperlink w:anchor="_Toc180159729" w:history="1">
            <w:r w:rsidRPr="0000445C">
              <w:rPr>
                <w:rStyle w:val="Hyperlink"/>
                <w:rFonts w:ascii="Arial" w:hAnsi="Arial" w:cs="Arial"/>
                <w:noProof/>
              </w:rPr>
              <w:t>3.</w:t>
            </w:r>
            <w:r w:rsidRPr="0000445C">
              <w:rPr>
                <w:rFonts w:ascii="Arial" w:hAnsi="Arial" w:cs="Arial"/>
                <w:noProof/>
              </w:rPr>
              <w:tab/>
            </w:r>
            <w:r w:rsidRPr="0000445C">
              <w:rPr>
                <w:rStyle w:val="Hyperlink"/>
                <w:rFonts w:ascii="Arial" w:hAnsi="Arial" w:cs="Arial"/>
                <w:noProof/>
              </w:rPr>
              <w:t>Conclusion</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_Toc180159729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9</w:t>
            </w:r>
            <w:r w:rsidRPr="0000445C">
              <w:rPr>
                <w:rFonts w:ascii="Arial" w:hAnsi="Arial" w:cs="Arial"/>
                <w:noProof/>
                <w:webHidden/>
              </w:rPr>
              <w:fldChar w:fldCharType="end"/>
            </w:r>
          </w:hyperlink>
        </w:p>
        <w:p w14:paraId="28F1C434" w14:textId="299B547E" w:rsidR="0000445C" w:rsidRPr="0000445C" w:rsidRDefault="0000445C" w:rsidP="0000445C">
          <w:pPr>
            <w:pStyle w:val="TOC1"/>
            <w:tabs>
              <w:tab w:val="left" w:pos="480"/>
              <w:tab w:val="right" w:leader="dot" w:pos="9016"/>
            </w:tabs>
            <w:spacing w:line="360" w:lineRule="auto"/>
            <w:rPr>
              <w:rFonts w:ascii="Arial" w:hAnsi="Arial" w:cs="Arial"/>
              <w:noProof/>
            </w:rPr>
          </w:pPr>
          <w:hyperlink w:anchor="_Toc180159730" w:history="1">
            <w:r w:rsidRPr="0000445C">
              <w:rPr>
                <w:rStyle w:val="Hyperlink"/>
                <w:rFonts w:ascii="Arial" w:hAnsi="Arial" w:cs="Arial"/>
                <w:noProof/>
              </w:rPr>
              <w:t>4.</w:t>
            </w:r>
            <w:r w:rsidRPr="0000445C">
              <w:rPr>
                <w:rFonts w:ascii="Arial" w:hAnsi="Arial" w:cs="Arial"/>
                <w:noProof/>
              </w:rPr>
              <w:tab/>
            </w:r>
            <w:r w:rsidRPr="0000445C">
              <w:rPr>
                <w:rStyle w:val="Hyperlink"/>
                <w:rFonts w:ascii="Arial" w:hAnsi="Arial" w:cs="Arial"/>
                <w:noProof/>
              </w:rPr>
              <w:t>Recommendations</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_Toc180159730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10</w:t>
            </w:r>
            <w:r w:rsidRPr="0000445C">
              <w:rPr>
                <w:rFonts w:ascii="Arial" w:hAnsi="Arial" w:cs="Arial"/>
                <w:noProof/>
                <w:webHidden/>
              </w:rPr>
              <w:fldChar w:fldCharType="end"/>
            </w:r>
          </w:hyperlink>
        </w:p>
        <w:p w14:paraId="5E00B4FD" w14:textId="2C837CF2" w:rsidR="0000445C" w:rsidRPr="0000445C" w:rsidRDefault="0000445C" w:rsidP="0000445C">
          <w:pPr>
            <w:pStyle w:val="TOC1"/>
            <w:tabs>
              <w:tab w:val="left" w:pos="480"/>
              <w:tab w:val="right" w:leader="dot" w:pos="9016"/>
            </w:tabs>
            <w:spacing w:line="360" w:lineRule="auto"/>
            <w:rPr>
              <w:rFonts w:ascii="Arial" w:hAnsi="Arial" w:cs="Arial"/>
              <w:noProof/>
            </w:rPr>
          </w:pPr>
          <w:hyperlink w:anchor="_Toc180159731" w:history="1">
            <w:r w:rsidRPr="0000445C">
              <w:rPr>
                <w:rStyle w:val="Hyperlink"/>
                <w:rFonts w:ascii="Arial" w:hAnsi="Arial" w:cs="Arial"/>
                <w:noProof/>
              </w:rPr>
              <w:t>5.</w:t>
            </w:r>
            <w:r w:rsidRPr="0000445C">
              <w:rPr>
                <w:rFonts w:ascii="Arial" w:hAnsi="Arial" w:cs="Arial"/>
                <w:noProof/>
              </w:rPr>
              <w:tab/>
            </w:r>
            <w:r w:rsidRPr="0000445C">
              <w:rPr>
                <w:rStyle w:val="Hyperlink"/>
                <w:rFonts w:ascii="Arial" w:hAnsi="Arial" w:cs="Arial"/>
                <w:noProof/>
              </w:rPr>
              <w:t>References</w:t>
            </w:r>
            <w:r w:rsidRPr="0000445C">
              <w:rPr>
                <w:rFonts w:ascii="Arial" w:hAnsi="Arial" w:cs="Arial"/>
                <w:noProof/>
                <w:webHidden/>
              </w:rPr>
              <w:tab/>
            </w:r>
            <w:r w:rsidRPr="0000445C">
              <w:rPr>
                <w:rFonts w:ascii="Arial" w:hAnsi="Arial" w:cs="Arial"/>
                <w:noProof/>
                <w:webHidden/>
              </w:rPr>
              <w:fldChar w:fldCharType="begin"/>
            </w:r>
            <w:r w:rsidRPr="0000445C">
              <w:rPr>
                <w:rFonts w:ascii="Arial" w:hAnsi="Arial" w:cs="Arial"/>
                <w:noProof/>
                <w:webHidden/>
              </w:rPr>
              <w:instrText xml:space="preserve"> PAGEREF _Toc180159731 \h </w:instrText>
            </w:r>
            <w:r w:rsidRPr="0000445C">
              <w:rPr>
                <w:rFonts w:ascii="Arial" w:hAnsi="Arial" w:cs="Arial"/>
                <w:noProof/>
                <w:webHidden/>
              </w:rPr>
            </w:r>
            <w:r w:rsidRPr="0000445C">
              <w:rPr>
                <w:rFonts w:ascii="Arial" w:hAnsi="Arial" w:cs="Arial"/>
                <w:noProof/>
                <w:webHidden/>
              </w:rPr>
              <w:fldChar w:fldCharType="separate"/>
            </w:r>
            <w:r w:rsidR="00B61156">
              <w:rPr>
                <w:rFonts w:ascii="Arial" w:hAnsi="Arial" w:cs="Arial"/>
                <w:noProof/>
                <w:webHidden/>
              </w:rPr>
              <w:t>11</w:t>
            </w:r>
            <w:r w:rsidRPr="0000445C">
              <w:rPr>
                <w:rFonts w:ascii="Arial" w:hAnsi="Arial" w:cs="Arial"/>
                <w:noProof/>
                <w:webHidden/>
              </w:rPr>
              <w:fldChar w:fldCharType="end"/>
            </w:r>
          </w:hyperlink>
        </w:p>
        <w:p w14:paraId="743C92C0" w14:textId="4046B036" w:rsidR="0000445C" w:rsidRDefault="0000445C" w:rsidP="0000445C">
          <w:pPr>
            <w:spacing w:line="360" w:lineRule="auto"/>
          </w:pPr>
          <w:r w:rsidRPr="0000445C">
            <w:rPr>
              <w:rFonts w:ascii="Arial" w:hAnsi="Arial" w:cs="Arial"/>
              <w:b/>
              <w:bCs/>
              <w:noProof/>
            </w:rPr>
            <w:fldChar w:fldCharType="end"/>
          </w:r>
        </w:p>
      </w:sdtContent>
    </w:sdt>
    <w:p w14:paraId="5E4FB667"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57F33777"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2BD40E4A"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65399376"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29E804D3"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4241EEEE"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71408ADF"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6229795A"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57949353"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56528757" w14:textId="77777777" w:rsidR="009E2557" w:rsidRPr="0000445C" w:rsidRDefault="009E2557" w:rsidP="0000445C">
      <w:pPr>
        <w:tabs>
          <w:tab w:val="left" w:pos="2020"/>
        </w:tabs>
        <w:spacing w:line="360" w:lineRule="auto"/>
        <w:jc w:val="both"/>
        <w:rPr>
          <w:rFonts w:ascii="Arial" w:hAnsi="Arial" w:cs="Arial"/>
          <w:sz w:val="24"/>
          <w:szCs w:val="24"/>
          <w:lang w:eastAsia="en-GB"/>
        </w:rPr>
      </w:pPr>
    </w:p>
    <w:p w14:paraId="39B6D130" w14:textId="2F942BA4" w:rsidR="009E2557" w:rsidRPr="0000445C" w:rsidRDefault="009E2557" w:rsidP="0000445C">
      <w:pPr>
        <w:tabs>
          <w:tab w:val="left" w:pos="2020"/>
        </w:tabs>
        <w:spacing w:line="360" w:lineRule="auto"/>
        <w:jc w:val="both"/>
        <w:rPr>
          <w:rFonts w:ascii="Arial" w:hAnsi="Arial" w:cs="Arial"/>
          <w:sz w:val="24"/>
          <w:szCs w:val="24"/>
          <w:lang w:eastAsia="en-GB"/>
        </w:rPr>
      </w:pPr>
    </w:p>
    <w:p w14:paraId="2373C67C" w14:textId="3F65CF46" w:rsidR="009E2557" w:rsidRPr="0000445C" w:rsidRDefault="009E2557" w:rsidP="0000445C">
      <w:pPr>
        <w:tabs>
          <w:tab w:val="left" w:pos="2020"/>
        </w:tabs>
        <w:spacing w:line="360" w:lineRule="auto"/>
        <w:jc w:val="both"/>
        <w:rPr>
          <w:rFonts w:ascii="Arial" w:hAnsi="Arial" w:cs="Arial"/>
          <w:sz w:val="24"/>
          <w:szCs w:val="24"/>
          <w:lang w:eastAsia="en-GB"/>
        </w:rPr>
      </w:pPr>
    </w:p>
    <w:p w14:paraId="245677F0" w14:textId="51C40BCB" w:rsidR="009E2557" w:rsidRPr="0000445C" w:rsidRDefault="009E2557" w:rsidP="0000445C">
      <w:pPr>
        <w:tabs>
          <w:tab w:val="left" w:pos="2020"/>
        </w:tabs>
        <w:spacing w:line="360" w:lineRule="auto"/>
        <w:jc w:val="both"/>
        <w:rPr>
          <w:rFonts w:ascii="Arial" w:hAnsi="Arial" w:cs="Arial"/>
          <w:sz w:val="24"/>
          <w:szCs w:val="24"/>
          <w:lang w:eastAsia="en-GB"/>
        </w:rPr>
      </w:pPr>
    </w:p>
    <w:p w14:paraId="6855C7A2" w14:textId="4E221372" w:rsidR="009E2557" w:rsidRPr="0000445C" w:rsidRDefault="009E2557" w:rsidP="0000445C">
      <w:pPr>
        <w:tabs>
          <w:tab w:val="left" w:pos="2020"/>
        </w:tabs>
        <w:spacing w:line="360" w:lineRule="auto"/>
        <w:jc w:val="both"/>
        <w:rPr>
          <w:rFonts w:ascii="Arial" w:hAnsi="Arial" w:cs="Arial"/>
          <w:sz w:val="24"/>
          <w:szCs w:val="24"/>
          <w:lang w:eastAsia="en-GB"/>
        </w:rPr>
      </w:pPr>
    </w:p>
    <w:p w14:paraId="3726033E" w14:textId="5430D48A" w:rsidR="009E2557" w:rsidRPr="00F34190" w:rsidRDefault="009E2557" w:rsidP="00F34190">
      <w:pPr>
        <w:pStyle w:val="EU"/>
        <w:numPr>
          <w:ilvl w:val="0"/>
          <w:numId w:val="1"/>
        </w:numPr>
        <w:spacing w:line="360" w:lineRule="auto"/>
        <w:rPr>
          <w:color w:val="auto"/>
        </w:rPr>
      </w:pPr>
      <w:bookmarkStart w:id="1" w:name="_Toc180159723"/>
      <w:r w:rsidRPr="00F34190">
        <w:rPr>
          <w:color w:val="auto"/>
        </w:rPr>
        <w:t>Introduction</w:t>
      </w:r>
      <w:bookmarkEnd w:id="1"/>
      <w:r w:rsidRPr="00F34190">
        <w:rPr>
          <w:color w:val="auto"/>
        </w:rPr>
        <w:t xml:space="preserve"> </w:t>
      </w:r>
    </w:p>
    <w:p w14:paraId="468EDB3C" w14:textId="21CE48E9" w:rsidR="009E2557" w:rsidRPr="00F34190" w:rsidRDefault="00CD1E98" w:rsidP="00F34190">
      <w:pPr>
        <w:spacing w:line="360" w:lineRule="auto"/>
        <w:jc w:val="both"/>
        <w:rPr>
          <w:rFonts w:ascii="Arial" w:eastAsiaTheme="majorEastAsia" w:hAnsi="Arial" w:cs="Arial"/>
          <w:bCs/>
          <w:kern w:val="0"/>
          <w:sz w:val="24"/>
          <w:szCs w:val="24"/>
          <w:lang w:eastAsia="en-GB"/>
          <w14:ligatures w14:val="none"/>
        </w:rPr>
      </w:pPr>
      <w:r w:rsidRPr="00F34190">
        <w:rPr>
          <w:rFonts w:ascii="Arial" w:eastAsiaTheme="majorEastAsia" w:hAnsi="Arial" w:cs="Arial"/>
          <w:bCs/>
          <w:kern w:val="0"/>
          <w:sz w:val="24"/>
          <w:szCs w:val="24"/>
          <w:lang w:eastAsia="en-GB"/>
          <w14:ligatures w14:val="none"/>
        </w:rPr>
        <w:t>Within the hotel sector, Shangri-La Hotels and Premier Inn constitute two different market segments with different financial systems and operational policies. Operating in top sites all throughout Asia, Europe, the Middle East, and North America, Shangri-La is a luxury hotel group running more than 100 properties. Showcasing its recovery trajectory following the epidemic, the group revealed a 2023 income of around 2.27 billion Thai Baht (THB). With about 802 employees, the group serves high-end guests with varied services including lodging, conferences, and exquisite dining (</w:t>
      </w:r>
      <w:r w:rsidR="00A60F75" w:rsidRPr="00F34190">
        <w:rPr>
          <w:rFonts w:ascii="Arial" w:eastAsiaTheme="majorEastAsia" w:hAnsi="Arial" w:cs="Arial"/>
          <w:bCs/>
          <w:kern w:val="0"/>
          <w:sz w:val="24"/>
          <w:szCs w:val="24"/>
          <w:lang w:eastAsia="en-GB"/>
          <w14:ligatures w14:val="none"/>
        </w:rPr>
        <w:t>Financial Times</w:t>
      </w:r>
      <w:r w:rsidRPr="00F34190">
        <w:rPr>
          <w:rFonts w:ascii="Arial" w:eastAsiaTheme="majorEastAsia" w:hAnsi="Arial" w:cs="Arial"/>
          <w:bCs/>
          <w:kern w:val="0"/>
          <w:sz w:val="24"/>
          <w:szCs w:val="24"/>
          <w:lang w:eastAsia="en-GB"/>
          <w14:ligatures w14:val="none"/>
        </w:rPr>
        <w:t xml:space="preserve">, 2024). With 855 hotels mostly in the UK and Ireland with intentions to </w:t>
      </w:r>
      <w:r w:rsidR="00A60F75" w:rsidRPr="00F34190">
        <w:rPr>
          <w:rFonts w:ascii="Arial" w:eastAsiaTheme="majorEastAsia" w:hAnsi="Arial" w:cs="Arial"/>
          <w:bCs/>
          <w:kern w:val="0"/>
          <w:sz w:val="24"/>
          <w:szCs w:val="24"/>
          <w:lang w:eastAsia="en-GB"/>
          <w14:ligatures w14:val="none"/>
        </w:rPr>
        <w:t>increase</w:t>
      </w:r>
      <w:r w:rsidRPr="00F34190">
        <w:rPr>
          <w:rFonts w:ascii="Arial" w:eastAsiaTheme="majorEastAsia" w:hAnsi="Arial" w:cs="Arial"/>
          <w:bCs/>
          <w:kern w:val="0"/>
          <w:sz w:val="24"/>
          <w:szCs w:val="24"/>
          <w:lang w:eastAsia="en-GB"/>
          <w14:ligatures w14:val="none"/>
        </w:rPr>
        <w:t xml:space="preserve"> its room capacity over the next five years, Premier Inn, owned by Whitbread, is the largest budget hotel brand in the UK</w:t>
      </w:r>
      <w:r w:rsidR="00A60F75" w:rsidRPr="00F34190">
        <w:rPr>
          <w:rFonts w:ascii="Arial" w:eastAsiaTheme="majorEastAsia" w:hAnsi="Arial" w:cs="Arial"/>
          <w:bCs/>
          <w:kern w:val="0"/>
          <w:sz w:val="24"/>
          <w:szCs w:val="24"/>
          <w:lang w:eastAsia="en-GB"/>
          <w14:ligatures w14:val="none"/>
        </w:rPr>
        <w:t xml:space="preserve"> (Frost, 2024). </w:t>
      </w:r>
      <w:r w:rsidRPr="00F34190">
        <w:rPr>
          <w:rFonts w:ascii="Arial" w:eastAsiaTheme="majorEastAsia" w:hAnsi="Arial" w:cs="Arial"/>
          <w:bCs/>
          <w:kern w:val="0"/>
          <w:sz w:val="24"/>
          <w:szCs w:val="24"/>
          <w:lang w:eastAsia="en-GB"/>
          <w14:ligatures w14:val="none"/>
        </w:rPr>
        <w:t>Despite recent difficulties brought on by changing demand for economy hotels, Premier Inn's market dominance in the budget sector is still substantial; this will help to explain 2024 revenues of £1.6 billion (</w:t>
      </w:r>
      <w:r w:rsidR="00A60F75" w:rsidRPr="00F34190">
        <w:rPr>
          <w:rFonts w:ascii="Arial" w:eastAsiaTheme="majorEastAsia" w:hAnsi="Arial" w:cs="Arial"/>
          <w:bCs/>
          <w:kern w:val="0"/>
          <w:sz w:val="24"/>
          <w:szCs w:val="24"/>
          <w:lang w:eastAsia="en-GB"/>
          <w14:ligatures w14:val="none"/>
        </w:rPr>
        <w:t>Financial Times, 2024</w:t>
      </w:r>
      <w:r w:rsidRPr="00F34190">
        <w:rPr>
          <w:rFonts w:ascii="Arial" w:eastAsiaTheme="majorEastAsia" w:hAnsi="Arial" w:cs="Arial"/>
          <w:bCs/>
          <w:kern w:val="0"/>
          <w:sz w:val="24"/>
          <w:szCs w:val="24"/>
          <w:lang w:eastAsia="en-GB"/>
          <w14:ligatures w14:val="none"/>
        </w:rPr>
        <w:t>). With over 37,000 staff, Shangri-La's emphasis on premium services produces more revenues per room</w:t>
      </w:r>
      <w:r w:rsidR="00A60F75" w:rsidRPr="00F34190">
        <w:rPr>
          <w:rFonts w:ascii="Arial" w:eastAsiaTheme="majorEastAsia" w:hAnsi="Arial" w:cs="Arial"/>
          <w:bCs/>
          <w:kern w:val="0"/>
          <w:sz w:val="24"/>
          <w:szCs w:val="24"/>
          <w:lang w:eastAsia="en-GB"/>
          <w14:ligatures w14:val="none"/>
        </w:rPr>
        <w:t xml:space="preserve"> while</w:t>
      </w:r>
      <w:r w:rsidRPr="00F34190">
        <w:rPr>
          <w:rFonts w:ascii="Arial" w:eastAsiaTheme="majorEastAsia" w:hAnsi="Arial" w:cs="Arial"/>
          <w:bCs/>
          <w:kern w:val="0"/>
          <w:sz w:val="24"/>
          <w:szCs w:val="24"/>
          <w:lang w:eastAsia="en-GB"/>
          <w14:ligatures w14:val="none"/>
        </w:rPr>
        <w:t xml:space="preserve"> Premier Inn uses its extensive network and reasonable pricing approach to keep profitability in a competitive market. Though they have different approaches and market positioning, both businesses have chances and </w:t>
      </w:r>
      <w:r w:rsidR="00A60F75" w:rsidRPr="00F34190">
        <w:rPr>
          <w:rFonts w:ascii="Arial" w:eastAsiaTheme="majorEastAsia" w:hAnsi="Arial" w:cs="Arial"/>
          <w:bCs/>
          <w:kern w:val="0"/>
          <w:sz w:val="24"/>
          <w:szCs w:val="24"/>
          <w:lang w:eastAsia="en-GB"/>
          <w14:ligatures w14:val="none"/>
        </w:rPr>
        <w:t>risks</w:t>
      </w:r>
      <w:r w:rsidRPr="00F34190">
        <w:rPr>
          <w:rFonts w:ascii="Arial" w:eastAsiaTheme="majorEastAsia" w:hAnsi="Arial" w:cs="Arial"/>
          <w:bCs/>
          <w:kern w:val="0"/>
          <w:sz w:val="24"/>
          <w:szCs w:val="24"/>
          <w:lang w:eastAsia="en-GB"/>
          <w14:ligatures w14:val="none"/>
        </w:rPr>
        <w:t xml:space="preserve"> influenced by changes in consumer behaviour and world economic situation.</w:t>
      </w:r>
      <w:r w:rsidRPr="00F34190">
        <w:rPr>
          <w:rFonts w:ascii="Arial" w:hAnsi="Arial" w:cs="Arial"/>
          <w:sz w:val="24"/>
          <w:szCs w:val="24"/>
        </w:rPr>
        <w:t xml:space="preserve"> </w:t>
      </w:r>
      <w:r w:rsidRPr="00F34190">
        <w:rPr>
          <w:rFonts w:ascii="Arial" w:eastAsiaTheme="majorEastAsia" w:hAnsi="Arial" w:cs="Arial"/>
          <w:bCs/>
          <w:kern w:val="0"/>
          <w:sz w:val="24"/>
          <w:szCs w:val="24"/>
          <w:lang w:eastAsia="en-GB"/>
          <w14:ligatures w14:val="none"/>
        </w:rPr>
        <w:t>This paper aims to assess and contrast Shangri-La Hotels' and Premier Inn's financial management techniques. The analysis will concentrate on total revenue, market position, development potential, and financial commitment to Corporate Social Responsibility. </w:t>
      </w:r>
    </w:p>
    <w:p w14:paraId="75CE2ABE" w14:textId="66F55E3E" w:rsidR="009E2557" w:rsidRPr="00F34190" w:rsidRDefault="00090D3B" w:rsidP="00F34190">
      <w:pPr>
        <w:spacing w:line="360" w:lineRule="auto"/>
        <w:jc w:val="both"/>
        <w:rPr>
          <w:rFonts w:ascii="Arial" w:hAnsi="Arial" w:cs="Arial"/>
          <w:sz w:val="24"/>
          <w:szCs w:val="24"/>
          <w:lang w:eastAsia="en-GB"/>
        </w:rPr>
      </w:pPr>
      <w:r w:rsidRPr="00F34190">
        <w:rPr>
          <w:rFonts w:ascii="Arial" w:hAnsi="Arial" w:cs="Arial"/>
          <w:noProof/>
          <w:sz w:val="24"/>
          <w:szCs w:val="24"/>
          <w:lang w:eastAsia="en-GB"/>
        </w:rPr>
        <w:drawing>
          <wp:inline distT="0" distB="0" distL="0" distR="0" wp14:anchorId="6E2D5899" wp14:editId="321A89E2">
            <wp:extent cx="3079750" cy="2288146"/>
            <wp:effectExtent l="0" t="0" r="6350" b="0"/>
            <wp:docPr id="1747243310"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243310" name="Picture 1" descr="A graph of blue ba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90963" cy="2296477"/>
                    </a:xfrm>
                    <a:prstGeom prst="rect">
                      <a:avLst/>
                    </a:prstGeom>
                  </pic:spPr>
                </pic:pic>
              </a:graphicData>
            </a:graphic>
          </wp:inline>
        </w:drawing>
      </w:r>
    </w:p>
    <w:p w14:paraId="205FDF44" w14:textId="12E1FE10" w:rsidR="00090D3B" w:rsidRPr="00F34190" w:rsidRDefault="00090D3B"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Fig 1. Statista(2024). Average room rate of Premier Inn in UK.</w:t>
      </w:r>
    </w:p>
    <w:p w14:paraId="008D4765" w14:textId="5ACBE9C9" w:rsidR="00090D3B" w:rsidRPr="00F34190" w:rsidRDefault="00090D3B" w:rsidP="00F34190">
      <w:pPr>
        <w:spacing w:line="360" w:lineRule="auto"/>
        <w:jc w:val="both"/>
        <w:rPr>
          <w:rFonts w:ascii="Arial" w:hAnsi="Arial" w:cs="Arial"/>
          <w:sz w:val="24"/>
          <w:szCs w:val="24"/>
          <w:lang w:eastAsia="en-GB"/>
        </w:rPr>
      </w:pPr>
      <w:r w:rsidRPr="00F34190">
        <w:rPr>
          <w:rFonts w:ascii="Arial" w:hAnsi="Arial" w:cs="Arial"/>
          <w:noProof/>
          <w:sz w:val="24"/>
          <w:szCs w:val="24"/>
          <w:lang w:eastAsia="en-GB"/>
        </w:rPr>
        <w:drawing>
          <wp:inline distT="0" distB="0" distL="0" distR="0" wp14:anchorId="5BD49F0E" wp14:editId="086EDA1E">
            <wp:extent cx="3613150" cy="2126818"/>
            <wp:effectExtent l="0" t="0" r="6350" b="6985"/>
            <wp:docPr id="181912263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122632" name="Picture 1" descr="A screenshot of a graph&#10;&#10;Description automatically generated"/>
                    <pic:cNvPicPr/>
                  </pic:nvPicPr>
                  <pic:blipFill>
                    <a:blip r:embed="rId8"/>
                    <a:stretch>
                      <a:fillRect/>
                    </a:stretch>
                  </pic:blipFill>
                  <pic:spPr>
                    <a:xfrm>
                      <a:off x="0" y="0"/>
                      <a:ext cx="3621344" cy="2131641"/>
                    </a:xfrm>
                    <a:prstGeom prst="rect">
                      <a:avLst/>
                    </a:prstGeom>
                  </pic:spPr>
                </pic:pic>
              </a:graphicData>
            </a:graphic>
          </wp:inline>
        </w:drawing>
      </w:r>
    </w:p>
    <w:p w14:paraId="3E01DD51" w14:textId="7476DF71" w:rsidR="00090D3B" w:rsidRPr="00F34190" w:rsidRDefault="00090D3B"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Fig 2. Financial Times (2024). Shangri-La Income statement in TBH.</w:t>
      </w:r>
    </w:p>
    <w:p w14:paraId="7B853810" w14:textId="77777777" w:rsidR="00090D3B" w:rsidRPr="00F34190" w:rsidRDefault="00090D3B" w:rsidP="00F34190">
      <w:pPr>
        <w:spacing w:line="360" w:lineRule="auto"/>
        <w:jc w:val="both"/>
        <w:rPr>
          <w:rFonts w:ascii="Arial" w:hAnsi="Arial" w:cs="Arial"/>
          <w:sz w:val="24"/>
          <w:szCs w:val="24"/>
          <w:lang w:eastAsia="en-GB"/>
        </w:rPr>
      </w:pPr>
    </w:p>
    <w:p w14:paraId="57474AC9" w14:textId="29DC3DAF" w:rsidR="00090D3B" w:rsidRPr="00F34190" w:rsidRDefault="003E66CF" w:rsidP="00F34190">
      <w:pPr>
        <w:pStyle w:val="EU"/>
        <w:numPr>
          <w:ilvl w:val="0"/>
          <w:numId w:val="1"/>
        </w:numPr>
        <w:spacing w:line="360" w:lineRule="auto"/>
        <w:rPr>
          <w:color w:val="auto"/>
        </w:rPr>
      </w:pPr>
      <w:bookmarkStart w:id="2" w:name="_Toc180159724"/>
      <w:r w:rsidRPr="00F34190">
        <w:rPr>
          <w:color w:val="auto"/>
        </w:rPr>
        <w:t>Financial Management Analysis</w:t>
      </w:r>
      <w:bookmarkEnd w:id="2"/>
    </w:p>
    <w:p w14:paraId="2A9B9E1A" w14:textId="5F51F37B" w:rsidR="003E66CF" w:rsidRPr="00F34190" w:rsidRDefault="00F12D29"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Examining the link between costs, revenues, and profits, cost-volume-profit  analysis is a useful tool that lets managers project how operational expenses or price structure changes will affect profitability (Drury, 20</w:t>
      </w:r>
      <w:r w:rsidR="00A60F75" w:rsidRPr="00F34190">
        <w:rPr>
          <w:rFonts w:ascii="Arial" w:hAnsi="Arial" w:cs="Arial"/>
          <w:sz w:val="24"/>
          <w:szCs w:val="24"/>
          <w:lang w:eastAsia="en-GB"/>
        </w:rPr>
        <w:t>21</w:t>
      </w:r>
      <w:r w:rsidRPr="00F34190">
        <w:rPr>
          <w:rFonts w:ascii="Arial" w:hAnsi="Arial" w:cs="Arial"/>
          <w:sz w:val="24"/>
          <w:szCs w:val="24"/>
          <w:lang w:eastAsia="en-GB"/>
        </w:rPr>
        <w:t>). In an industry where occupancy rates and room cost vary often, this approach is especially pertinent. While marginal costing concentrates just on variable costs, absorption costing incorporates both fixed and variable costs, which is essential for long-term pricing and investment decisions. Marginal and absorption costing play a vital part in cost management</w:t>
      </w:r>
      <w:r w:rsidR="00A60F75" w:rsidRPr="00F34190">
        <w:rPr>
          <w:rFonts w:ascii="Arial" w:hAnsi="Arial" w:cs="Arial"/>
          <w:sz w:val="24"/>
          <w:szCs w:val="24"/>
          <w:lang w:eastAsia="en-GB"/>
        </w:rPr>
        <w:t xml:space="preserve"> (Guilding, 2014)</w:t>
      </w:r>
      <w:r w:rsidRPr="00F34190">
        <w:rPr>
          <w:rFonts w:ascii="Arial" w:hAnsi="Arial" w:cs="Arial"/>
          <w:sz w:val="24"/>
          <w:szCs w:val="24"/>
          <w:lang w:eastAsia="en-GB"/>
        </w:rPr>
        <w:t>. Evaluating a company's financial situation, determining profitability, liquidity, and operational efficiency depends fundamentally on the application of financial ratio analysis covering important metrics like Gross Profit Margin, Net Profit Margin, Return on Assets, and Current Ratio. Particularly in dynamic sectors like hospitality, budgeting and forecasting also offer essential structures for controlling income fluctuations, cost control, and resource allocation (</w:t>
      </w:r>
      <w:r w:rsidR="00A60F75" w:rsidRPr="00F34190">
        <w:rPr>
          <w:rFonts w:ascii="Arial" w:hAnsi="Arial" w:cs="Arial"/>
          <w:sz w:val="24"/>
          <w:szCs w:val="24"/>
          <w:lang w:eastAsia="en-GB"/>
        </w:rPr>
        <w:t>Atrill and McLaney, 2021</w:t>
      </w:r>
      <w:r w:rsidRPr="00F34190">
        <w:rPr>
          <w:rFonts w:ascii="Arial" w:hAnsi="Arial" w:cs="Arial"/>
          <w:sz w:val="24"/>
          <w:szCs w:val="24"/>
          <w:lang w:eastAsia="en-GB"/>
        </w:rPr>
        <w:t xml:space="preserve">). </w:t>
      </w:r>
      <w:r w:rsidR="00A60F75" w:rsidRPr="00F34190">
        <w:rPr>
          <w:rFonts w:ascii="Arial" w:hAnsi="Arial" w:cs="Arial"/>
          <w:sz w:val="24"/>
          <w:szCs w:val="24"/>
          <w:lang w:eastAsia="en-GB"/>
        </w:rPr>
        <w:t>Lastly</w:t>
      </w:r>
      <w:r w:rsidRPr="00F34190">
        <w:rPr>
          <w:rFonts w:ascii="Arial" w:hAnsi="Arial" w:cs="Arial"/>
          <w:sz w:val="24"/>
          <w:szCs w:val="24"/>
          <w:lang w:eastAsia="en-GB"/>
        </w:rPr>
        <w:t>, for businesses keen to Corporate Social Responsibility, sustainable accounting combines social and environmental issues into financial reporting</w:t>
      </w:r>
      <w:r w:rsidR="00A60F75" w:rsidRPr="00F34190">
        <w:rPr>
          <w:rFonts w:ascii="Arial" w:hAnsi="Arial" w:cs="Arial"/>
          <w:sz w:val="24"/>
          <w:szCs w:val="24"/>
          <w:lang w:eastAsia="en-GB"/>
        </w:rPr>
        <w:t xml:space="preserve">, which is </w:t>
      </w:r>
      <w:r w:rsidRPr="00F34190">
        <w:rPr>
          <w:rFonts w:ascii="Arial" w:hAnsi="Arial" w:cs="Arial"/>
          <w:sz w:val="24"/>
          <w:szCs w:val="24"/>
          <w:lang w:eastAsia="en-GB"/>
        </w:rPr>
        <w:t>a growingly crucial process</w:t>
      </w:r>
      <w:r w:rsidR="00A60F75" w:rsidRPr="00F34190">
        <w:rPr>
          <w:rFonts w:ascii="Arial" w:hAnsi="Arial" w:cs="Arial"/>
          <w:sz w:val="24"/>
          <w:szCs w:val="24"/>
          <w:lang w:eastAsia="en-GB"/>
        </w:rPr>
        <w:t>.</w:t>
      </w:r>
    </w:p>
    <w:p w14:paraId="578B3A67" w14:textId="77777777" w:rsidR="00F12D29" w:rsidRPr="00F34190" w:rsidRDefault="00F12D29" w:rsidP="00F34190">
      <w:pPr>
        <w:spacing w:line="360" w:lineRule="auto"/>
        <w:jc w:val="both"/>
        <w:rPr>
          <w:rFonts w:ascii="Arial" w:hAnsi="Arial" w:cs="Arial"/>
          <w:sz w:val="24"/>
          <w:szCs w:val="24"/>
          <w:lang w:eastAsia="en-GB"/>
        </w:rPr>
      </w:pPr>
    </w:p>
    <w:p w14:paraId="771E7910" w14:textId="0AB3B734" w:rsidR="00F12D29" w:rsidRPr="00F34190" w:rsidRDefault="00F12D29" w:rsidP="00F34190">
      <w:pPr>
        <w:pStyle w:val="EU"/>
        <w:numPr>
          <w:ilvl w:val="1"/>
          <w:numId w:val="1"/>
        </w:numPr>
        <w:spacing w:line="360" w:lineRule="auto"/>
        <w:rPr>
          <w:color w:val="auto"/>
        </w:rPr>
      </w:pPr>
      <w:bookmarkStart w:id="3" w:name="_Toc180159725"/>
      <w:r w:rsidRPr="00F34190">
        <w:rPr>
          <w:color w:val="auto"/>
        </w:rPr>
        <w:t>Total Revenue and Ratio Analysis</w:t>
      </w:r>
      <w:bookmarkEnd w:id="3"/>
    </w:p>
    <w:p w14:paraId="7416955B" w14:textId="1AA180B3" w:rsidR="00F12D29" w:rsidRPr="00F34190" w:rsidRDefault="00674998"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When comparing the income and ratio performance of Shangri-La Hotels and Premier Inn, the two hotel  show different operational models and financial approaches that fit their different markets. Driven mostly by luxury hotels, food and beverage outlets, and event hosting, Shangri-La Hotels recorded over 2.27 billion Thai Baht (THB) in sales in 2023</w:t>
      </w:r>
      <w:r w:rsidR="00722752" w:rsidRPr="00F34190">
        <w:rPr>
          <w:rFonts w:ascii="Arial" w:hAnsi="Arial" w:cs="Arial"/>
          <w:sz w:val="24"/>
          <w:szCs w:val="24"/>
          <w:lang w:eastAsia="en-GB"/>
        </w:rPr>
        <w:t xml:space="preserve"> (Financial Times, 2024).</w:t>
      </w:r>
      <w:r w:rsidRPr="00F34190">
        <w:rPr>
          <w:rFonts w:ascii="Arial" w:hAnsi="Arial" w:cs="Arial"/>
          <w:sz w:val="24"/>
          <w:szCs w:val="24"/>
          <w:lang w:eastAsia="en-GB"/>
        </w:rPr>
        <w:t xml:space="preserve"> The company's financial planning uses both marginal and absorption costing. While absorption costing considers the significant fixed expenses connected with running luxury buildings, like premium locations and high-end facilities, marginal costing helps Shangri-La evaluate the profitability of its variable costs, including events and food and beverage services</w:t>
      </w:r>
      <w:r w:rsidR="00722752" w:rsidRPr="00F34190">
        <w:rPr>
          <w:rFonts w:ascii="Arial" w:hAnsi="Arial" w:cs="Arial"/>
          <w:sz w:val="24"/>
          <w:szCs w:val="24"/>
          <w:lang w:eastAsia="en-GB"/>
        </w:rPr>
        <w:t xml:space="preserve"> (Giulding, 2014)</w:t>
      </w:r>
      <w:r w:rsidRPr="00F34190">
        <w:rPr>
          <w:rFonts w:ascii="Arial" w:hAnsi="Arial" w:cs="Arial"/>
          <w:sz w:val="24"/>
          <w:szCs w:val="24"/>
          <w:lang w:eastAsia="en-GB"/>
        </w:rPr>
        <w:t xml:space="preserve">. With premium pricing of rooms and services allowing the company to maintain a gross profit margin of 36%, a Cost-Volume- Profit analysis </w:t>
      </w:r>
      <w:r w:rsidR="00722752" w:rsidRPr="00F34190">
        <w:rPr>
          <w:rFonts w:ascii="Arial" w:hAnsi="Arial" w:cs="Arial"/>
          <w:sz w:val="24"/>
          <w:szCs w:val="24"/>
          <w:lang w:eastAsia="en-GB"/>
        </w:rPr>
        <w:t>highlights</w:t>
      </w:r>
      <w:r w:rsidRPr="00F34190">
        <w:rPr>
          <w:rFonts w:ascii="Arial" w:hAnsi="Arial" w:cs="Arial"/>
          <w:sz w:val="24"/>
          <w:szCs w:val="24"/>
          <w:lang w:eastAsia="en-GB"/>
        </w:rPr>
        <w:t xml:space="preserve"> how Shangri-La's several revenue sources help to pay its significant fixed costs. By contrast, Whitbread-owned Premier Inn is more concerned in offering reasonably priced lodging. Mostly from its hotel bookings, which account for </w:t>
      </w:r>
      <w:r w:rsidR="00722752" w:rsidRPr="00F34190">
        <w:rPr>
          <w:rFonts w:ascii="Arial" w:hAnsi="Arial" w:cs="Arial"/>
          <w:sz w:val="24"/>
          <w:szCs w:val="24"/>
          <w:lang w:eastAsia="en-GB"/>
        </w:rPr>
        <w:t>82.2</w:t>
      </w:r>
      <w:r w:rsidRPr="00F34190">
        <w:rPr>
          <w:rFonts w:ascii="Arial" w:hAnsi="Arial" w:cs="Arial"/>
          <w:sz w:val="24"/>
          <w:szCs w:val="24"/>
          <w:lang w:eastAsia="en-GB"/>
        </w:rPr>
        <w:t>% of Premier Inn's overall sales, its income in 2024 increased by 54% to £2.6 billion</w:t>
      </w:r>
      <w:r w:rsidR="00722752" w:rsidRPr="00F34190">
        <w:rPr>
          <w:rFonts w:ascii="Arial" w:hAnsi="Arial" w:cs="Arial"/>
          <w:sz w:val="24"/>
          <w:szCs w:val="24"/>
          <w:lang w:eastAsia="en-GB"/>
        </w:rPr>
        <w:t xml:space="preserve"> (Statista, 2024).</w:t>
      </w:r>
      <w:r w:rsidRPr="00F34190">
        <w:rPr>
          <w:rFonts w:ascii="Arial" w:hAnsi="Arial" w:cs="Arial"/>
          <w:sz w:val="24"/>
          <w:szCs w:val="24"/>
          <w:lang w:eastAsia="en-GB"/>
        </w:rPr>
        <w:t xml:space="preserve"> While absorption costing catches the fixed expenses of keeping its vast property portfolio, Premier Inn uses marginal costing to control the variable costs related with room operations</w:t>
      </w:r>
      <w:r w:rsidR="00722752" w:rsidRPr="00F34190">
        <w:rPr>
          <w:rFonts w:ascii="Arial" w:hAnsi="Arial" w:cs="Arial"/>
          <w:sz w:val="24"/>
          <w:szCs w:val="24"/>
          <w:lang w:eastAsia="en-GB"/>
        </w:rPr>
        <w:t xml:space="preserve"> (Jagels, 2007)</w:t>
      </w:r>
      <w:r w:rsidRPr="00F34190">
        <w:rPr>
          <w:rFonts w:ascii="Arial" w:hAnsi="Arial" w:cs="Arial"/>
          <w:sz w:val="24"/>
          <w:szCs w:val="24"/>
          <w:lang w:eastAsia="en-GB"/>
        </w:rPr>
        <w:t>. Because Premier Inn uses economies of scale, it can keep competitive prices and reduce its break-even threshold. With food and beverage sales accounting just 30% of total income, its simplified service offering—which puts accommodation above food services—allows them to have a gross profit margin of 91.7%</w:t>
      </w:r>
      <w:r w:rsidR="00722752" w:rsidRPr="00F34190">
        <w:rPr>
          <w:rFonts w:ascii="Arial" w:hAnsi="Arial" w:cs="Arial"/>
          <w:sz w:val="24"/>
          <w:szCs w:val="24"/>
          <w:lang w:eastAsia="en-GB"/>
        </w:rPr>
        <w:t xml:space="preserve"> (Whitbread, 2023)</w:t>
      </w:r>
      <w:r w:rsidRPr="00F34190">
        <w:rPr>
          <w:rFonts w:ascii="Arial" w:hAnsi="Arial" w:cs="Arial"/>
          <w:sz w:val="24"/>
          <w:szCs w:val="24"/>
          <w:lang w:eastAsia="en-GB"/>
        </w:rPr>
        <w:t>. Good cost control and the brand's capacity to scale its activities help to support this strong margin. Although Premier Inn's cost structure is more efficient, which helps it to keep better profit margins even if Shangri-La's revenue per room is larger due to its premium offerings</w:t>
      </w:r>
      <w:r w:rsidR="00673E91" w:rsidRPr="00F34190">
        <w:rPr>
          <w:rFonts w:ascii="Arial" w:hAnsi="Arial" w:cs="Arial"/>
          <w:sz w:val="24"/>
          <w:szCs w:val="24"/>
          <w:lang w:eastAsia="en-GB"/>
        </w:rPr>
        <w:t xml:space="preserve"> (Walker, 2021).</w:t>
      </w:r>
      <w:r w:rsidRPr="00F34190">
        <w:rPr>
          <w:rFonts w:ascii="Arial" w:hAnsi="Arial" w:cs="Arial"/>
          <w:sz w:val="24"/>
          <w:szCs w:val="24"/>
          <w:lang w:eastAsia="en-GB"/>
        </w:rPr>
        <w:t>. Although both businesses set financial targets using normal costing, Premier Inn's emphasis on operational efficiency and economies of scale contrasts with Shangri-La's reliance on premium pricing and varied income sources for expansion.</w:t>
      </w:r>
    </w:p>
    <w:p w14:paraId="1A5BA0E9" w14:textId="479FB1DE" w:rsidR="00722752" w:rsidRPr="00F34190" w:rsidRDefault="00722752" w:rsidP="00F34190">
      <w:pPr>
        <w:spacing w:line="360" w:lineRule="auto"/>
        <w:jc w:val="both"/>
        <w:rPr>
          <w:rFonts w:ascii="Arial" w:hAnsi="Arial" w:cs="Arial"/>
          <w:sz w:val="24"/>
          <w:szCs w:val="24"/>
          <w:lang w:eastAsia="en-GB"/>
        </w:rPr>
      </w:pPr>
      <w:r w:rsidRPr="00F34190">
        <w:rPr>
          <w:rFonts w:ascii="Arial" w:hAnsi="Arial" w:cs="Arial"/>
          <w:noProof/>
          <w:sz w:val="24"/>
          <w:szCs w:val="24"/>
          <w:lang w:eastAsia="en-GB"/>
        </w:rPr>
        <w:drawing>
          <wp:inline distT="0" distB="0" distL="0" distR="0" wp14:anchorId="547773CE" wp14:editId="783F61F2">
            <wp:extent cx="3365500" cy="2500448"/>
            <wp:effectExtent l="0" t="0" r="6350" b="0"/>
            <wp:docPr id="793366386"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66386" name="Picture 1" descr="A graph of blue ba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76871" cy="2508897"/>
                    </a:xfrm>
                    <a:prstGeom prst="rect">
                      <a:avLst/>
                    </a:prstGeom>
                  </pic:spPr>
                </pic:pic>
              </a:graphicData>
            </a:graphic>
          </wp:inline>
        </w:drawing>
      </w:r>
    </w:p>
    <w:p w14:paraId="6F2A849B" w14:textId="6A90C113" w:rsidR="00722752" w:rsidRPr="00F34190" w:rsidRDefault="00722752"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Fig 3. Statista (2024).</w:t>
      </w:r>
      <w:r w:rsidRPr="00F34190">
        <w:rPr>
          <w:rFonts w:ascii="Arial" w:hAnsi="Arial" w:cs="Arial"/>
          <w:sz w:val="24"/>
          <w:szCs w:val="24"/>
        </w:rPr>
        <w:t xml:space="preserve"> </w:t>
      </w:r>
      <w:r w:rsidRPr="00F34190">
        <w:rPr>
          <w:rFonts w:ascii="Arial" w:hAnsi="Arial" w:cs="Arial"/>
          <w:sz w:val="24"/>
          <w:szCs w:val="24"/>
          <w:lang w:eastAsia="en-GB"/>
        </w:rPr>
        <w:t>Occupancy rate of Premier Inn (Whitbread) hotel room</w:t>
      </w:r>
      <w:r w:rsidRPr="00F34190">
        <w:rPr>
          <w:rFonts w:ascii="Arial" w:hAnsi="Arial" w:cs="Arial"/>
          <w:sz w:val="24"/>
          <w:szCs w:val="24"/>
          <w:lang w:eastAsia="en-GB"/>
        </w:rPr>
        <w:t>s in UK.</w:t>
      </w:r>
    </w:p>
    <w:p w14:paraId="58DF5CE2" w14:textId="77777777" w:rsidR="00674998" w:rsidRPr="00F34190" w:rsidRDefault="00674998" w:rsidP="00F34190">
      <w:pPr>
        <w:spacing w:line="360" w:lineRule="auto"/>
        <w:jc w:val="both"/>
        <w:rPr>
          <w:rFonts w:ascii="Arial" w:hAnsi="Arial" w:cs="Arial"/>
          <w:sz w:val="24"/>
          <w:szCs w:val="24"/>
          <w:lang w:eastAsia="en-GB"/>
        </w:rPr>
      </w:pPr>
    </w:p>
    <w:p w14:paraId="3F5EE68A" w14:textId="01D2513D" w:rsidR="00674998" w:rsidRPr="00F34190" w:rsidRDefault="00674998" w:rsidP="00F34190">
      <w:pPr>
        <w:pStyle w:val="EU"/>
        <w:numPr>
          <w:ilvl w:val="1"/>
          <w:numId w:val="1"/>
        </w:numPr>
        <w:spacing w:line="360" w:lineRule="auto"/>
        <w:rPr>
          <w:color w:val="auto"/>
        </w:rPr>
      </w:pPr>
      <w:bookmarkStart w:id="4" w:name="_Toc180159726"/>
      <w:r w:rsidRPr="00F34190">
        <w:rPr>
          <w:color w:val="auto"/>
        </w:rPr>
        <w:t>Market Position</w:t>
      </w:r>
      <w:bookmarkEnd w:id="4"/>
    </w:p>
    <w:p w14:paraId="7AD5D2AB" w14:textId="54CAE4D5" w:rsidR="00674998" w:rsidRPr="00F34190" w:rsidRDefault="00674998"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Leading luxury brand Shangri-La presents itself as a source of upscale experiences in big cities and first-class resort locations. Its great brand name stems from providing luxurious amenities and services; sustainability is therefore very important in supporting its high price</w:t>
      </w:r>
      <w:r w:rsidR="00917301" w:rsidRPr="00F34190">
        <w:rPr>
          <w:rFonts w:ascii="Arial" w:hAnsi="Arial" w:cs="Arial"/>
          <w:sz w:val="24"/>
          <w:szCs w:val="24"/>
          <w:lang w:eastAsia="en-GB"/>
        </w:rPr>
        <w:t xml:space="preserve"> (Bhimani, 2006)</w:t>
      </w:r>
      <w:r w:rsidRPr="00F34190">
        <w:rPr>
          <w:rFonts w:ascii="Arial" w:hAnsi="Arial" w:cs="Arial"/>
          <w:sz w:val="24"/>
          <w:szCs w:val="24"/>
          <w:lang w:eastAsia="en-GB"/>
        </w:rPr>
        <w:t>. For its operations, Shangri-La has incorporated sustainable accounting techniques including energy-efficient technologies and waste reduction via responsible sourcing, which appeal to the increasingly environmentally concerned luxury customers. This enhances the brand and helps its market share among the high-net-worth group as well. Conversely, Whitbread owns Premier Inn, which holds a commanding presence in the market for inexpensive hotels</w:t>
      </w:r>
      <w:r w:rsidR="00917301" w:rsidRPr="00F34190">
        <w:rPr>
          <w:rFonts w:ascii="Arial" w:hAnsi="Arial" w:cs="Arial"/>
          <w:sz w:val="24"/>
          <w:szCs w:val="24"/>
          <w:lang w:eastAsia="en-GB"/>
        </w:rPr>
        <w:t xml:space="preserve"> (Seal, 2019)</w:t>
      </w:r>
      <w:r w:rsidRPr="00F34190">
        <w:rPr>
          <w:rFonts w:ascii="Arial" w:hAnsi="Arial" w:cs="Arial"/>
          <w:sz w:val="24"/>
          <w:szCs w:val="24"/>
          <w:lang w:eastAsia="en-GB"/>
        </w:rPr>
        <w:t>. Representing 12% of the total UK hotel supply, Premier Inn uses its affordability, broad geographic reach, and consistent service quality to draw both business and leisure visitors from over 853 properties distributed over the UK and Ireland</w:t>
      </w:r>
      <w:r w:rsidR="00917301" w:rsidRPr="00F34190">
        <w:rPr>
          <w:rFonts w:ascii="Arial" w:hAnsi="Arial" w:cs="Arial"/>
          <w:sz w:val="24"/>
          <w:szCs w:val="24"/>
          <w:lang w:eastAsia="en-GB"/>
        </w:rPr>
        <w:t xml:space="preserve"> (Statista, 2024).</w:t>
      </w:r>
      <w:r w:rsidRPr="00F34190">
        <w:rPr>
          <w:rFonts w:ascii="Arial" w:hAnsi="Arial" w:cs="Arial"/>
          <w:sz w:val="24"/>
          <w:szCs w:val="24"/>
          <w:lang w:eastAsia="en-GB"/>
        </w:rPr>
        <w:t xml:space="preserve"> Its approach </w:t>
      </w:r>
      <w:r w:rsidR="00917301" w:rsidRPr="00F34190">
        <w:rPr>
          <w:rFonts w:ascii="Arial" w:hAnsi="Arial" w:cs="Arial"/>
          <w:sz w:val="24"/>
          <w:szCs w:val="24"/>
          <w:lang w:eastAsia="en-GB"/>
        </w:rPr>
        <w:t>requires</w:t>
      </w:r>
      <w:r w:rsidRPr="00F34190">
        <w:rPr>
          <w:rFonts w:ascii="Arial" w:hAnsi="Arial" w:cs="Arial"/>
          <w:sz w:val="24"/>
          <w:szCs w:val="24"/>
          <w:lang w:eastAsia="en-GB"/>
        </w:rPr>
        <w:t xml:space="preserve"> sustainability initiatives, including the "Force for Good" program aiming at a net-zero carbon footprint by 2040. This projects include new, all-electric hotels like the Swindon Premier Inn and 100% renewable energy utilisation across all of its buildings. These sustainability initiatives complement cost-effectiveness, enabling Premier Inn to provide reasonably priced accommodations while lowering running expenses, thus attracting to budget-conscious, ecologically concerned guests</w:t>
      </w:r>
      <w:r w:rsidR="00917301" w:rsidRPr="00F34190">
        <w:rPr>
          <w:rFonts w:ascii="Arial" w:hAnsi="Arial" w:cs="Arial"/>
          <w:sz w:val="24"/>
          <w:szCs w:val="24"/>
          <w:lang w:eastAsia="en-GB"/>
        </w:rPr>
        <w:t xml:space="preserve"> (Premier Inn, 2023).</w:t>
      </w:r>
    </w:p>
    <w:p w14:paraId="30348B0E" w14:textId="77777777" w:rsidR="00674998" w:rsidRPr="00F34190" w:rsidRDefault="00674998" w:rsidP="00F34190">
      <w:pPr>
        <w:spacing w:line="360" w:lineRule="auto"/>
        <w:jc w:val="both"/>
        <w:rPr>
          <w:rFonts w:ascii="Arial" w:hAnsi="Arial" w:cs="Arial"/>
          <w:sz w:val="24"/>
          <w:szCs w:val="24"/>
          <w:lang w:eastAsia="en-GB"/>
        </w:rPr>
      </w:pPr>
    </w:p>
    <w:p w14:paraId="00D79DDC" w14:textId="1800CBD2" w:rsidR="00674998" w:rsidRPr="00F34190" w:rsidRDefault="00674998" w:rsidP="00F34190">
      <w:pPr>
        <w:pStyle w:val="EU"/>
        <w:numPr>
          <w:ilvl w:val="1"/>
          <w:numId w:val="1"/>
        </w:numPr>
        <w:spacing w:line="360" w:lineRule="auto"/>
        <w:rPr>
          <w:color w:val="auto"/>
        </w:rPr>
      </w:pPr>
      <w:bookmarkStart w:id="5" w:name="_Toc180159727"/>
      <w:r w:rsidRPr="00F34190">
        <w:rPr>
          <w:color w:val="auto"/>
        </w:rPr>
        <w:t>Growth Potential</w:t>
      </w:r>
      <w:bookmarkEnd w:id="5"/>
    </w:p>
    <w:p w14:paraId="14120EFE" w14:textId="74250BC3" w:rsidR="00674998" w:rsidRPr="00F34190" w:rsidRDefault="00674998"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In developing areas like Asia and the Middle East, Shangri-La Hotels have ample opportunity to grow. Targeting high-net-worth clientele, recent development attempts in these areas include new residences in China, Cambodia, and Saudi Arabia</w:t>
      </w:r>
      <w:r w:rsidR="00917301" w:rsidRPr="00F34190">
        <w:rPr>
          <w:rFonts w:ascii="Arial" w:hAnsi="Arial" w:cs="Arial"/>
          <w:sz w:val="24"/>
          <w:szCs w:val="24"/>
        </w:rPr>
        <w:t xml:space="preserve"> </w:t>
      </w:r>
      <w:r w:rsidR="00917301" w:rsidRPr="00F34190">
        <w:rPr>
          <w:rFonts w:ascii="Arial" w:hAnsi="Arial" w:cs="Arial"/>
          <w:sz w:val="24"/>
          <w:szCs w:val="24"/>
          <w:lang w:eastAsia="en-GB"/>
        </w:rPr>
        <w:t>(South China Morning Post, 2023)</w:t>
      </w:r>
      <w:r w:rsidRPr="00F34190">
        <w:rPr>
          <w:rFonts w:ascii="Arial" w:hAnsi="Arial" w:cs="Arial"/>
          <w:sz w:val="24"/>
          <w:szCs w:val="24"/>
          <w:lang w:eastAsia="en-GB"/>
        </w:rPr>
        <w:t xml:space="preserve">. Using </w:t>
      </w:r>
      <w:r w:rsidR="00917301" w:rsidRPr="00F34190">
        <w:rPr>
          <w:rFonts w:ascii="Arial" w:hAnsi="Arial" w:cs="Arial"/>
          <w:sz w:val="24"/>
          <w:szCs w:val="24"/>
          <w:lang w:eastAsia="en-GB"/>
        </w:rPr>
        <w:t>innovative</w:t>
      </w:r>
      <w:r w:rsidRPr="00F34190">
        <w:rPr>
          <w:rFonts w:ascii="Arial" w:hAnsi="Arial" w:cs="Arial"/>
          <w:sz w:val="24"/>
          <w:szCs w:val="24"/>
          <w:lang w:eastAsia="en-GB"/>
        </w:rPr>
        <w:t xml:space="preserve"> budgeting strategies, Shangri-La controls the risks involved with entering new, less stable markets, including economic swings and high running expenses in foreign areas. The corporation uses thorough forecasting models that estimate market demand and operating expenses to reduce these risks and guarantee enough cash flow to fund significant capital expenditures</w:t>
      </w:r>
      <w:r w:rsidR="00917301" w:rsidRPr="00F34190">
        <w:rPr>
          <w:rFonts w:ascii="Arial" w:hAnsi="Arial" w:cs="Arial"/>
          <w:sz w:val="24"/>
          <w:szCs w:val="24"/>
          <w:lang w:eastAsia="en-GB"/>
        </w:rPr>
        <w:t xml:space="preserve"> (Shangri-La, 2022)</w:t>
      </w:r>
      <w:r w:rsidRPr="00F34190">
        <w:rPr>
          <w:rFonts w:ascii="Arial" w:hAnsi="Arial" w:cs="Arial"/>
          <w:sz w:val="24"/>
          <w:szCs w:val="24"/>
          <w:lang w:eastAsia="en-GB"/>
        </w:rPr>
        <w:t>. This is important since the brand negotiates high fixed costs related to luxury properties, which need careful working capital management to preserve liquidity while entering erratic markets like the Middle East and parts of Asia</w:t>
      </w:r>
      <w:r w:rsidR="005E24BB" w:rsidRPr="00F34190">
        <w:rPr>
          <w:rFonts w:ascii="Arial" w:hAnsi="Arial" w:cs="Arial"/>
          <w:sz w:val="24"/>
          <w:szCs w:val="24"/>
          <w:lang w:eastAsia="en-GB"/>
        </w:rPr>
        <w:t xml:space="preserve">. </w:t>
      </w:r>
      <w:r w:rsidRPr="00F34190">
        <w:rPr>
          <w:rFonts w:ascii="Arial" w:hAnsi="Arial" w:cs="Arial"/>
          <w:sz w:val="24"/>
          <w:szCs w:val="24"/>
          <w:lang w:eastAsia="en-GB"/>
        </w:rPr>
        <w:t>Conversely, Premier Inn, which mostly targets the budget range, emphasises domestic development—especially in Germany and the UK. Conservative working capital policies stressing cost-efficiencies and steady returns help to sustain Premier Inn's expansion plan. Cash budgets help the business to guarantee that newly constructed hotels are financially viable</w:t>
      </w:r>
      <w:r w:rsidR="005E24BB" w:rsidRPr="00F34190">
        <w:rPr>
          <w:rFonts w:ascii="Arial" w:hAnsi="Arial" w:cs="Arial"/>
          <w:sz w:val="24"/>
          <w:szCs w:val="24"/>
          <w:lang w:eastAsia="en-GB"/>
        </w:rPr>
        <w:t xml:space="preserve"> (Drury, 2021)</w:t>
      </w:r>
      <w:r w:rsidRPr="00F34190">
        <w:rPr>
          <w:rFonts w:ascii="Arial" w:hAnsi="Arial" w:cs="Arial"/>
          <w:sz w:val="24"/>
          <w:szCs w:val="24"/>
          <w:lang w:eastAsia="en-GB"/>
        </w:rPr>
        <w:t xml:space="preserve">. Emphasising capital expenditure management, Premier Inn distributes resources to increase room capacity while keeping low running costs, </w:t>
      </w:r>
      <w:r w:rsidR="005E24BB" w:rsidRPr="00F34190">
        <w:rPr>
          <w:rFonts w:ascii="Arial" w:hAnsi="Arial" w:cs="Arial"/>
          <w:sz w:val="24"/>
          <w:szCs w:val="24"/>
          <w:lang w:eastAsia="en-GB"/>
        </w:rPr>
        <w:t>consequently</w:t>
      </w:r>
      <w:r w:rsidRPr="00F34190">
        <w:rPr>
          <w:rFonts w:ascii="Arial" w:hAnsi="Arial" w:cs="Arial"/>
          <w:sz w:val="24"/>
          <w:szCs w:val="24"/>
          <w:lang w:eastAsia="en-GB"/>
        </w:rPr>
        <w:t xml:space="preserve"> enabling the chain to keep its top position in the UK market</w:t>
      </w:r>
      <w:r w:rsidR="005E24BB" w:rsidRPr="00F34190">
        <w:rPr>
          <w:rFonts w:ascii="Arial" w:hAnsi="Arial" w:cs="Arial"/>
          <w:sz w:val="24"/>
          <w:szCs w:val="24"/>
          <w:lang w:eastAsia="en-GB"/>
        </w:rPr>
        <w:t xml:space="preserve"> (Seal, 2019)</w:t>
      </w:r>
      <w:r w:rsidRPr="00F34190">
        <w:rPr>
          <w:rFonts w:ascii="Arial" w:hAnsi="Arial" w:cs="Arial"/>
          <w:sz w:val="24"/>
          <w:szCs w:val="24"/>
          <w:lang w:eastAsia="en-GB"/>
        </w:rPr>
        <w:t>. Reducing restaurant businesses and concentrating on its core accommodation business has allowed Premier Inn's parent firm, Whitbread, to be growing its hotel network while maintaining a strong balance sheet. This approach has helped the business to keep consistent cash flow and endure market changes, therefore enabling its further expansion into stable, predictable markets such as Germany</w:t>
      </w:r>
      <w:r w:rsidR="005E24BB" w:rsidRPr="00F34190">
        <w:rPr>
          <w:rFonts w:ascii="Arial" w:hAnsi="Arial" w:cs="Arial"/>
          <w:sz w:val="24"/>
          <w:szCs w:val="24"/>
          <w:lang w:eastAsia="en-GB"/>
        </w:rPr>
        <w:t xml:space="preserve"> (Financial Times, 2021).</w:t>
      </w:r>
    </w:p>
    <w:p w14:paraId="0412292C" w14:textId="77777777" w:rsidR="00674998" w:rsidRPr="00F34190" w:rsidRDefault="00674998" w:rsidP="00F34190">
      <w:pPr>
        <w:spacing w:line="360" w:lineRule="auto"/>
        <w:jc w:val="both"/>
        <w:rPr>
          <w:rFonts w:ascii="Arial" w:hAnsi="Arial" w:cs="Arial"/>
          <w:sz w:val="24"/>
          <w:szCs w:val="24"/>
          <w:lang w:eastAsia="en-GB"/>
        </w:rPr>
      </w:pPr>
    </w:p>
    <w:p w14:paraId="11F263E5" w14:textId="191E7C77" w:rsidR="00674998" w:rsidRPr="00F34190" w:rsidRDefault="00674998" w:rsidP="00F34190">
      <w:pPr>
        <w:pStyle w:val="EU"/>
        <w:numPr>
          <w:ilvl w:val="1"/>
          <w:numId w:val="1"/>
        </w:numPr>
        <w:spacing w:line="360" w:lineRule="auto"/>
        <w:rPr>
          <w:color w:val="auto"/>
        </w:rPr>
      </w:pPr>
      <w:bookmarkStart w:id="6" w:name="_Toc180159728"/>
      <w:r w:rsidRPr="00F34190">
        <w:rPr>
          <w:color w:val="auto"/>
        </w:rPr>
        <w:t>Financial Commitment to CSR and Sustainable Accounting Practices</w:t>
      </w:r>
      <w:bookmarkEnd w:id="6"/>
    </w:p>
    <w:p w14:paraId="5DA6DBE1" w14:textId="5F20590E" w:rsidR="00674998" w:rsidRPr="00F34190" w:rsidRDefault="004D646E"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Shangri-La Hotels finds the financial results of their environmental efforts by means of environmental cost accounting. From energy-efficient hotel operations to employing sustainable materials for building, their Triple S approach ("Stay, Savour, Shine") for instance blends sustainability throughout the business. Projects like Beijing's Shangri-La Shougang Park, where they transformed former industrial buildings, mixed solar energy systems, and embraced rainwater collecting, amply demonstrate this in action. These initiatives not only complement international sustainability policies but also enable Shangri-La to effectively manage long-term costs</w:t>
      </w:r>
      <w:r w:rsidR="005E24BB" w:rsidRPr="00F34190">
        <w:rPr>
          <w:rFonts w:ascii="Arial" w:hAnsi="Arial" w:cs="Arial"/>
          <w:sz w:val="24"/>
          <w:szCs w:val="24"/>
          <w:lang w:eastAsia="en-GB"/>
        </w:rPr>
        <w:t xml:space="preserve"> (Shangri-La, 2023)</w:t>
      </w:r>
      <w:r w:rsidRPr="00F34190">
        <w:rPr>
          <w:rFonts w:ascii="Arial" w:hAnsi="Arial" w:cs="Arial"/>
          <w:sz w:val="24"/>
          <w:szCs w:val="24"/>
          <w:lang w:eastAsia="en-GB"/>
        </w:rPr>
        <w:t>. Linking their financial performance to certain sustainability KPIs including reducing carbon and water intensity, Shangri-La has also received USD 3.9 billion in sustainability-linked loans. Budgeting helps this CSR commitment to ensure that sustainability goals are embedded into their functional budgets (sales, materials, labour), so enabling their management of overhead and maintenance of luxury services</w:t>
      </w:r>
      <w:r w:rsidR="005E24BB" w:rsidRPr="00F34190">
        <w:rPr>
          <w:rFonts w:ascii="Arial" w:hAnsi="Arial" w:cs="Arial"/>
          <w:sz w:val="24"/>
          <w:szCs w:val="24"/>
          <w:lang w:eastAsia="en-GB"/>
        </w:rPr>
        <w:t>(Shangri-La, 2023)</w:t>
      </w:r>
      <w:r w:rsidRPr="00F34190">
        <w:rPr>
          <w:rFonts w:ascii="Arial" w:hAnsi="Arial" w:cs="Arial"/>
          <w:sz w:val="24"/>
          <w:szCs w:val="24"/>
          <w:lang w:eastAsia="en-GB"/>
        </w:rPr>
        <w:t>. On the other hand, Premier Inn uses Whitbread, its parent company, to include CSR into its "Force for Good" sustainability mission. The company's sustainability projects, which include the completely renewable energy Swindon Premier Inn, reflect its goal of net-zero emissions by 2040. Premier Inn has been reducing its carbon intensity by 54.9% since 2017 mostly by phase-off of gas-powered activities and switch to renewable energy sources over its estate (Whitbread</w:t>
      </w:r>
      <w:r w:rsidR="005E24BB" w:rsidRPr="00F34190">
        <w:rPr>
          <w:rFonts w:ascii="Arial" w:hAnsi="Arial" w:cs="Arial"/>
          <w:sz w:val="24"/>
          <w:szCs w:val="24"/>
          <w:lang w:eastAsia="en-GB"/>
        </w:rPr>
        <w:t xml:space="preserve"> ESG Report, 2023</w:t>
      </w:r>
      <w:r w:rsidRPr="00F34190">
        <w:rPr>
          <w:rFonts w:ascii="Arial" w:hAnsi="Arial" w:cs="Arial"/>
          <w:sz w:val="24"/>
          <w:szCs w:val="24"/>
          <w:lang w:eastAsia="en-GB"/>
        </w:rPr>
        <w:t>). Given sustainability investments into both operational budgets and capital expenditures their budgeting processes include this into both. Whitbread guarantees that sustainability initiatives are connected to cost control by means of its double materiality evaluation, therefore guiding the way CSR activities influence both financial performance and environmental effects. In the end, both hotels show how using sustainability accounting increases revenue and brand image</w:t>
      </w:r>
      <w:r w:rsidR="005E24BB" w:rsidRPr="00F34190">
        <w:rPr>
          <w:rFonts w:ascii="Arial" w:hAnsi="Arial" w:cs="Arial"/>
          <w:sz w:val="24"/>
          <w:szCs w:val="24"/>
          <w:lang w:eastAsia="en-GB"/>
        </w:rPr>
        <w:t xml:space="preserve"> (Wild, 2018)</w:t>
      </w:r>
      <w:r w:rsidRPr="00F34190">
        <w:rPr>
          <w:rFonts w:ascii="Arial" w:hAnsi="Arial" w:cs="Arial"/>
          <w:sz w:val="24"/>
          <w:szCs w:val="24"/>
          <w:lang w:eastAsia="en-GB"/>
        </w:rPr>
        <w:t>. Although Shangri-La's luxury approach incorporates sustainability as part of its premium service offering, Premier Inn's focus on cost-efficiencies directly links to its CSR-driven operational improvements. By matching with increasing client demand for environmentally friendly hotel operations, these approaches not only support long-term development but also their financial status.</w:t>
      </w:r>
    </w:p>
    <w:p w14:paraId="5EF5C29A" w14:textId="77777777" w:rsidR="004D646E" w:rsidRPr="00F34190" w:rsidRDefault="004D646E" w:rsidP="00F34190">
      <w:pPr>
        <w:spacing w:line="360" w:lineRule="auto"/>
        <w:jc w:val="both"/>
        <w:rPr>
          <w:rFonts w:ascii="Arial" w:hAnsi="Arial" w:cs="Arial"/>
          <w:sz w:val="24"/>
          <w:szCs w:val="24"/>
          <w:lang w:eastAsia="en-GB"/>
        </w:rPr>
      </w:pPr>
    </w:p>
    <w:p w14:paraId="09D498DA" w14:textId="7FB52BCF" w:rsidR="004D646E" w:rsidRPr="00F34190" w:rsidRDefault="004D646E" w:rsidP="00F34190">
      <w:pPr>
        <w:pStyle w:val="EU"/>
        <w:numPr>
          <w:ilvl w:val="0"/>
          <w:numId w:val="1"/>
        </w:numPr>
        <w:spacing w:line="360" w:lineRule="auto"/>
        <w:rPr>
          <w:color w:val="auto"/>
        </w:rPr>
      </w:pPr>
      <w:bookmarkStart w:id="7" w:name="_Toc180159729"/>
      <w:r w:rsidRPr="00F34190">
        <w:rPr>
          <w:color w:val="auto"/>
        </w:rPr>
        <w:t>Conclusion</w:t>
      </w:r>
      <w:bookmarkEnd w:id="7"/>
    </w:p>
    <w:p w14:paraId="11064A48" w14:textId="0B80956D" w:rsidR="00674998" w:rsidRPr="00F34190" w:rsidRDefault="00F93E82"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In conclusion,  Shangri-La Hotels and Premier Inn illustrate distinct yet effective financial management strategies. Shangri-La, functioning within the luxury market, utilises its diverse income streams and exceptional services, supported by robust sustainability initiatives such as local sourcing and energy-efficient operations. While it entails increased risks, the expansion into developing countries offers significant growth potential, which can be mitigated through precise forecasting and budgeting. On the other hand, Premier Inn's focus on affordable accommodations and cost efficiency has enabled it to maintain a significant position within the budget sector. The company's commitment to long-term profitability is evident through its net-zero targets, prudent management of working capital, and the integration of sustainability into its cost structures. Thus, both businesses intentionally align their financial management strategies with their market conditions to ensure consistent growth and adapt to the evolving needs of consumers and the environment.</w:t>
      </w:r>
    </w:p>
    <w:p w14:paraId="6518E15E" w14:textId="77777777" w:rsidR="00F93E82" w:rsidRPr="00F34190" w:rsidRDefault="00F93E82" w:rsidP="00F34190">
      <w:pPr>
        <w:spacing w:line="360" w:lineRule="auto"/>
        <w:jc w:val="both"/>
        <w:rPr>
          <w:rFonts w:ascii="Arial" w:hAnsi="Arial" w:cs="Arial"/>
          <w:sz w:val="24"/>
          <w:szCs w:val="24"/>
          <w:lang w:eastAsia="en-GB"/>
        </w:rPr>
      </w:pPr>
    </w:p>
    <w:p w14:paraId="142354AB" w14:textId="32D22BEA" w:rsidR="00F93E82" w:rsidRPr="00F34190" w:rsidRDefault="00F93E82" w:rsidP="00F34190">
      <w:pPr>
        <w:pStyle w:val="EU"/>
        <w:numPr>
          <w:ilvl w:val="0"/>
          <w:numId w:val="1"/>
        </w:numPr>
        <w:spacing w:line="360" w:lineRule="auto"/>
        <w:rPr>
          <w:color w:val="auto"/>
        </w:rPr>
      </w:pPr>
      <w:bookmarkStart w:id="8" w:name="_Toc180159730"/>
      <w:r w:rsidRPr="00F34190">
        <w:rPr>
          <w:color w:val="auto"/>
        </w:rPr>
        <w:t>Recommendations</w:t>
      </w:r>
      <w:bookmarkEnd w:id="8"/>
    </w:p>
    <w:p w14:paraId="2FB6501D" w14:textId="16AE56F5" w:rsidR="00F93E82" w:rsidRPr="00F34190" w:rsidRDefault="00F93E82" w:rsidP="00F34190">
      <w:pPr>
        <w:pStyle w:val="ListParagraph"/>
        <w:numPr>
          <w:ilvl w:val="0"/>
          <w:numId w:val="2"/>
        </w:numPr>
        <w:spacing w:line="360" w:lineRule="auto"/>
        <w:jc w:val="both"/>
        <w:rPr>
          <w:rFonts w:ascii="Arial" w:hAnsi="Arial" w:cs="Arial"/>
          <w:sz w:val="24"/>
          <w:szCs w:val="24"/>
          <w:lang w:eastAsia="en-GB"/>
        </w:rPr>
      </w:pPr>
      <w:r w:rsidRPr="00F34190">
        <w:rPr>
          <w:rFonts w:ascii="Arial" w:hAnsi="Arial" w:cs="Arial"/>
          <w:sz w:val="24"/>
          <w:szCs w:val="24"/>
          <w:lang w:eastAsia="en-GB"/>
        </w:rPr>
        <w:t>In order to facilitate its growth in emerging markets, which may present increased economic and political risks, Shangri-La ought to enhance its integration of sustainability accounting and environmental cost management. Research suggests that luxury hotels that emphasise corporate social responsibilit</w:t>
      </w:r>
      <w:r w:rsidR="00673E91" w:rsidRPr="00F34190">
        <w:rPr>
          <w:rFonts w:ascii="Arial" w:hAnsi="Arial" w:cs="Arial"/>
          <w:sz w:val="24"/>
          <w:szCs w:val="24"/>
          <w:lang w:eastAsia="en-GB"/>
        </w:rPr>
        <w:t>y</w:t>
      </w:r>
      <w:r w:rsidRPr="00F34190">
        <w:rPr>
          <w:rFonts w:ascii="Arial" w:hAnsi="Arial" w:cs="Arial"/>
          <w:sz w:val="24"/>
          <w:szCs w:val="24"/>
          <w:lang w:eastAsia="en-GB"/>
        </w:rPr>
        <w:t xml:space="preserve"> can enhance their brand image and achieve better financial performance in the long run (</w:t>
      </w:r>
      <w:r w:rsidR="00673E91" w:rsidRPr="00F34190">
        <w:rPr>
          <w:rFonts w:ascii="Arial" w:hAnsi="Arial" w:cs="Arial"/>
          <w:sz w:val="24"/>
          <w:szCs w:val="24"/>
          <w:lang w:eastAsia="en-GB"/>
        </w:rPr>
        <w:t>Walker, 2021</w:t>
      </w:r>
      <w:r w:rsidRPr="00F34190">
        <w:rPr>
          <w:rFonts w:ascii="Arial" w:hAnsi="Arial" w:cs="Arial"/>
          <w:sz w:val="24"/>
          <w:szCs w:val="24"/>
          <w:lang w:eastAsia="en-GB"/>
        </w:rPr>
        <w:t>). By linking sustainability goals to more structured capital budgeting processes, Shangri-La could mitigate risks while expanding its footprint in regions such as Asia and the Middle East, thus facilitating a more efficient allocation of resources (</w:t>
      </w:r>
      <w:r w:rsidR="00673E91" w:rsidRPr="00F34190">
        <w:rPr>
          <w:rFonts w:ascii="Arial" w:hAnsi="Arial" w:cs="Arial"/>
          <w:sz w:val="24"/>
          <w:szCs w:val="24"/>
          <w:lang w:eastAsia="en-GB"/>
        </w:rPr>
        <w:t>Drury, 2021</w:t>
      </w:r>
      <w:r w:rsidRPr="00F34190">
        <w:rPr>
          <w:rFonts w:ascii="Arial" w:hAnsi="Arial" w:cs="Arial"/>
          <w:sz w:val="24"/>
          <w:szCs w:val="24"/>
          <w:lang w:eastAsia="en-GB"/>
        </w:rPr>
        <w:t>).</w:t>
      </w:r>
    </w:p>
    <w:p w14:paraId="72B35099" w14:textId="1B69F298" w:rsidR="00F93E82" w:rsidRPr="00F34190" w:rsidRDefault="00F93E82" w:rsidP="00F34190">
      <w:pPr>
        <w:pStyle w:val="ListParagraph"/>
        <w:numPr>
          <w:ilvl w:val="0"/>
          <w:numId w:val="2"/>
        </w:numPr>
        <w:spacing w:line="360" w:lineRule="auto"/>
        <w:jc w:val="both"/>
        <w:rPr>
          <w:rFonts w:ascii="Arial" w:hAnsi="Arial" w:cs="Arial"/>
          <w:sz w:val="24"/>
          <w:szCs w:val="24"/>
          <w:lang w:eastAsia="en-GB"/>
        </w:rPr>
      </w:pPr>
      <w:r w:rsidRPr="00F34190">
        <w:rPr>
          <w:rFonts w:ascii="Arial" w:hAnsi="Arial" w:cs="Arial"/>
          <w:sz w:val="24"/>
          <w:szCs w:val="24"/>
          <w:lang w:eastAsia="en-GB"/>
        </w:rPr>
        <w:t>It is recommended that Premier Inn prioritise cost control through the implementation of sustainability initiatives. The integration of environmental, social, and governance reporting into financial frameworks, as demonstrated by the "Force for Good" initiative, may lead to a reduction in operational expenses. This aligns with research that highlights a notable connection between sustainability practices and operational efficiency (Deloitte, 202</w:t>
      </w:r>
      <w:r w:rsidR="00673E91" w:rsidRPr="00F34190">
        <w:rPr>
          <w:rFonts w:ascii="Arial" w:hAnsi="Arial" w:cs="Arial"/>
          <w:sz w:val="24"/>
          <w:szCs w:val="24"/>
          <w:lang w:eastAsia="en-GB"/>
        </w:rPr>
        <w:t>3</w:t>
      </w:r>
      <w:r w:rsidRPr="00F34190">
        <w:rPr>
          <w:rFonts w:ascii="Arial" w:hAnsi="Arial" w:cs="Arial"/>
          <w:sz w:val="24"/>
          <w:szCs w:val="24"/>
          <w:lang w:eastAsia="en-GB"/>
        </w:rPr>
        <w:t>). To sustain its competitive advantage, Premier Inn should enhance its use of working capital management tools to ensure sufficient liquidity for continued growth in the UK and other stable markets like Germany (</w:t>
      </w:r>
      <w:r w:rsidR="00673E91" w:rsidRPr="00F34190">
        <w:rPr>
          <w:rFonts w:ascii="Arial" w:hAnsi="Arial" w:cs="Arial"/>
          <w:sz w:val="24"/>
          <w:szCs w:val="24"/>
          <w:lang w:eastAsia="en-GB"/>
        </w:rPr>
        <w:t>Wild, 2021</w:t>
      </w:r>
      <w:r w:rsidRPr="00F34190">
        <w:rPr>
          <w:rFonts w:ascii="Arial" w:hAnsi="Arial" w:cs="Arial"/>
          <w:sz w:val="24"/>
          <w:szCs w:val="24"/>
          <w:lang w:eastAsia="en-GB"/>
        </w:rPr>
        <w:t xml:space="preserve">). Moreover, the adoption of advanced budgeting software could aid both organisations in improving their forecasting models and </w:t>
      </w:r>
      <w:r w:rsidR="00673E91" w:rsidRPr="00F34190">
        <w:rPr>
          <w:rFonts w:ascii="Arial" w:hAnsi="Arial" w:cs="Arial"/>
          <w:sz w:val="24"/>
          <w:szCs w:val="24"/>
          <w:lang w:eastAsia="en-GB"/>
        </w:rPr>
        <w:t>adjust</w:t>
      </w:r>
      <w:r w:rsidRPr="00F34190">
        <w:rPr>
          <w:rFonts w:ascii="Arial" w:hAnsi="Arial" w:cs="Arial"/>
          <w:sz w:val="24"/>
          <w:szCs w:val="24"/>
          <w:lang w:eastAsia="en-GB"/>
        </w:rPr>
        <w:t xml:space="preserve"> their decision-making processes regarding future investments (</w:t>
      </w:r>
      <w:r w:rsidR="00673E91" w:rsidRPr="00F34190">
        <w:rPr>
          <w:rFonts w:ascii="Arial" w:hAnsi="Arial" w:cs="Arial"/>
          <w:sz w:val="24"/>
          <w:szCs w:val="24"/>
          <w:lang w:eastAsia="en-GB"/>
        </w:rPr>
        <w:t>Seal, 2019</w:t>
      </w:r>
      <w:r w:rsidRPr="00F34190">
        <w:rPr>
          <w:rFonts w:ascii="Arial" w:hAnsi="Arial" w:cs="Arial"/>
          <w:sz w:val="24"/>
          <w:szCs w:val="24"/>
          <w:lang w:eastAsia="en-GB"/>
        </w:rPr>
        <w:t>).</w:t>
      </w:r>
    </w:p>
    <w:p w14:paraId="0C430BD7" w14:textId="77777777" w:rsidR="00F93E82" w:rsidRDefault="00F93E82" w:rsidP="0000445C">
      <w:pPr>
        <w:spacing w:line="360" w:lineRule="auto"/>
        <w:jc w:val="both"/>
        <w:rPr>
          <w:rFonts w:ascii="Arial" w:hAnsi="Arial" w:cs="Arial"/>
          <w:sz w:val="24"/>
          <w:szCs w:val="24"/>
          <w:lang w:eastAsia="en-GB"/>
        </w:rPr>
      </w:pPr>
    </w:p>
    <w:p w14:paraId="06369B64" w14:textId="77777777" w:rsidR="00673E91" w:rsidRPr="00F34190" w:rsidRDefault="00673E91" w:rsidP="00F34190">
      <w:pPr>
        <w:spacing w:line="360" w:lineRule="auto"/>
        <w:jc w:val="both"/>
        <w:rPr>
          <w:rFonts w:ascii="Arial" w:hAnsi="Arial" w:cs="Arial"/>
          <w:sz w:val="24"/>
          <w:szCs w:val="24"/>
          <w:lang w:eastAsia="en-GB"/>
        </w:rPr>
      </w:pPr>
    </w:p>
    <w:p w14:paraId="696E54E2" w14:textId="77777777" w:rsidR="00673E91" w:rsidRPr="00F34190" w:rsidRDefault="00673E91" w:rsidP="00F34190">
      <w:pPr>
        <w:spacing w:line="360" w:lineRule="auto"/>
        <w:jc w:val="both"/>
        <w:rPr>
          <w:rFonts w:ascii="Arial" w:hAnsi="Arial" w:cs="Arial"/>
          <w:sz w:val="24"/>
          <w:szCs w:val="24"/>
          <w:lang w:eastAsia="en-GB"/>
        </w:rPr>
      </w:pPr>
    </w:p>
    <w:p w14:paraId="691FD2C6" w14:textId="1FBD0564" w:rsidR="00F93E82" w:rsidRPr="00F34190" w:rsidRDefault="00F93E82" w:rsidP="00F34190">
      <w:pPr>
        <w:pStyle w:val="EU"/>
        <w:numPr>
          <w:ilvl w:val="0"/>
          <w:numId w:val="1"/>
        </w:numPr>
        <w:spacing w:line="360" w:lineRule="auto"/>
        <w:rPr>
          <w:color w:val="auto"/>
        </w:rPr>
      </w:pPr>
      <w:bookmarkStart w:id="9" w:name="_Toc180159731"/>
      <w:r w:rsidRPr="00F34190">
        <w:rPr>
          <w:color w:val="auto"/>
        </w:rPr>
        <w:t>References</w:t>
      </w:r>
      <w:bookmarkEnd w:id="9"/>
      <w:r w:rsidRPr="00F34190">
        <w:rPr>
          <w:color w:val="auto"/>
        </w:rPr>
        <w:t xml:space="preserve"> </w:t>
      </w:r>
    </w:p>
    <w:p w14:paraId="342F1659" w14:textId="77777777" w:rsidR="00A60F75" w:rsidRPr="00F34190" w:rsidRDefault="00A60F75" w:rsidP="00F34190">
      <w:pPr>
        <w:spacing w:line="360" w:lineRule="auto"/>
        <w:jc w:val="both"/>
        <w:rPr>
          <w:rFonts w:ascii="Arial" w:eastAsiaTheme="majorEastAsia" w:hAnsi="Arial" w:cs="Arial"/>
          <w:b/>
          <w:kern w:val="0"/>
          <w:sz w:val="24"/>
          <w:szCs w:val="24"/>
          <w:lang w:eastAsia="en-GB"/>
          <w14:ligatures w14:val="none"/>
        </w:rPr>
      </w:pPr>
    </w:p>
    <w:p w14:paraId="3DD1BBB3" w14:textId="77777777" w:rsidR="00A60F75" w:rsidRPr="00F34190" w:rsidRDefault="00A60F75"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 xml:space="preserve">Atrill P, McLaney E (2021) Management Accounting for Decision Makers, FT Prentice Hall </w:t>
      </w:r>
    </w:p>
    <w:p w14:paraId="1DD1ADCF" w14:textId="67EFD957" w:rsidR="00917301" w:rsidRPr="00F34190" w:rsidRDefault="00917301"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Bhimani A, (Ed) (2006) Contemporary Issues in Management Accounting ,  Oxford</w:t>
      </w:r>
    </w:p>
    <w:p w14:paraId="09485C75" w14:textId="4C54BB8A" w:rsidR="00673E91" w:rsidRPr="00F34190" w:rsidRDefault="00673E91"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Deloitte (2023). Sustainability &amp; Consumer Behaviour 2023. [online] Deloitte. Available at: https://www.deloitte.com/uk/en/Industries/consumer/research/sustainable-consumer.html.</w:t>
      </w:r>
    </w:p>
    <w:p w14:paraId="22BF4774" w14:textId="7222D852" w:rsidR="00A60F75" w:rsidRPr="00F34190" w:rsidRDefault="00A60F75"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Drury</w:t>
      </w:r>
      <w:r w:rsidRPr="00F34190">
        <w:rPr>
          <w:rFonts w:ascii="Arial" w:hAnsi="Arial" w:cs="Arial"/>
          <w:sz w:val="24"/>
          <w:szCs w:val="24"/>
          <w:lang w:eastAsia="en-GB"/>
        </w:rPr>
        <w:t>,</w:t>
      </w:r>
      <w:r w:rsidRPr="00F34190">
        <w:rPr>
          <w:rFonts w:ascii="Arial" w:hAnsi="Arial" w:cs="Arial"/>
          <w:sz w:val="24"/>
          <w:szCs w:val="24"/>
          <w:lang w:eastAsia="en-GB"/>
        </w:rPr>
        <w:t xml:space="preserve"> C</w:t>
      </w:r>
      <w:r w:rsidRPr="00F34190">
        <w:rPr>
          <w:rFonts w:ascii="Arial" w:hAnsi="Arial" w:cs="Arial"/>
          <w:sz w:val="24"/>
          <w:szCs w:val="24"/>
          <w:lang w:eastAsia="en-GB"/>
        </w:rPr>
        <w:t>.</w:t>
      </w:r>
      <w:r w:rsidRPr="00F34190">
        <w:rPr>
          <w:rFonts w:ascii="Arial" w:hAnsi="Arial" w:cs="Arial"/>
          <w:sz w:val="24"/>
          <w:szCs w:val="24"/>
          <w:lang w:eastAsia="en-GB"/>
        </w:rPr>
        <w:t xml:space="preserve"> (2021)</w:t>
      </w:r>
      <w:r w:rsidRPr="00F34190">
        <w:rPr>
          <w:rFonts w:ascii="Arial" w:hAnsi="Arial" w:cs="Arial"/>
          <w:sz w:val="24"/>
          <w:szCs w:val="24"/>
          <w:lang w:eastAsia="en-GB"/>
        </w:rPr>
        <w:t xml:space="preserve">. </w:t>
      </w:r>
      <w:r w:rsidRPr="00F34190">
        <w:rPr>
          <w:rFonts w:ascii="Arial" w:hAnsi="Arial" w:cs="Arial"/>
          <w:sz w:val="24"/>
          <w:szCs w:val="24"/>
          <w:lang w:eastAsia="en-GB"/>
        </w:rPr>
        <w:t>Management and Cost Accounting, London, 11th Ed</w:t>
      </w:r>
      <w:r w:rsidRPr="00F34190">
        <w:rPr>
          <w:rFonts w:ascii="Arial" w:hAnsi="Arial" w:cs="Arial"/>
          <w:sz w:val="24"/>
          <w:szCs w:val="24"/>
          <w:lang w:eastAsia="en-GB"/>
        </w:rPr>
        <w:t xml:space="preserve"> ,</w:t>
      </w:r>
      <w:r w:rsidRPr="00F34190">
        <w:rPr>
          <w:rFonts w:ascii="Arial" w:hAnsi="Arial" w:cs="Arial"/>
          <w:sz w:val="24"/>
          <w:szCs w:val="24"/>
          <w:lang w:eastAsia="en-GB"/>
        </w:rPr>
        <w:t xml:space="preserve">Prentice Hall </w:t>
      </w:r>
    </w:p>
    <w:p w14:paraId="7B5DC331" w14:textId="12BD3853" w:rsidR="005E24BB" w:rsidRPr="00F34190" w:rsidRDefault="005E24BB"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 xml:space="preserve">Financial Times (2021). </w:t>
      </w:r>
      <w:r w:rsidRPr="00F34190">
        <w:rPr>
          <w:rFonts w:ascii="Arial" w:hAnsi="Arial" w:cs="Arial"/>
          <w:sz w:val="24"/>
          <w:szCs w:val="24"/>
          <w:lang w:eastAsia="en-GB"/>
        </w:rPr>
        <w:t>Preliminary Results Announcement – Company Announcement - FT.com. [online] Available at: https://markets.ft.com/data/announce/detail?dockey=1323-14951957-1MSEREAG1Q8QFLAE78T9H9NVGG.</w:t>
      </w:r>
    </w:p>
    <w:p w14:paraId="3890AF44" w14:textId="0DF59E1C" w:rsidR="00A60F75" w:rsidRPr="00F34190" w:rsidRDefault="00A60F75"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Financial Times</w:t>
      </w:r>
      <w:r w:rsidRPr="00F34190">
        <w:rPr>
          <w:rFonts w:ascii="Arial" w:hAnsi="Arial" w:cs="Arial"/>
          <w:sz w:val="24"/>
          <w:szCs w:val="24"/>
          <w:lang w:eastAsia="en-GB"/>
        </w:rPr>
        <w:t xml:space="preserve"> (2024). Shangri-La Hotel PCL, SHANG:SET financials - FT.com. [online] Available at: https://markets.ft.com/data/equities/tearsheet/financials?s=SHANG:SET </w:t>
      </w:r>
      <w:bookmarkStart w:id="10" w:name="_Hlk180161205"/>
      <w:r w:rsidRPr="00F34190">
        <w:rPr>
          <w:rFonts w:ascii="Arial" w:hAnsi="Arial" w:cs="Arial"/>
          <w:sz w:val="24"/>
          <w:szCs w:val="24"/>
          <w:lang w:eastAsia="en-GB"/>
        </w:rPr>
        <w:t xml:space="preserve">[Accessed </w:t>
      </w:r>
      <w:r w:rsidRPr="00F34190">
        <w:rPr>
          <w:rFonts w:ascii="Arial" w:hAnsi="Arial" w:cs="Arial"/>
          <w:sz w:val="24"/>
          <w:szCs w:val="24"/>
          <w:lang w:eastAsia="en-GB"/>
        </w:rPr>
        <w:t>2</w:t>
      </w:r>
      <w:r w:rsidRPr="00F34190">
        <w:rPr>
          <w:rFonts w:ascii="Arial" w:hAnsi="Arial" w:cs="Arial"/>
          <w:sz w:val="24"/>
          <w:szCs w:val="24"/>
          <w:lang w:eastAsia="en-GB"/>
        </w:rPr>
        <w:t xml:space="preserve"> Oct. 2024].</w:t>
      </w:r>
      <w:bookmarkEnd w:id="10"/>
    </w:p>
    <w:p w14:paraId="4ACF968B" w14:textId="375003BF" w:rsidR="00A60F75" w:rsidRPr="00F34190" w:rsidRDefault="00A60F75"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Financial</w:t>
      </w:r>
      <w:r w:rsidRPr="00F34190">
        <w:rPr>
          <w:rFonts w:ascii="Arial" w:hAnsi="Arial" w:cs="Arial"/>
          <w:sz w:val="24"/>
          <w:szCs w:val="24"/>
          <w:lang w:eastAsia="en-GB"/>
        </w:rPr>
        <w:t xml:space="preserve"> </w:t>
      </w:r>
      <w:r w:rsidRPr="00F34190">
        <w:rPr>
          <w:rFonts w:ascii="Arial" w:hAnsi="Arial" w:cs="Arial"/>
          <w:sz w:val="24"/>
          <w:szCs w:val="24"/>
          <w:lang w:eastAsia="en-GB"/>
        </w:rPr>
        <w:t>Times. (20</w:t>
      </w:r>
      <w:r w:rsidRPr="00F34190">
        <w:rPr>
          <w:rFonts w:ascii="Arial" w:hAnsi="Arial" w:cs="Arial"/>
          <w:sz w:val="24"/>
          <w:szCs w:val="24"/>
          <w:lang w:eastAsia="en-GB"/>
        </w:rPr>
        <w:t>24</w:t>
      </w:r>
      <w:r w:rsidRPr="00F34190">
        <w:rPr>
          <w:rFonts w:ascii="Arial" w:hAnsi="Arial" w:cs="Arial"/>
          <w:sz w:val="24"/>
          <w:szCs w:val="24"/>
          <w:lang w:eastAsia="en-GB"/>
        </w:rPr>
        <w:t>). Premier Inn owner hit by falling demand for UK budget hotels. [online] Available at: https://www.ft.com/content/a1269f87-1f17-4d22-aec9-434fba210b97.</w:t>
      </w:r>
      <w:r w:rsidR="00673E91" w:rsidRPr="00F34190">
        <w:rPr>
          <w:rFonts w:ascii="Arial" w:hAnsi="Arial" w:cs="Arial"/>
          <w:sz w:val="24"/>
          <w:szCs w:val="24"/>
        </w:rPr>
        <w:t xml:space="preserve">  </w:t>
      </w:r>
      <w:r w:rsidR="00673E91" w:rsidRPr="00F34190">
        <w:rPr>
          <w:rFonts w:ascii="Arial" w:hAnsi="Arial" w:cs="Arial"/>
          <w:sz w:val="24"/>
          <w:szCs w:val="24"/>
          <w:lang w:eastAsia="en-GB"/>
        </w:rPr>
        <w:t>[Accessed 2 Oct. 2024].</w:t>
      </w:r>
    </w:p>
    <w:p w14:paraId="37343C69" w14:textId="77777777" w:rsidR="00A60F75" w:rsidRPr="00F34190" w:rsidRDefault="00A60F75"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Frost, S. (2024). Premier Inn uplifts its bedroom target to 5,000 rooms in Ireland. [online] Whitbread PLC. Available at: https://www.whitbread.co.uk/premier-inn-uplifts-its-bedroom-target-to-5000-rooms-in-ireland/.</w:t>
      </w:r>
    </w:p>
    <w:p w14:paraId="69FE46DB" w14:textId="3718FEC4" w:rsidR="00A60F75" w:rsidRPr="00F34190" w:rsidRDefault="00A60F75"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Guilding,C.(2014) (3rd Edition) Accounting Essentials for Hospitality Managers, London, Routledge</w:t>
      </w:r>
    </w:p>
    <w:p w14:paraId="434AE778" w14:textId="4FA9B60F" w:rsidR="00722752" w:rsidRPr="00F34190" w:rsidRDefault="00722752"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Jagels,M. (2007) Hospitality Management Accounting, London, Wiley.</w:t>
      </w:r>
    </w:p>
    <w:p w14:paraId="1BFAEB34" w14:textId="5A0BA13C" w:rsidR="00917301" w:rsidRPr="00F34190" w:rsidRDefault="00917301"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Premier Inn (2023). Force For Good. [online] Premier Inn. Available at: https://www.premierinn.com/gb/en/why/force-for-good.html.</w:t>
      </w:r>
    </w:p>
    <w:p w14:paraId="39092143" w14:textId="5D6B8452" w:rsidR="00673E91" w:rsidRPr="00F34190" w:rsidRDefault="00673E91"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Seal W (2019) (6th Ed) Management Accounting, London, McGraw Hill</w:t>
      </w:r>
    </w:p>
    <w:p w14:paraId="718ACC50" w14:textId="02B1020F" w:rsidR="00917301" w:rsidRPr="00F34190" w:rsidRDefault="00917301"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 xml:space="preserve">Shangri-la (2022). Available at: </w:t>
      </w:r>
      <w:hyperlink r:id="rId10" w:history="1">
        <w:r w:rsidR="005E24BB" w:rsidRPr="00F34190">
          <w:rPr>
            <w:rStyle w:val="Hyperlink"/>
            <w:rFonts w:ascii="Arial" w:hAnsi="Arial" w:cs="Arial"/>
            <w:color w:val="auto"/>
            <w:sz w:val="24"/>
            <w:szCs w:val="24"/>
            <w:lang w:eastAsia="en-GB"/>
          </w:rPr>
          <w:t>https://www.shangri-la.com/group/investors/corporate-governance-and-sustainability</w:t>
        </w:r>
      </w:hyperlink>
      <w:r w:rsidRPr="00F34190">
        <w:rPr>
          <w:rFonts w:ascii="Arial" w:hAnsi="Arial" w:cs="Arial"/>
          <w:sz w:val="24"/>
          <w:szCs w:val="24"/>
          <w:lang w:eastAsia="en-GB"/>
        </w:rPr>
        <w:t>.</w:t>
      </w:r>
    </w:p>
    <w:p w14:paraId="6627B369" w14:textId="370C9BC4" w:rsidR="005E24BB" w:rsidRPr="00F34190" w:rsidRDefault="005E24BB"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 xml:space="preserve">Sahngri-La (2023). </w:t>
      </w:r>
      <w:r w:rsidRPr="00F34190">
        <w:rPr>
          <w:rFonts w:ascii="Arial" w:hAnsi="Arial" w:cs="Arial"/>
          <w:sz w:val="24"/>
          <w:szCs w:val="24"/>
          <w:lang w:eastAsia="en-GB"/>
        </w:rPr>
        <w:t>SUSTAINABILITY</w:t>
      </w:r>
      <w:r w:rsidRPr="00F34190">
        <w:rPr>
          <w:rFonts w:ascii="Arial" w:hAnsi="Arial" w:cs="Arial"/>
          <w:sz w:val="24"/>
          <w:szCs w:val="24"/>
          <w:lang w:eastAsia="en-GB"/>
        </w:rPr>
        <w:t xml:space="preserve"> </w:t>
      </w:r>
      <w:r w:rsidRPr="00F34190">
        <w:rPr>
          <w:rFonts w:ascii="Arial" w:hAnsi="Arial" w:cs="Arial"/>
          <w:sz w:val="24"/>
          <w:szCs w:val="24"/>
          <w:lang w:eastAsia="en-GB"/>
        </w:rPr>
        <w:t>REPORT</w:t>
      </w:r>
      <w:r w:rsidRPr="00F34190">
        <w:rPr>
          <w:rFonts w:ascii="Arial" w:hAnsi="Arial" w:cs="Arial"/>
          <w:sz w:val="24"/>
          <w:szCs w:val="24"/>
          <w:lang w:eastAsia="en-GB"/>
        </w:rPr>
        <w:t xml:space="preserve"> </w:t>
      </w:r>
      <w:r w:rsidRPr="00F34190">
        <w:rPr>
          <w:rFonts w:ascii="Arial" w:hAnsi="Arial" w:cs="Arial"/>
          <w:sz w:val="24"/>
          <w:szCs w:val="24"/>
          <w:lang w:eastAsia="en-GB"/>
        </w:rPr>
        <w:t>2023</w:t>
      </w:r>
      <w:r w:rsidRPr="00F34190">
        <w:rPr>
          <w:rFonts w:ascii="Arial" w:hAnsi="Arial" w:cs="Arial"/>
          <w:sz w:val="24"/>
          <w:szCs w:val="24"/>
          <w:lang w:eastAsia="en-GB"/>
        </w:rPr>
        <w:t xml:space="preserve">. Available at: </w:t>
      </w:r>
      <w:r w:rsidRPr="00F34190">
        <w:rPr>
          <w:rFonts w:ascii="Arial" w:hAnsi="Arial" w:cs="Arial"/>
          <w:sz w:val="24"/>
          <w:szCs w:val="24"/>
          <w:lang w:eastAsia="en-GB"/>
        </w:rPr>
        <w:t>https://www.shangri-la.com/group/sustainability/report</w:t>
      </w:r>
      <w:r w:rsidRPr="00F34190">
        <w:rPr>
          <w:rFonts w:ascii="Arial" w:hAnsi="Arial" w:cs="Arial"/>
          <w:sz w:val="24"/>
          <w:szCs w:val="24"/>
          <w:lang w:eastAsia="en-GB"/>
        </w:rPr>
        <w:t>.</w:t>
      </w:r>
    </w:p>
    <w:p w14:paraId="73D92BE4" w14:textId="1618E6F2" w:rsidR="00917301" w:rsidRPr="00F34190" w:rsidRDefault="00917301"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South China Morning Post. (2023). Exclusive | Shangri-La Group’s expansion in Middle East to start paying off. [online] Available at: https://www.scmp.com/business/article/3239583/shangri-la-poised-benefit-middle-easts-economic-rebound-after-decades-long-expansion-spree.</w:t>
      </w:r>
    </w:p>
    <w:p w14:paraId="1E05E2DE" w14:textId="395C8CD5" w:rsidR="00722752" w:rsidRPr="00F34190" w:rsidRDefault="00722752"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 xml:space="preserve">Statista (2024). Premier Inn hotel occupancy rates 2011-2020. [online] Statista. Available at: </w:t>
      </w:r>
      <w:hyperlink r:id="rId11" w:history="1">
        <w:r w:rsidRPr="00F34190">
          <w:rPr>
            <w:rStyle w:val="Hyperlink"/>
            <w:rFonts w:ascii="Arial" w:hAnsi="Arial" w:cs="Arial"/>
            <w:color w:val="auto"/>
            <w:sz w:val="24"/>
            <w:szCs w:val="24"/>
            <w:lang w:eastAsia="en-GB"/>
          </w:rPr>
          <w:t>https://www.statista.com/statistics/739831/premier-inn-hotel-occupancy-rates/</w:t>
        </w:r>
      </w:hyperlink>
      <w:r w:rsidRPr="00F34190">
        <w:rPr>
          <w:rFonts w:ascii="Arial" w:hAnsi="Arial" w:cs="Arial"/>
          <w:sz w:val="24"/>
          <w:szCs w:val="24"/>
          <w:lang w:eastAsia="en-GB"/>
        </w:rPr>
        <w:t>.</w:t>
      </w:r>
    </w:p>
    <w:p w14:paraId="7A2EF13A" w14:textId="4EF2D904" w:rsidR="00673E91" w:rsidRPr="00F34190" w:rsidRDefault="00673E91"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Walker J (2021) Introduction to Hospitality, Harlow, Pearson</w:t>
      </w:r>
    </w:p>
    <w:p w14:paraId="6724971C" w14:textId="092E1C80" w:rsidR="00722752" w:rsidRPr="00F34190" w:rsidRDefault="00722752"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 xml:space="preserve">Whitbread (2023). </w:t>
      </w:r>
      <w:r w:rsidRPr="00F34190">
        <w:rPr>
          <w:rFonts w:ascii="Arial" w:hAnsi="Arial" w:cs="Arial"/>
          <w:sz w:val="24"/>
          <w:szCs w:val="24"/>
          <w:lang w:eastAsia="en-GB"/>
        </w:rPr>
        <w:t>The Economic Impact of Premier Inn Hotels</w:t>
      </w:r>
      <w:r w:rsidRPr="00F34190">
        <w:rPr>
          <w:rFonts w:ascii="Arial" w:hAnsi="Arial" w:cs="Arial"/>
          <w:sz w:val="24"/>
          <w:szCs w:val="24"/>
          <w:lang w:eastAsia="en-GB"/>
        </w:rPr>
        <w:t xml:space="preserve">. Available at: </w:t>
      </w:r>
      <w:r w:rsidR="00673E91" w:rsidRPr="00F34190">
        <w:rPr>
          <w:rFonts w:ascii="Arial" w:hAnsi="Arial" w:cs="Arial"/>
          <w:sz w:val="24"/>
          <w:szCs w:val="24"/>
          <w:lang w:eastAsia="en-GB"/>
        </w:rPr>
        <w:t xml:space="preserve"> </w:t>
      </w:r>
      <w:hyperlink r:id="rId12" w:history="1">
        <w:r w:rsidR="00673E91" w:rsidRPr="00F34190">
          <w:rPr>
            <w:rStyle w:val="Hyperlink"/>
            <w:rFonts w:ascii="Arial" w:hAnsi="Arial" w:cs="Arial"/>
            <w:color w:val="auto"/>
            <w:sz w:val="24"/>
            <w:szCs w:val="24"/>
            <w:lang w:eastAsia="en-GB"/>
          </w:rPr>
          <w:t>https://cdn.whitbread.co.uk/media/2023/08/The-Economic-Impact-of-Premier-Inn-hotels_2022-study_final.pdf</w:t>
        </w:r>
      </w:hyperlink>
      <w:r w:rsidR="00673E91" w:rsidRPr="00F34190">
        <w:rPr>
          <w:rFonts w:ascii="Arial" w:hAnsi="Arial" w:cs="Arial"/>
          <w:sz w:val="24"/>
          <w:szCs w:val="24"/>
          <w:lang w:eastAsia="en-GB"/>
        </w:rPr>
        <w:t xml:space="preserve"> </w:t>
      </w:r>
      <w:r w:rsidR="00673E91" w:rsidRPr="00F34190">
        <w:rPr>
          <w:rFonts w:ascii="Arial" w:hAnsi="Arial" w:cs="Arial"/>
          <w:sz w:val="24"/>
          <w:szCs w:val="24"/>
          <w:lang w:eastAsia="en-GB"/>
        </w:rPr>
        <w:t xml:space="preserve">[Accessed </w:t>
      </w:r>
      <w:r w:rsidR="00673E91" w:rsidRPr="00F34190">
        <w:rPr>
          <w:rFonts w:ascii="Arial" w:hAnsi="Arial" w:cs="Arial"/>
          <w:sz w:val="24"/>
          <w:szCs w:val="24"/>
          <w:lang w:eastAsia="en-GB"/>
        </w:rPr>
        <w:t>4</w:t>
      </w:r>
      <w:r w:rsidR="00673E91" w:rsidRPr="00F34190">
        <w:rPr>
          <w:rFonts w:ascii="Arial" w:hAnsi="Arial" w:cs="Arial"/>
          <w:sz w:val="24"/>
          <w:szCs w:val="24"/>
          <w:lang w:eastAsia="en-GB"/>
        </w:rPr>
        <w:t xml:space="preserve"> Oct. 2024].</w:t>
      </w:r>
    </w:p>
    <w:p w14:paraId="2B48658D" w14:textId="6F3821AE" w:rsidR="00F34190" w:rsidRPr="00F34190" w:rsidRDefault="00F34190"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 xml:space="preserve">Whitbread ESG Report, </w:t>
      </w:r>
      <w:r w:rsidRPr="00F34190">
        <w:rPr>
          <w:rFonts w:ascii="Arial" w:hAnsi="Arial" w:cs="Arial"/>
          <w:sz w:val="24"/>
          <w:szCs w:val="24"/>
          <w:lang w:eastAsia="en-GB"/>
        </w:rPr>
        <w:t>(</w:t>
      </w:r>
      <w:r w:rsidRPr="00F34190">
        <w:rPr>
          <w:rFonts w:ascii="Arial" w:hAnsi="Arial" w:cs="Arial"/>
          <w:sz w:val="24"/>
          <w:szCs w:val="24"/>
          <w:lang w:eastAsia="en-GB"/>
        </w:rPr>
        <w:t>2023</w:t>
      </w:r>
      <w:r w:rsidRPr="00F34190">
        <w:rPr>
          <w:rFonts w:ascii="Arial" w:hAnsi="Arial" w:cs="Arial"/>
          <w:sz w:val="24"/>
          <w:szCs w:val="24"/>
          <w:lang w:eastAsia="en-GB"/>
        </w:rPr>
        <w:t xml:space="preserve">). Enabling people to live and work well. </w:t>
      </w:r>
      <w:r w:rsidRPr="00F34190">
        <w:rPr>
          <w:rFonts w:ascii="Arial" w:hAnsi="Arial" w:cs="Arial"/>
          <w:sz w:val="24"/>
          <w:szCs w:val="24"/>
          <w:lang w:eastAsia="en-GB"/>
        </w:rPr>
        <w:t>Available at: https://cdn.whitbread.co.uk/media/2024/05/Whitbread-PLC-ESG-Report-2023.pdf.</w:t>
      </w:r>
    </w:p>
    <w:p w14:paraId="43938431" w14:textId="5C338EDA" w:rsidR="00673E91" w:rsidRPr="00673E91" w:rsidRDefault="00673E91" w:rsidP="00F34190">
      <w:pPr>
        <w:spacing w:line="360" w:lineRule="auto"/>
        <w:jc w:val="both"/>
        <w:rPr>
          <w:rFonts w:ascii="Arial" w:hAnsi="Arial" w:cs="Arial"/>
          <w:sz w:val="24"/>
          <w:szCs w:val="24"/>
          <w:lang w:eastAsia="en-GB"/>
        </w:rPr>
      </w:pPr>
      <w:r w:rsidRPr="00F34190">
        <w:rPr>
          <w:rFonts w:ascii="Arial" w:hAnsi="Arial" w:cs="Arial"/>
          <w:sz w:val="24"/>
          <w:szCs w:val="24"/>
          <w:lang w:eastAsia="en-GB"/>
        </w:rPr>
        <w:t>Wild J (2018) Fundamental Accounting Principles, New York, McGraw Hill</w:t>
      </w:r>
    </w:p>
    <w:p w14:paraId="62DD1784" w14:textId="77777777" w:rsidR="00722752" w:rsidRDefault="00722752" w:rsidP="00722752">
      <w:pPr>
        <w:rPr>
          <w:lang w:eastAsia="en-GB"/>
        </w:rPr>
      </w:pPr>
    </w:p>
    <w:p w14:paraId="297B114B" w14:textId="56DC1DFC" w:rsidR="00A60F75" w:rsidRDefault="00722752" w:rsidP="00722752">
      <w:pPr>
        <w:rPr>
          <w:lang w:eastAsia="en-GB"/>
        </w:rPr>
      </w:pPr>
      <w:r>
        <w:rPr>
          <w:rFonts w:hint="cs"/>
          <w:lang w:eastAsia="en-GB"/>
        </w:rPr>
        <w:t>‌</w:t>
      </w:r>
    </w:p>
    <w:p w14:paraId="21A09A19" w14:textId="77777777" w:rsidR="00A60F75" w:rsidRDefault="00A60F75" w:rsidP="00A60F75">
      <w:pPr>
        <w:rPr>
          <w:lang w:eastAsia="en-GB"/>
        </w:rPr>
      </w:pPr>
    </w:p>
    <w:p w14:paraId="7DF593C1" w14:textId="2944751E" w:rsidR="00A60F75" w:rsidRPr="00A60F75" w:rsidRDefault="00A60F75" w:rsidP="00A60F75">
      <w:pPr>
        <w:rPr>
          <w:lang w:eastAsia="en-GB"/>
        </w:rPr>
      </w:pPr>
      <w:r>
        <w:rPr>
          <w:rFonts w:hint="cs"/>
          <w:lang w:eastAsia="en-GB"/>
        </w:rPr>
        <w:t>‌</w:t>
      </w:r>
    </w:p>
    <w:sectPr w:rsidR="00A60F75" w:rsidRPr="00A60F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9F0360" w14:textId="77777777" w:rsidR="000E15A7" w:rsidRDefault="000E15A7" w:rsidP="009E2557">
      <w:pPr>
        <w:spacing w:after="0" w:line="240" w:lineRule="auto"/>
      </w:pPr>
      <w:r>
        <w:separator/>
      </w:r>
    </w:p>
  </w:endnote>
  <w:endnote w:type="continuationSeparator" w:id="0">
    <w:p w14:paraId="1750FB58" w14:textId="77777777" w:rsidR="000E15A7" w:rsidRDefault="000E15A7" w:rsidP="009E2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7566346"/>
      <w:docPartObj>
        <w:docPartGallery w:val="Page Numbers (Bottom of Page)"/>
        <w:docPartUnique/>
      </w:docPartObj>
    </w:sdtPr>
    <w:sdtEndPr>
      <w:rPr>
        <w:noProof/>
      </w:rPr>
    </w:sdtEndPr>
    <w:sdtContent>
      <w:p w14:paraId="3F0CD4C5" w14:textId="6609A2CB" w:rsidR="009E2557" w:rsidRDefault="009E25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523B7A" w14:textId="77777777" w:rsidR="009E2557" w:rsidRDefault="009E2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07CE01" w14:textId="77777777" w:rsidR="000E15A7" w:rsidRDefault="000E15A7" w:rsidP="009E2557">
      <w:pPr>
        <w:spacing w:after="0" w:line="240" w:lineRule="auto"/>
      </w:pPr>
      <w:r>
        <w:separator/>
      </w:r>
    </w:p>
  </w:footnote>
  <w:footnote w:type="continuationSeparator" w:id="0">
    <w:p w14:paraId="5F462091" w14:textId="77777777" w:rsidR="000E15A7" w:rsidRDefault="000E15A7" w:rsidP="009E25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F2548B"/>
    <w:multiLevelType w:val="multilevel"/>
    <w:tmpl w:val="2D0A5940"/>
    <w:lvl w:ilvl="0">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BE82138"/>
    <w:multiLevelType w:val="hybridMultilevel"/>
    <w:tmpl w:val="0E867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7143199">
    <w:abstractNumId w:val="0"/>
  </w:num>
  <w:num w:numId="2" w16cid:durableId="1545219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557"/>
    <w:rsid w:val="0000445C"/>
    <w:rsid w:val="00090D3B"/>
    <w:rsid w:val="000E15A7"/>
    <w:rsid w:val="000E48D7"/>
    <w:rsid w:val="00344A10"/>
    <w:rsid w:val="00385099"/>
    <w:rsid w:val="003E66CF"/>
    <w:rsid w:val="00423BB4"/>
    <w:rsid w:val="004D646E"/>
    <w:rsid w:val="005E24BB"/>
    <w:rsid w:val="00673E91"/>
    <w:rsid w:val="00674998"/>
    <w:rsid w:val="00722752"/>
    <w:rsid w:val="007B0CC3"/>
    <w:rsid w:val="00917301"/>
    <w:rsid w:val="009E2557"/>
    <w:rsid w:val="00A60F75"/>
    <w:rsid w:val="00B151A8"/>
    <w:rsid w:val="00B61156"/>
    <w:rsid w:val="00C82D1F"/>
    <w:rsid w:val="00CD1E98"/>
    <w:rsid w:val="00CF65D1"/>
    <w:rsid w:val="00DB103F"/>
    <w:rsid w:val="00EE1EF8"/>
    <w:rsid w:val="00F12D29"/>
    <w:rsid w:val="00F34190"/>
    <w:rsid w:val="00F93E82"/>
    <w:rsid w:val="00FF6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E1B76"/>
  <w15:chartTrackingRefBased/>
  <w15:docId w15:val="{610AAEEF-BB87-4E8D-B540-291AD16B3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E25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5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5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5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5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9E2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557"/>
    <w:rPr>
      <w:rFonts w:eastAsiaTheme="majorEastAsia" w:cstheme="majorBidi"/>
      <w:color w:val="272727" w:themeColor="text1" w:themeTint="D8"/>
    </w:rPr>
  </w:style>
  <w:style w:type="paragraph" w:styleId="Title">
    <w:name w:val="Title"/>
    <w:basedOn w:val="Normal"/>
    <w:next w:val="Normal"/>
    <w:link w:val="TitleChar"/>
    <w:uiPriority w:val="10"/>
    <w:qFormat/>
    <w:rsid w:val="009E25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5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557"/>
    <w:pPr>
      <w:spacing w:before="160"/>
      <w:jc w:val="center"/>
    </w:pPr>
    <w:rPr>
      <w:i/>
      <w:iCs/>
      <w:color w:val="404040" w:themeColor="text1" w:themeTint="BF"/>
    </w:rPr>
  </w:style>
  <w:style w:type="character" w:customStyle="1" w:styleId="QuoteChar">
    <w:name w:val="Quote Char"/>
    <w:basedOn w:val="DefaultParagraphFont"/>
    <w:link w:val="Quote"/>
    <w:uiPriority w:val="29"/>
    <w:rsid w:val="009E2557"/>
    <w:rPr>
      <w:i/>
      <w:iCs/>
      <w:color w:val="404040" w:themeColor="text1" w:themeTint="BF"/>
    </w:rPr>
  </w:style>
  <w:style w:type="paragraph" w:styleId="ListParagraph">
    <w:name w:val="List Paragraph"/>
    <w:basedOn w:val="Normal"/>
    <w:uiPriority w:val="34"/>
    <w:qFormat/>
    <w:rsid w:val="009E2557"/>
    <w:pPr>
      <w:ind w:left="720"/>
      <w:contextualSpacing/>
    </w:pPr>
  </w:style>
  <w:style w:type="character" w:styleId="IntenseEmphasis">
    <w:name w:val="Intense Emphasis"/>
    <w:basedOn w:val="DefaultParagraphFont"/>
    <w:uiPriority w:val="21"/>
    <w:qFormat/>
    <w:rsid w:val="009E2557"/>
    <w:rPr>
      <w:i/>
      <w:iCs/>
      <w:color w:val="0F4761" w:themeColor="accent1" w:themeShade="BF"/>
    </w:rPr>
  </w:style>
  <w:style w:type="paragraph" w:styleId="IntenseQuote">
    <w:name w:val="Intense Quote"/>
    <w:basedOn w:val="Normal"/>
    <w:next w:val="Normal"/>
    <w:link w:val="IntenseQuoteChar"/>
    <w:uiPriority w:val="30"/>
    <w:qFormat/>
    <w:rsid w:val="009E25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557"/>
    <w:rPr>
      <w:i/>
      <w:iCs/>
      <w:color w:val="0F4761" w:themeColor="accent1" w:themeShade="BF"/>
    </w:rPr>
  </w:style>
  <w:style w:type="character" w:styleId="IntenseReference">
    <w:name w:val="Intense Reference"/>
    <w:basedOn w:val="DefaultParagraphFont"/>
    <w:uiPriority w:val="32"/>
    <w:qFormat/>
    <w:rsid w:val="009E2557"/>
    <w:rPr>
      <w:b/>
      <w:bCs/>
      <w:smallCaps/>
      <w:color w:val="0F4761" w:themeColor="accent1" w:themeShade="BF"/>
      <w:spacing w:val="5"/>
    </w:rPr>
  </w:style>
  <w:style w:type="paragraph" w:styleId="Header">
    <w:name w:val="header"/>
    <w:basedOn w:val="Normal"/>
    <w:link w:val="HeaderChar"/>
    <w:uiPriority w:val="99"/>
    <w:unhideWhenUsed/>
    <w:rsid w:val="009E2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557"/>
  </w:style>
  <w:style w:type="paragraph" w:styleId="Footer">
    <w:name w:val="footer"/>
    <w:basedOn w:val="Normal"/>
    <w:link w:val="FooterChar"/>
    <w:uiPriority w:val="99"/>
    <w:unhideWhenUsed/>
    <w:rsid w:val="009E2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557"/>
  </w:style>
  <w:style w:type="paragraph" w:styleId="TOCHeading">
    <w:name w:val="TOC Heading"/>
    <w:basedOn w:val="Heading1"/>
    <w:next w:val="Normal"/>
    <w:uiPriority w:val="39"/>
    <w:unhideWhenUsed/>
    <w:qFormat/>
    <w:rsid w:val="0000445C"/>
    <w:pPr>
      <w:outlineLvl w:val="9"/>
    </w:pPr>
    <w:rPr>
      <w:kern w:val="0"/>
      <w:lang w:val="en-US"/>
      <w14:ligatures w14:val="none"/>
    </w:rPr>
  </w:style>
  <w:style w:type="paragraph" w:styleId="TOC1">
    <w:name w:val="toc 1"/>
    <w:basedOn w:val="Normal"/>
    <w:next w:val="Normal"/>
    <w:autoRedefine/>
    <w:uiPriority w:val="39"/>
    <w:unhideWhenUsed/>
    <w:rsid w:val="0000445C"/>
    <w:pPr>
      <w:spacing w:after="100"/>
    </w:pPr>
  </w:style>
  <w:style w:type="character" w:styleId="Hyperlink">
    <w:name w:val="Hyperlink"/>
    <w:basedOn w:val="DefaultParagraphFont"/>
    <w:uiPriority w:val="99"/>
    <w:unhideWhenUsed/>
    <w:rsid w:val="0000445C"/>
    <w:rPr>
      <w:color w:val="467886" w:themeColor="hyperlink"/>
      <w:u w:val="single"/>
    </w:rPr>
  </w:style>
  <w:style w:type="character" w:styleId="UnresolvedMention">
    <w:name w:val="Unresolved Mention"/>
    <w:basedOn w:val="DefaultParagraphFont"/>
    <w:uiPriority w:val="99"/>
    <w:semiHidden/>
    <w:unhideWhenUsed/>
    <w:rsid w:val="00A60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dn.whitbread.co.uk/media/2023/08/The-Economic-Impact-of-Premier-Inn-hotels_2022-study_final.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739831/premier-inn-hotel-occupancy-rat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hangri-la.com/group/investors/corporate-governance-and-sustainabilit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12</Pages>
  <Words>3006</Words>
  <Characters>17135</Characters>
  <Application>Microsoft Office Word</Application>
  <DocSecurity>0</DocSecurity>
  <Lines>142</Lines>
  <Paragraphs>40</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Executive summary </vt:lpstr>
      <vt:lpstr>Introduction </vt:lpstr>
      <vt:lpstr>Financial Management Analysis</vt:lpstr>
      <vt:lpstr>Total Revenue and Ratio Analysis</vt:lpstr>
      <vt:lpstr>Market Position</vt:lpstr>
      <vt:lpstr>Growth Potential</vt:lpstr>
      <vt:lpstr>Financial Commitment to CSR and Sustainable Accounting Practices</vt:lpstr>
      <vt:lpstr>Conclusion</vt:lpstr>
      <vt:lpstr>Recommendations</vt:lpstr>
      <vt:lpstr>References </vt:lpstr>
    </vt:vector>
  </TitlesOfParts>
  <Company/>
  <LinksUpToDate>false</LinksUpToDate>
  <CharactersWithSpaces>20101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14</cp:revision>
  <dcterms:created xsi:type="dcterms:W3CDTF">2024-10-18T12:01:00Z</dcterms:created>
  <dcterms:modified xsi:type="dcterms:W3CDTF">2024-10-18T16:00:00Z</dcterms:modified>
</cp:coreProperties>
</file>