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760CB72" w14:textId="77777777" w:rsidR="002C703D" w:rsidRDefault="002C703D">
      <w:pPr>
        <w:pStyle w:val="Title"/>
        <w:rPr>
          <w:noProof/>
          <w:u w:val="single"/>
          <w:lang w:val="en-GB"/>
        </w:rPr>
      </w:pPr>
      <w:bookmarkStart w:id="0" w:name="_6z8xcxq3p1v8" w:colFirst="0" w:colLast="0"/>
      <w:bookmarkEnd w:id="0"/>
    </w:p>
    <w:p w14:paraId="3769B765" w14:textId="77777777" w:rsidR="002C703D" w:rsidRDefault="002C703D">
      <w:pPr>
        <w:pStyle w:val="Title"/>
        <w:rPr>
          <w:noProof/>
          <w:u w:val="single"/>
          <w:lang w:val="en-GB"/>
        </w:rPr>
      </w:pPr>
    </w:p>
    <w:p w14:paraId="6DAD7581" w14:textId="19F2FF04" w:rsidR="002433BD" w:rsidRPr="002C703D" w:rsidRDefault="004532A5">
      <w:pPr>
        <w:pStyle w:val="Title"/>
        <w:rPr>
          <w:noProof/>
          <w:u w:val="single"/>
          <w:lang w:val="en-GB"/>
        </w:rPr>
      </w:pPr>
      <w:r w:rsidRPr="002C703D">
        <w:rPr>
          <w:noProof/>
          <w:u w:val="single"/>
          <w:lang w:val="en-GB"/>
        </w:rPr>
        <w:t>C</w:t>
      </w:r>
      <w:r w:rsidR="002C703D" w:rsidRPr="002C703D">
        <w:rPr>
          <w:noProof/>
          <w:u w:val="single"/>
          <w:lang w:val="en-GB"/>
        </w:rPr>
        <w:t>riminal L</w:t>
      </w:r>
      <w:r w:rsidRPr="002C703D">
        <w:rPr>
          <w:noProof/>
          <w:u w:val="single"/>
          <w:lang w:val="en-GB"/>
        </w:rPr>
        <w:t>aw</w:t>
      </w:r>
    </w:p>
    <w:p w14:paraId="3281D192" w14:textId="77777777" w:rsidR="002433BD" w:rsidRPr="007A1802" w:rsidRDefault="004532A5">
      <w:pPr>
        <w:pStyle w:val="Title"/>
        <w:jc w:val="both"/>
        <w:rPr>
          <w:noProof/>
          <w:sz w:val="24"/>
          <w:szCs w:val="24"/>
          <w:lang w:val="en-GB"/>
        </w:rPr>
      </w:pPr>
      <w:bookmarkStart w:id="1" w:name="_6ygl25cjzrel" w:colFirst="0" w:colLast="0"/>
      <w:bookmarkEnd w:id="1"/>
      <w:r w:rsidRPr="007A1802">
        <w:rPr>
          <w:noProof/>
          <w:lang w:val="en-GB"/>
        </w:rPr>
        <w:br w:type="page"/>
      </w:r>
    </w:p>
    <w:p w14:paraId="3951A3AF" w14:textId="77777777" w:rsidR="002433BD" w:rsidRPr="007A1802" w:rsidRDefault="004532A5">
      <w:pPr>
        <w:pStyle w:val="Normal1"/>
        <w:jc w:val="center"/>
        <w:rPr>
          <w:b/>
          <w:noProof/>
          <w:lang w:val="en-GB"/>
        </w:rPr>
      </w:pPr>
      <w:r w:rsidRPr="007A1802">
        <w:rPr>
          <w:b/>
          <w:noProof/>
          <w:lang w:val="en-GB"/>
        </w:rPr>
        <w:lastRenderedPageBreak/>
        <w:t>Table of Content</w:t>
      </w:r>
    </w:p>
    <w:sdt>
      <w:sdtPr>
        <w:rPr>
          <w:noProof/>
          <w:lang w:val="en-GB"/>
        </w:rPr>
        <w:id w:val="25877868"/>
        <w:docPartObj>
          <w:docPartGallery w:val="Table of Contents"/>
          <w:docPartUnique/>
        </w:docPartObj>
      </w:sdtPr>
      <w:sdtContent>
        <w:p w14:paraId="0C013BA8" w14:textId="77777777" w:rsidR="002433BD" w:rsidRPr="007A1802" w:rsidRDefault="002433BD">
          <w:pPr>
            <w:pStyle w:val="Normal1"/>
            <w:widowControl w:val="0"/>
            <w:pBdr>
              <w:right w:val="none" w:sz="0" w:space="0" w:color="auto"/>
            </w:pBdr>
            <w:shd w:val="clear" w:color="auto" w:fill="auto"/>
            <w:tabs>
              <w:tab w:val="right" w:pos="12000"/>
            </w:tabs>
            <w:jc w:val="left"/>
            <w:rPr>
              <w:noProof/>
              <w:color w:val="000000"/>
              <w:lang w:val="en-GB"/>
            </w:rPr>
          </w:pPr>
          <w:r w:rsidRPr="007A1802">
            <w:rPr>
              <w:noProof/>
              <w:lang w:val="en-GB"/>
            </w:rPr>
            <w:fldChar w:fldCharType="begin"/>
          </w:r>
          <w:r w:rsidR="004532A5" w:rsidRPr="007A1802">
            <w:rPr>
              <w:noProof/>
              <w:lang w:val="en-GB"/>
            </w:rPr>
            <w:instrText xml:space="preserve"> TOC \h \u \z </w:instrText>
          </w:r>
          <w:r w:rsidRPr="007A1802">
            <w:rPr>
              <w:noProof/>
              <w:lang w:val="en-GB"/>
            </w:rPr>
            <w:fldChar w:fldCharType="separate"/>
          </w:r>
          <w:hyperlink w:anchor="_madd9vxc48ql">
            <w:r w:rsidR="004532A5" w:rsidRPr="007A1802">
              <w:rPr>
                <w:noProof/>
                <w:color w:val="000000"/>
                <w:lang w:val="en-GB"/>
              </w:rPr>
              <w:t>Introduction</w:t>
            </w:r>
            <w:r w:rsidR="004532A5" w:rsidRPr="007A1802">
              <w:rPr>
                <w:noProof/>
                <w:color w:val="000000"/>
                <w:lang w:val="en-GB"/>
              </w:rPr>
              <w:tab/>
              <w:t>3</w:t>
            </w:r>
          </w:hyperlink>
        </w:p>
        <w:p w14:paraId="265A4FA9" w14:textId="77777777" w:rsidR="002433BD" w:rsidRPr="007A1802" w:rsidRDefault="00000000">
          <w:pPr>
            <w:pStyle w:val="Normal1"/>
            <w:widowControl w:val="0"/>
            <w:pBdr>
              <w:right w:val="none" w:sz="0" w:space="0" w:color="auto"/>
            </w:pBdr>
            <w:shd w:val="clear" w:color="auto" w:fill="auto"/>
            <w:tabs>
              <w:tab w:val="right" w:pos="12000"/>
            </w:tabs>
            <w:jc w:val="left"/>
            <w:rPr>
              <w:noProof/>
              <w:color w:val="000000"/>
              <w:lang w:val="en-GB"/>
            </w:rPr>
          </w:pPr>
          <w:hyperlink w:anchor="_fcg3p74ugxrn">
            <w:r w:rsidR="004532A5" w:rsidRPr="007A1802">
              <w:rPr>
                <w:noProof/>
                <w:color w:val="000000"/>
                <w:lang w:val="en-GB"/>
              </w:rPr>
              <w:t>Main body</w:t>
            </w:r>
            <w:r w:rsidR="004532A5" w:rsidRPr="007A1802">
              <w:rPr>
                <w:noProof/>
                <w:color w:val="000000"/>
                <w:lang w:val="en-GB"/>
              </w:rPr>
              <w:tab/>
              <w:t>4</w:t>
            </w:r>
          </w:hyperlink>
        </w:p>
        <w:p w14:paraId="71AEBFA3" w14:textId="77777777" w:rsidR="002433BD" w:rsidRPr="007A1802" w:rsidRDefault="00000000">
          <w:pPr>
            <w:pStyle w:val="Normal1"/>
            <w:widowControl w:val="0"/>
            <w:pBdr>
              <w:right w:val="none" w:sz="0" w:space="0" w:color="auto"/>
            </w:pBdr>
            <w:shd w:val="clear" w:color="auto" w:fill="auto"/>
            <w:tabs>
              <w:tab w:val="right" w:pos="12000"/>
            </w:tabs>
            <w:jc w:val="left"/>
            <w:rPr>
              <w:noProof/>
              <w:color w:val="000000"/>
              <w:lang w:val="en-GB"/>
            </w:rPr>
          </w:pPr>
          <w:hyperlink w:anchor="_deozquomz1ko">
            <w:r w:rsidR="004532A5" w:rsidRPr="007A1802">
              <w:rPr>
                <w:noProof/>
                <w:color w:val="000000"/>
                <w:lang w:val="en-GB"/>
              </w:rPr>
              <w:t>Recommendation</w:t>
            </w:r>
            <w:r w:rsidR="004532A5" w:rsidRPr="007A1802">
              <w:rPr>
                <w:noProof/>
                <w:color w:val="000000"/>
                <w:lang w:val="en-GB"/>
              </w:rPr>
              <w:tab/>
              <w:t>6</w:t>
            </w:r>
          </w:hyperlink>
        </w:p>
        <w:p w14:paraId="57FAC7B9" w14:textId="77777777" w:rsidR="002433BD" w:rsidRPr="007A1802" w:rsidRDefault="00000000">
          <w:pPr>
            <w:pStyle w:val="Normal1"/>
            <w:widowControl w:val="0"/>
            <w:pBdr>
              <w:right w:val="none" w:sz="0" w:space="0" w:color="auto"/>
            </w:pBdr>
            <w:shd w:val="clear" w:color="auto" w:fill="auto"/>
            <w:tabs>
              <w:tab w:val="right" w:pos="12000"/>
            </w:tabs>
            <w:jc w:val="left"/>
            <w:rPr>
              <w:noProof/>
              <w:color w:val="000000"/>
              <w:lang w:val="en-GB"/>
            </w:rPr>
          </w:pPr>
          <w:hyperlink w:anchor="_31i5c1dfy6ef">
            <w:r w:rsidR="004532A5" w:rsidRPr="007A1802">
              <w:rPr>
                <w:noProof/>
                <w:color w:val="000000"/>
                <w:lang w:val="en-GB"/>
              </w:rPr>
              <w:t>Conclusion</w:t>
            </w:r>
            <w:r w:rsidR="004532A5" w:rsidRPr="007A1802">
              <w:rPr>
                <w:noProof/>
                <w:color w:val="000000"/>
                <w:lang w:val="en-GB"/>
              </w:rPr>
              <w:tab/>
              <w:t>7</w:t>
            </w:r>
          </w:hyperlink>
        </w:p>
        <w:p w14:paraId="4ACCF99F" w14:textId="77777777" w:rsidR="002433BD" w:rsidRPr="007A1802" w:rsidRDefault="00000000">
          <w:pPr>
            <w:pStyle w:val="Normal1"/>
            <w:widowControl w:val="0"/>
            <w:pBdr>
              <w:right w:val="none" w:sz="0" w:space="0" w:color="auto"/>
            </w:pBdr>
            <w:shd w:val="clear" w:color="auto" w:fill="auto"/>
            <w:tabs>
              <w:tab w:val="right" w:pos="12000"/>
            </w:tabs>
            <w:jc w:val="left"/>
            <w:rPr>
              <w:noProof/>
              <w:color w:val="000000"/>
              <w:lang w:val="en-GB"/>
            </w:rPr>
          </w:pPr>
          <w:hyperlink w:anchor="_3o5mmkjmriq1">
            <w:r w:rsidR="004532A5" w:rsidRPr="007A1802">
              <w:rPr>
                <w:noProof/>
                <w:color w:val="000000"/>
                <w:lang w:val="en-GB"/>
              </w:rPr>
              <w:t>References</w:t>
            </w:r>
            <w:r w:rsidR="004532A5" w:rsidRPr="007A1802">
              <w:rPr>
                <w:noProof/>
                <w:color w:val="000000"/>
                <w:lang w:val="en-GB"/>
              </w:rPr>
              <w:tab/>
              <w:t>8</w:t>
            </w:r>
          </w:hyperlink>
          <w:r w:rsidR="002433BD" w:rsidRPr="007A1802">
            <w:rPr>
              <w:noProof/>
              <w:lang w:val="en-GB"/>
            </w:rPr>
            <w:fldChar w:fldCharType="end"/>
          </w:r>
        </w:p>
      </w:sdtContent>
    </w:sdt>
    <w:p w14:paraId="34911471" w14:textId="77777777" w:rsidR="002433BD" w:rsidRPr="007A1802" w:rsidRDefault="004532A5">
      <w:pPr>
        <w:pStyle w:val="Heading1"/>
        <w:rPr>
          <w:noProof/>
          <w:lang w:val="en-GB"/>
        </w:rPr>
      </w:pPr>
      <w:bookmarkStart w:id="2" w:name="_k6brj3qqkn3k" w:colFirst="0" w:colLast="0"/>
      <w:bookmarkEnd w:id="2"/>
      <w:r w:rsidRPr="007A1802">
        <w:rPr>
          <w:noProof/>
          <w:lang w:val="en-GB"/>
        </w:rPr>
        <w:br w:type="page"/>
      </w:r>
    </w:p>
    <w:p w14:paraId="3CC9F80F" w14:textId="77777777" w:rsidR="002C703D" w:rsidRDefault="002C703D">
      <w:pPr>
        <w:pStyle w:val="Heading1"/>
        <w:rPr>
          <w:noProof/>
          <w:lang w:val="en-GB"/>
        </w:rPr>
      </w:pPr>
      <w:bookmarkStart w:id="3" w:name="_madd9vxc48ql" w:colFirst="0" w:colLast="0"/>
      <w:bookmarkEnd w:id="3"/>
    </w:p>
    <w:p w14:paraId="2B3E3C74" w14:textId="77777777" w:rsidR="002C703D" w:rsidRDefault="002C703D">
      <w:pPr>
        <w:pStyle w:val="Heading1"/>
        <w:rPr>
          <w:noProof/>
          <w:lang w:val="en-GB"/>
        </w:rPr>
      </w:pPr>
    </w:p>
    <w:p w14:paraId="0DA2024A" w14:textId="77777777" w:rsidR="002433BD" w:rsidRPr="007A1802" w:rsidRDefault="00B86AEB">
      <w:pPr>
        <w:pStyle w:val="Heading1"/>
        <w:rPr>
          <w:noProof/>
          <w:lang w:val="en-GB"/>
        </w:rPr>
      </w:pPr>
      <w:r>
        <w:rPr>
          <w:noProof/>
          <w:lang w:val="en-GB"/>
        </w:rPr>
        <w:t>“</w:t>
      </w:r>
      <w:r w:rsidR="004532A5" w:rsidRPr="007A1802">
        <w:rPr>
          <w:noProof/>
          <w:lang w:val="en-GB"/>
        </w:rPr>
        <w:t>Introduction</w:t>
      </w:r>
      <w:r>
        <w:rPr>
          <w:noProof/>
          <w:lang w:val="en-GB"/>
        </w:rPr>
        <w:t>”</w:t>
      </w:r>
      <w:r w:rsidR="004532A5" w:rsidRPr="007A1802">
        <w:rPr>
          <w:noProof/>
          <w:lang w:val="en-GB"/>
        </w:rPr>
        <w:t xml:space="preserve"> </w:t>
      </w:r>
    </w:p>
    <w:p w14:paraId="1B3E83B0" w14:textId="77777777" w:rsidR="002433BD" w:rsidRPr="007A1802" w:rsidRDefault="004532A5">
      <w:pPr>
        <w:pStyle w:val="Normal1"/>
        <w:rPr>
          <w:noProof/>
          <w:lang w:val="en-GB"/>
        </w:rPr>
      </w:pPr>
      <w:r w:rsidRPr="007A1802">
        <w:rPr>
          <w:noProof/>
          <w:lang w:val="en-GB"/>
        </w:rPr>
        <w:t xml:space="preserve">The following essay </w:t>
      </w:r>
      <w:r w:rsidR="00B86AEB">
        <w:rPr>
          <w:noProof/>
          <w:lang w:val="en-GB"/>
        </w:rPr>
        <w:t xml:space="preserve">information are </w:t>
      </w:r>
      <w:r w:rsidRPr="007A1802">
        <w:rPr>
          <w:noProof/>
          <w:lang w:val="en-GB"/>
        </w:rPr>
        <w:t xml:space="preserve">based on the module titled “Criminal Law”, it is an area of law that concern with laws and crimes whoever commits the crime. The essay will provide information regarding the “S.2Homicide Act 1957”, and the requirements of all the diminished responsibility under the legislation. Further, it will discuss the requirement of changes and the impact of “S.52 Coroners and Justice ACT 2009” in changing the law. After this, it will provide information regarding the advantage and disadvantages of those changes and then provide appropriate recommendations. The criminal case in the UK is one of the major issues in developing a peaceful </w:t>
      </w:r>
      <w:r w:rsidR="007A1802" w:rsidRPr="007A1802">
        <w:rPr>
          <w:noProof/>
          <w:lang w:val="en-GB"/>
        </w:rPr>
        <w:t>society;</w:t>
      </w:r>
      <w:r w:rsidRPr="007A1802">
        <w:rPr>
          <w:noProof/>
          <w:lang w:val="en-GB"/>
        </w:rPr>
        <w:t xml:space="preserve"> the essay will help in gathering authentic information. </w:t>
      </w:r>
    </w:p>
    <w:p w14:paraId="484EB042" w14:textId="77777777" w:rsidR="002433BD" w:rsidRPr="007A1802" w:rsidRDefault="004532A5">
      <w:pPr>
        <w:pStyle w:val="Heading2"/>
        <w:keepNext w:val="0"/>
        <w:keepLines w:val="0"/>
        <w:spacing w:before="0" w:after="0"/>
        <w:rPr>
          <w:noProof/>
          <w:color w:val="1F1F1F"/>
          <w:sz w:val="24"/>
          <w:szCs w:val="24"/>
          <w:lang w:val="en-GB"/>
        </w:rPr>
      </w:pPr>
      <w:bookmarkStart w:id="4" w:name="_th141xhsl8ep" w:colFirst="0" w:colLast="0"/>
      <w:bookmarkEnd w:id="4"/>
      <w:r w:rsidRPr="007A1802">
        <w:rPr>
          <w:noProof/>
          <w:lang w:val="en-GB"/>
        </w:rPr>
        <w:br w:type="page"/>
      </w:r>
    </w:p>
    <w:p w14:paraId="0DCCAC18" w14:textId="77777777" w:rsidR="002C703D" w:rsidRDefault="002C703D">
      <w:pPr>
        <w:pStyle w:val="Heading1"/>
        <w:keepNext w:val="0"/>
        <w:keepLines w:val="0"/>
        <w:rPr>
          <w:noProof/>
          <w:lang w:val="en-GB"/>
        </w:rPr>
      </w:pPr>
      <w:bookmarkStart w:id="5" w:name="_fcg3p74ugxrn" w:colFirst="0" w:colLast="0"/>
      <w:bookmarkEnd w:id="5"/>
    </w:p>
    <w:p w14:paraId="7FF2DF92" w14:textId="77777777" w:rsidR="002C703D" w:rsidRDefault="002C703D">
      <w:pPr>
        <w:pStyle w:val="Heading1"/>
        <w:keepNext w:val="0"/>
        <w:keepLines w:val="0"/>
        <w:rPr>
          <w:noProof/>
          <w:lang w:val="en-GB"/>
        </w:rPr>
      </w:pPr>
    </w:p>
    <w:p w14:paraId="2377CF7D" w14:textId="77777777" w:rsidR="002433BD" w:rsidRPr="007A1802" w:rsidRDefault="004532A5">
      <w:pPr>
        <w:pStyle w:val="Heading1"/>
        <w:keepNext w:val="0"/>
        <w:keepLines w:val="0"/>
        <w:rPr>
          <w:i/>
          <w:noProof/>
          <w:lang w:val="en-GB"/>
        </w:rPr>
      </w:pPr>
      <w:r w:rsidRPr="007A1802">
        <w:rPr>
          <w:noProof/>
          <w:lang w:val="en-GB"/>
        </w:rPr>
        <w:t xml:space="preserve">Main body </w:t>
      </w:r>
    </w:p>
    <w:p w14:paraId="465FB42B" w14:textId="77777777" w:rsidR="002433BD" w:rsidRPr="007A1802" w:rsidRDefault="004532A5">
      <w:pPr>
        <w:pStyle w:val="Normal1"/>
        <w:rPr>
          <w:noProof/>
          <w:lang w:val="en-GB"/>
        </w:rPr>
      </w:pPr>
      <w:r w:rsidRPr="007A1802">
        <w:rPr>
          <w:b/>
          <w:i/>
          <w:noProof/>
          <w:lang w:val="en-GB"/>
        </w:rPr>
        <w:t xml:space="preserve">“S.2 Homicide Act 1957” </w:t>
      </w:r>
      <w:r w:rsidRPr="007A1802">
        <w:rPr>
          <w:noProof/>
          <w:lang w:val="en-GB"/>
        </w:rPr>
        <w:t xml:space="preserve">was a </w:t>
      </w:r>
      <w:r w:rsidR="00B86AEB">
        <w:rPr>
          <w:noProof/>
          <w:lang w:val="en-GB"/>
        </w:rPr>
        <w:t xml:space="preserve">fragmentary reform of </w:t>
      </w:r>
      <w:r w:rsidRPr="007A1802">
        <w:rPr>
          <w:noProof/>
          <w:lang w:val="en-GB"/>
        </w:rPr>
        <w:t>“</w:t>
      </w:r>
      <w:r w:rsidR="00B86AEB">
        <w:rPr>
          <w:noProof/>
          <w:lang w:val="en-GB"/>
        </w:rPr>
        <w:t xml:space="preserve">the </w:t>
      </w:r>
      <w:r w:rsidRPr="007A1802">
        <w:rPr>
          <w:noProof/>
          <w:lang w:val="en-GB"/>
        </w:rPr>
        <w:t xml:space="preserve">common law offence” of any </w:t>
      </w:r>
      <w:r w:rsidR="00B86AEB">
        <w:rPr>
          <w:noProof/>
          <w:lang w:val="en-GB"/>
        </w:rPr>
        <w:t>kind homicide</w:t>
      </w:r>
      <w:r w:rsidRPr="007A1802">
        <w:rPr>
          <w:noProof/>
          <w:lang w:val="en-GB"/>
        </w:rPr>
        <w:t xml:space="preserve"> in the “English Law” by abolishing the “Doctrine of constructive Malice”. </w:t>
      </w:r>
      <w:r w:rsidR="00B86AEB">
        <w:rPr>
          <w:noProof/>
          <w:lang w:val="en-GB"/>
        </w:rPr>
        <w:t>M</w:t>
      </w:r>
      <w:r w:rsidRPr="007A1802">
        <w:rPr>
          <w:noProof/>
          <w:lang w:val="en-GB"/>
        </w:rPr>
        <w:t xml:space="preserve">ain purpose of this </w:t>
      </w:r>
      <w:r w:rsidR="00B86AEB">
        <w:rPr>
          <w:noProof/>
          <w:lang w:val="en-GB"/>
        </w:rPr>
        <w:t>“</w:t>
      </w:r>
      <w:r w:rsidR="00B86AEB" w:rsidRPr="007A1802">
        <w:rPr>
          <w:b/>
          <w:i/>
          <w:noProof/>
          <w:lang w:val="en-GB"/>
        </w:rPr>
        <w:t>S.2 Homicide Act 1957</w:t>
      </w:r>
      <w:r w:rsidR="00B86AEB">
        <w:rPr>
          <w:noProof/>
          <w:lang w:val="en-GB"/>
        </w:rPr>
        <w:t>”</w:t>
      </w:r>
      <w:r w:rsidRPr="007A1802">
        <w:rPr>
          <w:noProof/>
          <w:lang w:val="en-GB"/>
        </w:rPr>
        <w:t xml:space="preserve">was to restrict the use of the death penalty for murder (Reed et al., 2021). The diminished responsibility can be implemented as a defence where </w:t>
      </w:r>
      <w:r w:rsidR="00B86AEB">
        <w:rPr>
          <w:noProof/>
          <w:lang w:val="en-GB"/>
        </w:rPr>
        <w:t>an</w:t>
      </w:r>
      <w:r w:rsidRPr="007A1802">
        <w:rPr>
          <w:noProof/>
          <w:lang w:val="en-GB"/>
        </w:rPr>
        <w:t xml:space="preserve"> accused was happening, at the time of an offence, suffering from the “mind abnormality”. An individual that is accused of murder should have a “substantial impairment of mental responsibility”. Diminished responsibility is one of </w:t>
      </w:r>
      <w:r w:rsidR="00B86AEB">
        <w:rPr>
          <w:noProof/>
          <w:lang w:val="en-GB"/>
        </w:rPr>
        <w:t>a</w:t>
      </w:r>
      <w:r w:rsidRPr="007A1802">
        <w:rPr>
          <w:noProof/>
          <w:lang w:val="en-GB"/>
        </w:rPr>
        <w:t xml:space="preserve"> </w:t>
      </w:r>
      <w:r w:rsidR="00B86AEB">
        <w:rPr>
          <w:noProof/>
          <w:lang w:val="en-GB"/>
        </w:rPr>
        <w:t>fragmentary</w:t>
      </w:r>
      <w:r w:rsidRPr="007A1802">
        <w:rPr>
          <w:noProof/>
          <w:lang w:val="en-GB"/>
        </w:rPr>
        <w:t xml:space="preserve"> defences that reduce the</w:t>
      </w:r>
      <w:r w:rsidR="00B86AEB">
        <w:rPr>
          <w:noProof/>
          <w:lang w:val="en-GB"/>
        </w:rPr>
        <w:t xml:space="preserve"> chances of</w:t>
      </w:r>
      <w:r w:rsidRPr="007A1802">
        <w:rPr>
          <w:noProof/>
          <w:lang w:val="en-GB"/>
        </w:rPr>
        <w:t xml:space="preserve"> offence from murder to manslaughter. The diminished responsibilities are characteristics that an individual mental and emotional state of mind that caused an individual to do the murder. The other requirement is that an individual who is charged with the murder shall be for a defenc</w:t>
      </w:r>
      <w:r w:rsidR="00B86AEB">
        <w:rPr>
          <w:noProof/>
          <w:lang w:val="en-GB"/>
        </w:rPr>
        <w:t xml:space="preserve">e that an individual charged by the </w:t>
      </w:r>
      <w:r w:rsidRPr="007A1802">
        <w:rPr>
          <w:noProof/>
          <w:lang w:val="en-GB"/>
        </w:rPr>
        <w:t>virtue of “Section</w:t>
      </w:r>
      <w:r w:rsidR="00B86AEB">
        <w:rPr>
          <w:noProof/>
          <w:lang w:val="en-GB"/>
        </w:rPr>
        <w:t xml:space="preserve"> 2</w:t>
      </w:r>
      <w:r w:rsidRPr="007A1802">
        <w:rPr>
          <w:noProof/>
          <w:lang w:val="en-GB"/>
        </w:rPr>
        <w:t xml:space="preserve">” is not accountable to </w:t>
      </w:r>
      <w:r w:rsidR="00B86AEB">
        <w:rPr>
          <w:noProof/>
          <w:lang w:val="en-GB"/>
        </w:rPr>
        <w:t>senetce</w:t>
      </w:r>
      <w:r w:rsidRPr="007A1802">
        <w:rPr>
          <w:noProof/>
          <w:lang w:val="en-GB"/>
        </w:rPr>
        <w:t xml:space="preserve"> of the murder. Another requiremnt is if the person is one of the party or kills then he cannot be convicted of a murder case if </w:t>
      </w:r>
      <w:r w:rsidR="00B86AEB">
        <w:rPr>
          <w:noProof/>
          <w:lang w:val="en-GB"/>
        </w:rPr>
        <w:t xml:space="preserve">an individual </w:t>
      </w:r>
      <w:r w:rsidRPr="007A1802">
        <w:rPr>
          <w:noProof/>
          <w:lang w:val="en-GB"/>
        </w:rPr>
        <w:t>person</w:t>
      </w:r>
      <w:r w:rsidR="00B86AEB">
        <w:rPr>
          <w:noProof/>
          <w:lang w:val="en-GB"/>
        </w:rPr>
        <w:t xml:space="preserve"> or a group</w:t>
      </w:r>
      <w:r w:rsidRPr="007A1802">
        <w:rPr>
          <w:noProof/>
          <w:lang w:val="en-GB"/>
        </w:rPr>
        <w:t xml:space="preserve"> is suffering from any kind of abnormality related to the mind (Legislation.gov, 2023). These are some of the requirements of </w:t>
      </w:r>
      <w:r w:rsidR="00B86AEB">
        <w:rPr>
          <w:noProof/>
          <w:lang w:val="en-GB"/>
        </w:rPr>
        <w:t>“</w:t>
      </w:r>
      <w:r w:rsidRPr="007A1802">
        <w:rPr>
          <w:noProof/>
          <w:lang w:val="en-GB"/>
        </w:rPr>
        <w:t>diminished responsibility</w:t>
      </w:r>
      <w:r w:rsidR="00B86AEB">
        <w:rPr>
          <w:noProof/>
          <w:lang w:val="en-GB"/>
        </w:rPr>
        <w:t>”</w:t>
      </w:r>
      <w:r w:rsidRPr="007A1802">
        <w:rPr>
          <w:noProof/>
          <w:lang w:val="en-GB"/>
        </w:rPr>
        <w:t xml:space="preserve"> under the “S.2 Homicide Act 1957”</w:t>
      </w:r>
    </w:p>
    <w:p w14:paraId="608FB394" w14:textId="77777777" w:rsidR="002433BD" w:rsidRPr="007A1802" w:rsidRDefault="004532A5">
      <w:pPr>
        <w:pStyle w:val="Normal1"/>
        <w:rPr>
          <w:noProof/>
          <w:lang w:val="en-GB"/>
        </w:rPr>
      </w:pPr>
      <w:r w:rsidRPr="007A1802">
        <w:rPr>
          <w:noProof/>
          <w:lang w:val="en-GB"/>
        </w:rPr>
        <w:t xml:space="preserve">The </w:t>
      </w:r>
      <w:r w:rsidRPr="007A1802">
        <w:rPr>
          <w:b/>
          <w:i/>
          <w:noProof/>
          <w:lang w:val="en-GB"/>
        </w:rPr>
        <w:t>“Coroners and Justice Act 2009”</w:t>
      </w:r>
      <w:r w:rsidRPr="007A1802">
        <w:rPr>
          <w:noProof/>
          <w:lang w:val="en-GB"/>
        </w:rPr>
        <w:t xml:space="preserve">, it is a law which is implemented to amend laws relating to the coroners, certification and registration of death and then an investigation of the death. There are changes made in this law they are as follows (Wu, 020). The main purpose of the reforms made in the “Coroners and Justice Act 2009” is to </w:t>
      </w:r>
      <w:r w:rsidR="007A1802" w:rsidRPr="007A1802">
        <w:rPr>
          <w:noProof/>
          <w:lang w:val="en-GB"/>
        </w:rPr>
        <w:t>fulfill</w:t>
      </w:r>
      <w:r w:rsidRPr="007A1802">
        <w:rPr>
          <w:noProof/>
          <w:lang w:val="en-GB"/>
        </w:rPr>
        <w:t xml:space="preserve"> the needs of all bereaved persons and give priority</w:t>
      </w:r>
      <w:r w:rsidR="007A1802" w:rsidRPr="007A1802">
        <w:rPr>
          <w:noProof/>
          <w:lang w:val="en-GB"/>
        </w:rPr>
        <w:t xml:space="preserve"> to them in the coroner system and t</w:t>
      </w:r>
      <w:r w:rsidRPr="007A1802">
        <w:rPr>
          <w:noProof/>
          <w:lang w:val="en-GB"/>
        </w:rPr>
        <w:t xml:space="preserve">o provide proper guidance to the people who are coroners for the murders cases and available for the bereaved person. To inform about the information shared by the bereaved request during the whole investigation of the murder case with no cost (Broadbridge, 2022). The changes were made to record all the provided information of all the inquests, this will help the coroners to investigate the murder by reviewing the recording and keeping it as a shred of evidence. </w:t>
      </w:r>
    </w:p>
    <w:p w14:paraId="03E92C6E" w14:textId="77777777" w:rsidR="002C703D" w:rsidRDefault="004532A5">
      <w:pPr>
        <w:pStyle w:val="Normal1"/>
        <w:rPr>
          <w:noProof/>
          <w:lang w:val="en-GB"/>
        </w:rPr>
      </w:pPr>
      <w:r w:rsidRPr="007A1802">
        <w:rPr>
          <w:noProof/>
          <w:lang w:val="en-GB"/>
        </w:rPr>
        <w:t xml:space="preserve">The corners were not able to address all the information in a proper time, after the changes were made the coroner was provided with an opportunity to the coroners to address all the matters that which is necessary to the dealt with immediately. The other change in the “Corner and Justice Act 2009” was, earlier the bereaved person where not informed about the inquest but after the changes were made the bereaved people and other interested people are always notified about the inquest arrangement and all the changes during the week of arrangements (Reed </w:t>
      </w:r>
      <w:r w:rsidRPr="007A1802">
        <w:rPr>
          <w:i/>
          <w:noProof/>
          <w:lang w:val="en-GB"/>
        </w:rPr>
        <w:t>et al</w:t>
      </w:r>
      <w:r w:rsidRPr="007A1802">
        <w:rPr>
          <w:noProof/>
          <w:lang w:val="en-GB"/>
        </w:rPr>
        <w:t xml:space="preserve">., 2021). The other that was made was that earlier the post-mortem and inquest examinations were done at the coroner’s location, after the changes were made those examinations can be done anywhere in </w:t>
      </w:r>
    </w:p>
    <w:p w14:paraId="235A2E83" w14:textId="77777777" w:rsidR="002C703D" w:rsidRDefault="002C703D">
      <w:pPr>
        <w:pStyle w:val="Normal1"/>
        <w:rPr>
          <w:noProof/>
          <w:lang w:val="en-GB"/>
        </w:rPr>
      </w:pPr>
    </w:p>
    <w:p w14:paraId="55B7140E" w14:textId="77777777" w:rsidR="002C703D" w:rsidRDefault="002C703D">
      <w:pPr>
        <w:pStyle w:val="Normal1"/>
        <w:rPr>
          <w:noProof/>
          <w:lang w:val="en-GB"/>
        </w:rPr>
      </w:pPr>
    </w:p>
    <w:p w14:paraId="6B894D54" w14:textId="77777777" w:rsidR="002C703D" w:rsidRDefault="004532A5">
      <w:pPr>
        <w:pStyle w:val="Normal1"/>
        <w:rPr>
          <w:noProof/>
          <w:lang w:val="en-GB"/>
        </w:rPr>
      </w:pPr>
      <w:r w:rsidRPr="007A1802">
        <w:rPr>
          <w:noProof/>
          <w:lang w:val="en-GB"/>
        </w:rPr>
        <w:t xml:space="preserve">Wales and England. These are some of the requirements for the </w:t>
      </w:r>
      <w:r w:rsidR="00B86AEB">
        <w:rPr>
          <w:noProof/>
          <w:lang w:val="en-GB"/>
        </w:rPr>
        <w:t>improvement</w:t>
      </w:r>
      <w:r w:rsidRPr="007A1802">
        <w:rPr>
          <w:noProof/>
          <w:lang w:val="en-GB"/>
        </w:rPr>
        <w:t xml:space="preserve"> made in </w:t>
      </w:r>
      <w:r w:rsidR="00B86AEB">
        <w:rPr>
          <w:noProof/>
          <w:lang w:val="en-GB"/>
        </w:rPr>
        <w:t>a</w:t>
      </w:r>
      <w:r w:rsidRPr="007A1802">
        <w:rPr>
          <w:noProof/>
          <w:lang w:val="en-GB"/>
        </w:rPr>
        <w:t xml:space="preserve"> “Coroners and Justice Act 2009”. </w:t>
      </w:r>
    </w:p>
    <w:p w14:paraId="0D686D1B" w14:textId="77777777" w:rsidR="002433BD" w:rsidRPr="007A1802" w:rsidRDefault="00B86AEB">
      <w:pPr>
        <w:pStyle w:val="Normal1"/>
        <w:rPr>
          <w:noProof/>
          <w:lang w:val="en-GB"/>
        </w:rPr>
      </w:pPr>
      <w:r>
        <w:rPr>
          <w:noProof/>
          <w:lang w:val="en-GB"/>
        </w:rPr>
        <w:t xml:space="preserve">A </w:t>
      </w:r>
      <w:r w:rsidR="004532A5" w:rsidRPr="007A1802">
        <w:rPr>
          <w:noProof/>
          <w:lang w:val="en-GB"/>
        </w:rPr>
        <w:t xml:space="preserve">“s.52 Coroners and Justice Act 2009”, had made some changes in the law. Section 52 of the “coroners and justice Act 2009” replaces the definition provided by section 2 of “the Homicide Act 1957”. Section 2 definition says that the mental and emotional state of an individual person while doing the murder. But according to section 52, states that the </w:t>
      </w:r>
      <w:r>
        <w:rPr>
          <w:noProof/>
          <w:lang w:val="en-GB"/>
        </w:rPr>
        <w:t>fragmenatry</w:t>
      </w:r>
      <w:r w:rsidR="004532A5" w:rsidRPr="007A1802">
        <w:rPr>
          <w:noProof/>
          <w:lang w:val="en-GB"/>
        </w:rPr>
        <w:t xml:space="preserve"> defence to the murder of </w:t>
      </w:r>
      <w:r>
        <w:rPr>
          <w:noProof/>
          <w:lang w:val="en-GB"/>
        </w:rPr>
        <w:t>“</w:t>
      </w:r>
      <w:r w:rsidR="004532A5" w:rsidRPr="007A1802">
        <w:rPr>
          <w:noProof/>
          <w:lang w:val="en-GB"/>
        </w:rPr>
        <w:t>diminished responsibility</w:t>
      </w:r>
      <w:r>
        <w:rPr>
          <w:noProof/>
          <w:lang w:val="en-GB"/>
        </w:rPr>
        <w:t>”</w:t>
      </w:r>
      <w:r w:rsidR="004532A5" w:rsidRPr="007A1802">
        <w:rPr>
          <w:noProof/>
          <w:lang w:val="en-GB"/>
        </w:rPr>
        <w:t xml:space="preserve"> as it is applicable </w:t>
      </w:r>
      <w:r>
        <w:rPr>
          <w:noProof/>
          <w:lang w:val="en-GB"/>
        </w:rPr>
        <w:t xml:space="preserve">within </w:t>
      </w:r>
      <w:r w:rsidR="004532A5" w:rsidRPr="007A1802">
        <w:rPr>
          <w:noProof/>
          <w:lang w:val="en-GB"/>
        </w:rPr>
        <w:t xml:space="preserve">Wales and England (Marks, 2023). The s.52 also replaces the existing defence with a more modern or new one, further it is divided into 2 subsections “(1) to (1B)”. </w:t>
      </w:r>
      <w:r>
        <w:rPr>
          <w:noProof/>
          <w:lang w:val="en-GB"/>
        </w:rPr>
        <w:t>“</w:t>
      </w:r>
      <w:r w:rsidR="004532A5" w:rsidRPr="007A1802">
        <w:rPr>
          <w:noProof/>
          <w:lang w:val="en-GB"/>
        </w:rPr>
        <w:t>Subsection (1)</w:t>
      </w:r>
      <w:r>
        <w:rPr>
          <w:noProof/>
          <w:lang w:val="en-GB"/>
        </w:rPr>
        <w:t>”, “if any peopl</w:t>
      </w:r>
      <w:r w:rsidR="004532A5" w:rsidRPr="007A1802">
        <w:rPr>
          <w:noProof/>
          <w:lang w:val="en-GB"/>
        </w:rPr>
        <w:t xml:space="preserve"> who kills or the party in the </w:t>
      </w:r>
      <w:r>
        <w:rPr>
          <w:noProof/>
          <w:lang w:val="en-GB"/>
        </w:rPr>
        <w:t>homicide</w:t>
      </w:r>
      <w:r w:rsidR="004532A5" w:rsidRPr="007A1802">
        <w:rPr>
          <w:noProof/>
          <w:lang w:val="en-GB"/>
        </w:rPr>
        <w:t xml:space="preserve"> of another is not to be convicted of murder if an individual is suffering from any kind of mental issue</w:t>
      </w:r>
      <w:r>
        <w:rPr>
          <w:noProof/>
          <w:lang w:val="en-GB"/>
        </w:rPr>
        <w:t>”. Subsection (1A), “</w:t>
      </w:r>
      <w:r w:rsidR="004532A5" w:rsidRPr="007A1802">
        <w:rPr>
          <w:noProof/>
          <w:lang w:val="en-GB"/>
        </w:rPr>
        <w:t>the ability to understand the nature of her or his co</w:t>
      </w:r>
      <w:r>
        <w:rPr>
          <w:noProof/>
          <w:lang w:val="en-GB"/>
        </w:rPr>
        <w:t xml:space="preserve">nduct, the second is to form a </w:t>
      </w:r>
      <w:r w:rsidR="004532A5" w:rsidRPr="007A1802">
        <w:rPr>
          <w:noProof/>
          <w:lang w:val="en-GB"/>
        </w:rPr>
        <w:t xml:space="preserve">rational Judgement”, and the third is </w:t>
      </w:r>
      <w:r>
        <w:rPr>
          <w:noProof/>
          <w:lang w:val="en-GB"/>
        </w:rPr>
        <w:t>an</w:t>
      </w:r>
      <w:r w:rsidR="004532A5" w:rsidRPr="007A1802">
        <w:rPr>
          <w:noProof/>
          <w:lang w:val="en-GB"/>
        </w:rPr>
        <w:t xml:space="preserve"> ability to </w:t>
      </w:r>
      <w:r>
        <w:rPr>
          <w:noProof/>
          <w:lang w:val="en-GB"/>
        </w:rPr>
        <w:t xml:space="preserve">execute </w:t>
      </w:r>
      <w:r w:rsidR="004532A5" w:rsidRPr="007A1802">
        <w:rPr>
          <w:noProof/>
          <w:lang w:val="en-GB"/>
        </w:rPr>
        <w:t xml:space="preserve">“self-control”. Section (1B), the abnormality of </w:t>
      </w:r>
      <w:r>
        <w:rPr>
          <w:noProof/>
          <w:lang w:val="en-GB"/>
        </w:rPr>
        <w:t>“</w:t>
      </w:r>
      <w:r w:rsidR="004532A5" w:rsidRPr="007A1802">
        <w:rPr>
          <w:noProof/>
          <w:lang w:val="en-GB"/>
        </w:rPr>
        <w:t>mental functioning</w:t>
      </w:r>
      <w:r>
        <w:rPr>
          <w:noProof/>
          <w:lang w:val="en-GB"/>
        </w:rPr>
        <w:t>”</w:t>
      </w:r>
      <w:r w:rsidR="004532A5" w:rsidRPr="007A1802">
        <w:rPr>
          <w:noProof/>
          <w:lang w:val="en-GB"/>
        </w:rPr>
        <w:t xml:space="preserve"> provides an </w:t>
      </w:r>
      <w:r>
        <w:rPr>
          <w:noProof/>
          <w:lang w:val="en-GB"/>
        </w:rPr>
        <w:t>justification</w:t>
      </w:r>
      <w:r w:rsidR="004532A5" w:rsidRPr="007A1802">
        <w:rPr>
          <w:noProof/>
          <w:lang w:val="en-GB"/>
        </w:rPr>
        <w:t xml:space="preserve"> for the defendant’s omission and acts of killing a person (Consult.justice, 2023). These are some of the </w:t>
      </w:r>
      <w:r>
        <w:rPr>
          <w:noProof/>
          <w:lang w:val="en-GB"/>
        </w:rPr>
        <w:t xml:space="preserve">imporvement </w:t>
      </w:r>
      <w:r w:rsidR="004532A5" w:rsidRPr="007A1802">
        <w:rPr>
          <w:noProof/>
          <w:lang w:val="en-GB"/>
        </w:rPr>
        <w:t>made by “section 52 Coroners and Justice Act”</w:t>
      </w:r>
    </w:p>
    <w:p w14:paraId="7A2E5356" w14:textId="77777777" w:rsidR="002433BD" w:rsidRPr="007A1802" w:rsidRDefault="004532A5">
      <w:pPr>
        <w:pStyle w:val="Normal1"/>
        <w:rPr>
          <w:noProof/>
          <w:lang w:val="en-GB"/>
        </w:rPr>
      </w:pPr>
      <w:r w:rsidRPr="007A1802">
        <w:rPr>
          <w:noProof/>
          <w:lang w:val="en-GB"/>
        </w:rPr>
        <w:t xml:space="preserve">The advantages of the </w:t>
      </w:r>
      <w:r w:rsidR="00B86AEB">
        <w:rPr>
          <w:noProof/>
          <w:lang w:val="en-GB"/>
        </w:rPr>
        <w:t>imporveent</w:t>
      </w:r>
      <w:r w:rsidRPr="007A1802">
        <w:rPr>
          <w:noProof/>
          <w:lang w:val="en-GB"/>
        </w:rPr>
        <w:t xml:space="preserve"> made by section 52 of “the coroner and justice Act” are as follows. One of the most important advantages of the change is regarding the change in the definition of diminished responsibility. Before any prosecution of the murder needs to go through four different stages (France </w:t>
      </w:r>
      <w:r w:rsidRPr="007A1802">
        <w:rPr>
          <w:i/>
          <w:noProof/>
          <w:lang w:val="en-GB"/>
        </w:rPr>
        <w:t>et al</w:t>
      </w:r>
      <w:r w:rsidRPr="007A1802">
        <w:rPr>
          <w:noProof/>
          <w:lang w:val="en-GB"/>
        </w:rPr>
        <w:t xml:space="preserve">., 2023). The mental condition of an individual person is checked and understood properly before they are prosecuted. According to section 52 2009 Act, they partially defence the murder of the responsibility (Auld and Walker, 2022). This is one of the advantages because there is a different kind of situation that arises when an individual attempt murder. The other advantage of the change is that people with a mental problem might not be getting the death penalty instead they will be imprisoned or have some extra place for punishment or improvement for their respective mental problems. Another advantage of section 52 changes is that before the execution individual conduct is understood properly because people will understand from every perspective (Leary </w:t>
      </w:r>
      <w:r w:rsidRPr="007A1802">
        <w:rPr>
          <w:i/>
          <w:noProof/>
          <w:lang w:val="en-GB"/>
        </w:rPr>
        <w:t>et al</w:t>
      </w:r>
      <w:r w:rsidRPr="007A1802">
        <w:rPr>
          <w:noProof/>
          <w:lang w:val="en-GB"/>
        </w:rPr>
        <w:t xml:space="preserve">., 2021). The government has also agreed that </w:t>
      </w:r>
      <w:r w:rsidR="00B86AEB">
        <w:rPr>
          <w:noProof/>
          <w:lang w:val="en-GB"/>
        </w:rPr>
        <w:t>this chnages are an</w:t>
      </w:r>
      <w:r w:rsidRPr="007A1802">
        <w:rPr>
          <w:noProof/>
          <w:lang w:val="en-GB"/>
        </w:rPr>
        <w:t xml:space="preserve"> important that there needs to be a certain </w:t>
      </w:r>
      <w:r w:rsidR="00B86AEB">
        <w:rPr>
          <w:noProof/>
          <w:lang w:val="en-GB"/>
        </w:rPr>
        <w:t>“</w:t>
      </w:r>
      <w:r w:rsidRPr="007A1802">
        <w:rPr>
          <w:noProof/>
          <w:lang w:val="en-GB"/>
        </w:rPr>
        <w:t>causal connection</w:t>
      </w:r>
      <w:r w:rsidR="00B86AEB">
        <w:rPr>
          <w:noProof/>
          <w:lang w:val="en-GB"/>
        </w:rPr>
        <w:t>”</w:t>
      </w:r>
      <w:r w:rsidR="00AA643E">
        <w:rPr>
          <w:noProof/>
          <w:lang w:val="en-GB"/>
        </w:rPr>
        <w:t xml:space="preserve"> between mental functioning </w:t>
      </w:r>
      <w:r w:rsidRPr="007A1802">
        <w:rPr>
          <w:noProof/>
          <w:lang w:val="en-GB"/>
        </w:rPr>
        <w:t xml:space="preserve">and killing for partial defence. It is important that there needs to be some connection between the killing and the condition, or else a </w:t>
      </w:r>
      <w:r w:rsidR="00AA643E">
        <w:rPr>
          <w:noProof/>
          <w:lang w:val="en-GB"/>
        </w:rPr>
        <w:t>framnetary</w:t>
      </w:r>
      <w:r w:rsidRPr="007A1802">
        <w:rPr>
          <w:noProof/>
          <w:lang w:val="en-GB"/>
        </w:rPr>
        <w:t xml:space="preserve"> defence can </w:t>
      </w:r>
      <w:r w:rsidR="00AA643E">
        <w:rPr>
          <w:noProof/>
          <w:lang w:val="en-GB"/>
        </w:rPr>
        <w:t xml:space="preserve">eassily </w:t>
      </w:r>
      <w:r w:rsidRPr="007A1802">
        <w:rPr>
          <w:noProof/>
          <w:lang w:val="en-GB"/>
        </w:rPr>
        <w:t xml:space="preserve">succeed in some cases where a defendant’s condition of mind has no impact or changes to individual behaviour (Kamaruddin </w:t>
      </w:r>
      <w:r w:rsidRPr="007A1802">
        <w:rPr>
          <w:i/>
          <w:noProof/>
          <w:lang w:val="en-GB"/>
        </w:rPr>
        <w:t>et al.</w:t>
      </w:r>
      <w:r w:rsidRPr="007A1802">
        <w:rPr>
          <w:noProof/>
          <w:lang w:val="en-GB"/>
        </w:rPr>
        <w:t xml:space="preserve">, 2022). The disadvantage of the changes made in the law is that an individual can fake their mental illness and hide from the death penalty. </w:t>
      </w:r>
    </w:p>
    <w:p w14:paraId="5E4002BA" w14:textId="77777777" w:rsidR="002433BD" w:rsidRPr="007A1802" w:rsidRDefault="004532A5">
      <w:pPr>
        <w:pStyle w:val="Normal1"/>
        <w:rPr>
          <w:noProof/>
          <w:lang w:val="en-GB"/>
        </w:rPr>
      </w:pPr>
      <w:r w:rsidRPr="007A1802">
        <w:rPr>
          <w:noProof/>
          <w:lang w:val="en-GB"/>
        </w:rPr>
        <w:br w:type="page"/>
      </w:r>
    </w:p>
    <w:p w14:paraId="58B57668" w14:textId="77777777" w:rsidR="002C703D" w:rsidRDefault="002C703D">
      <w:pPr>
        <w:pStyle w:val="Heading1"/>
        <w:rPr>
          <w:noProof/>
          <w:lang w:val="en-GB"/>
        </w:rPr>
      </w:pPr>
      <w:bookmarkStart w:id="6" w:name="_deozquomz1ko" w:colFirst="0" w:colLast="0"/>
      <w:bookmarkEnd w:id="6"/>
    </w:p>
    <w:p w14:paraId="448C4FA5" w14:textId="77777777" w:rsidR="002C703D" w:rsidRDefault="002C703D">
      <w:pPr>
        <w:pStyle w:val="Heading1"/>
        <w:rPr>
          <w:noProof/>
          <w:lang w:val="en-GB"/>
        </w:rPr>
      </w:pPr>
    </w:p>
    <w:p w14:paraId="55D83AF1" w14:textId="77777777" w:rsidR="002433BD" w:rsidRPr="007A1802" w:rsidRDefault="004532A5">
      <w:pPr>
        <w:pStyle w:val="Heading1"/>
        <w:rPr>
          <w:noProof/>
          <w:lang w:val="en-GB"/>
        </w:rPr>
      </w:pPr>
      <w:r w:rsidRPr="007A1802">
        <w:rPr>
          <w:noProof/>
          <w:lang w:val="en-GB"/>
        </w:rPr>
        <w:t xml:space="preserve">Recommendation </w:t>
      </w:r>
    </w:p>
    <w:p w14:paraId="635A0CC2" w14:textId="77777777" w:rsidR="002433BD" w:rsidRPr="007A1802" w:rsidRDefault="004532A5">
      <w:pPr>
        <w:pStyle w:val="Normal1"/>
        <w:rPr>
          <w:noProof/>
          <w:lang w:val="en-GB"/>
        </w:rPr>
      </w:pPr>
      <w:r w:rsidRPr="007A1802">
        <w:rPr>
          <w:noProof/>
          <w:lang w:val="en-GB"/>
        </w:rPr>
        <w:t xml:space="preserve">The Coroner and Justice Act 2009 can give more priority to the bereaved person it will provide more opportunity to those who have taken necessary steps as per the situation. There needs to be more dept investigation because it will help in gathering authentic information about the murder that had happened. Bereaved people are those people who have lost their loved ones and have been impacted negatively. The coroners can be given more opportunities for training because it will help the coroners to execute the laws in a very effective manner. There need to be made more reviews on the laws, so that there can be more effective reforms. Communicate with the local authorities, registrars, pathologists and representatives from different volunteer organisations. The survey conducted will help to cover the aspect of reforms relevant to the different stakeholder groups. According to sources, it is estimated that more than 120 people in the UK every year are murdered by a mentally ill person (Thornicroft,  2020). The mentally ill people can be provided with proper care and support that will help the people with mental problems to lead a good life in future. In such cases to reduce the rate of murder by mentally ill persons, it is important to provide care and support to the mentally ill patient. The number of killings caused by mentally ill patients contributes to more than 10.9% of the total homicides in the UK (Baird </w:t>
      </w:r>
      <w:r w:rsidRPr="007A1802">
        <w:rPr>
          <w:i/>
          <w:noProof/>
          <w:lang w:val="en-GB"/>
        </w:rPr>
        <w:t>et al</w:t>
      </w:r>
      <w:r w:rsidRPr="007A1802">
        <w:rPr>
          <w:noProof/>
          <w:lang w:val="en-GB"/>
        </w:rPr>
        <w:t xml:space="preserve">., 2019). These are some of the recommendations that can be made in this area of law.  </w:t>
      </w:r>
      <w:r w:rsidRPr="007A1802">
        <w:rPr>
          <w:noProof/>
          <w:lang w:val="en-GB"/>
        </w:rPr>
        <w:br w:type="page"/>
      </w:r>
    </w:p>
    <w:p w14:paraId="10A86D2F" w14:textId="77777777" w:rsidR="002C703D" w:rsidRDefault="002C703D">
      <w:pPr>
        <w:pStyle w:val="Heading1"/>
        <w:rPr>
          <w:noProof/>
          <w:lang w:val="en-GB"/>
        </w:rPr>
      </w:pPr>
      <w:bookmarkStart w:id="7" w:name="_31i5c1dfy6ef" w:colFirst="0" w:colLast="0"/>
      <w:bookmarkEnd w:id="7"/>
    </w:p>
    <w:p w14:paraId="28715D79" w14:textId="77777777" w:rsidR="002C703D" w:rsidRDefault="002C703D">
      <w:pPr>
        <w:pStyle w:val="Heading1"/>
        <w:rPr>
          <w:noProof/>
          <w:lang w:val="en-GB"/>
        </w:rPr>
      </w:pPr>
    </w:p>
    <w:p w14:paraId="201BA3AE" w14:textId="77777777" w:rsidR="002433BD" w:rsidRPr="007A1802" w:rsidRDefault="004532A5">
      <w:pPr>
        <w:pStyle w:val="Heading1"/>
        <w:rPr>
          <w:noProof/>
          <w:lang w:val="en-GB"/>
        </w:rPr>
      </w:pPr>
      <w:r w:rsidRPr="007A1802">
        <w:rPr>
          <w:noProof/>
          <w:lang w:val="en-GB"/>
        </w:rPr>
        <w:t xml:space="preserve">Conclusion </w:t>
      </w:r>
    </w:p>
    <w:p w14:paraId="5F6310F1" w14:textId="77777777" w:rsidR="002433BD" w:rsidRPr="007A1802" w:rsidRDefault="004532A5">
      <w:pPr>
        <w:pStyle w:val="Normal1"/>
        <w:rPr>
          <w:noProof/>
          <w:lang w:val="en-GB"/>
        </w:rPr>
      </w:pPr>
      <w:r w:rsidRPr="007A1802">
        <w:rPr>
          <w:noProof/>
          <w:lang w:val="en-GB"/>
        </w:rPr>
        <w:t xml:space="preserve">The above essay has provided information regarding criminal law. There are different laws that are implemented in the UK, such as different sections of the Homicide Act of 1957 and “The Coroners and Justice Act (2009)”. The essay has provided information regarding the requirements for a diminishing responsibility of legislation. There are various requirements regarding this law and it has a huge impact on section 2 “homicide Act 1957”. After this, the essay has also provided information regarding the requirements of the changes in the “coroners and justice Act 200”. The changes made in this act were crucial because they help in providing proper justification to the Bereaved people. Bereaved people required proper support as they have lost their loved ones and providing the right justice will help in dealing with the loss they have made. Further, it has also provided information regarding the impact of “Section.52 Coroners and Justice Act 2009” on the laws. The changes made by section 52 have a major impact on the criminal law of the UK, after this, it has also discussed the disadvantage and advantages of those changes. Lastly, it has also provided appropriate recommendations. </w:t>
      </w:r>
    </w:p>
    <w:p w14:paraId="768DD95F" w14:textId="77777777" w:rsidR="002433BD" w:rsidRPr="007A1802" w:rsidRDefault="002433BD">
      <w:pPr>
        <w:pStyle w:val="Normal1"/>
        <w:rPr>
          <w:noProof/>
          <w:lang w:val="en-GB"/>
        </w:rPr>
      </w:pPr>
    </w:p>
    <w:p w14:paraId="3AD8F9F6" w14:textId="77777777" w:rsidR="002433BD" w:rsidRPr="007A1802" w:rsidRDefault="002433BD">
      <w:pPr>
        <w:pStyle w:val="Normal1"/>
        <w:rPr>
          <w:noProof/>
          <w:lang w:val="en-GB"/>
        </w:rPr>
      </w:pPr>
    </w:p>
    <w:p w14:paraId="30FA344D" w14:textId="77777777" w:rsidR="002433BD" w:rsidRPr="007A1802" w:rsidRDefault="002433BD">
      <w:pPr>
        <w:pStyle w:val="Normal1"/>
        <w:rPr>
          <w:noProof/>
          <w:lang w:val="en-GB"/>
        </w:rPr>
      </w:pPr>
    </w:p>
    <w:p w14:paraId="09B530F6" w14:textId="77777777" w:rsidR="002433BD" w:rsidRPr="007A1802" w:rsidRDefault="002433BD">
      <w:pPr>
        <w:pStyle w:val="Normal1"/>
        <w:rPr>
          <w:noProof/>
          <w:lang w:val="en-GB"/>
        </w:rPr>
      </w:pPr>
    </w:p>
    <w:p w14:paraId="07240FAF" w14:textId="77777777" w:rsidR="002433BD" w:rsidRPr="007A1802" w:rsidRDefault="004532A5">
      <w:pPr>
        <w:pStyle w:val="Heading1"/>
        <w:keepNext w:val="0"/>
        <w:keepLines w:val="0"/>
        <w:rPr>
          <w:noProof/>
          <w:lang w:val="en-GB"/>
        </w:rPr>
      </w:pPr>
      <w:bookmarkStart w:id="8" w:name="_6giioezi4zxy" w:colFirst="0" w:colLast="0"/>
      <w:bookmarkEnd w:id="8"/>
      <w:r w:rsidRPr="007A1802">
        <w:rPr>
          <w:noProof/>
          <w:lang w:val="en-GB"/>
        </w:rPr>
        <w:br w:type="page"/>
      </w:r>
    </w:p>
    <w:p w14:paraId="0D7A568A" w14:textId="77777777" w:rsidR="002C703D" w:rsidRDefault="002C703D">
      <w:pPr>
        <w:pStyle w:val="Heading1"/>
        <w:keepNext w:val="0"/>
        <w:keepLines w:val="0"/>
        <w:rPr>
          <w:noProof/>
          <w:lang w:val="en-GB"/>
        </w:rPr>
      </w:pPr>
      <w:bookmarkStart w:id="9" w:name="_3o5mmkjmriq1" w:colFirst="0" w:colLast="0"/>
      <w:bookmarkEnd w:id="9"/>
    </w:p>
    <w:p w14:paraId="295694D2" w14:textId="77777777" w:rsidR="002C703D" w:rsidRDefault="002C703D">
      <w:pPr>
        <w:pStyle w:val="Heading1"/>
        <w:keepNext w:val="0"/>
        <w:keepLines w:val="0"/>
        <w:rPr>
          <w:noProof/>
          <w:lang w:val="en-GB"/>
        </w:rPr>
      </w:pPr>
    </w:p>
    <w:p w14:paraId="799807F7" w14:textId="77777777" w:rsidR="002433BD" w:rsidRPr="007A1802" w:rsidRDefault="004532A5">
      <w:pPr>
        <w:pStyle w:val="Heading1"/>
        <w:keepNext w:val="0"/>
        <w:keepLines w:val="0"/>
        <w:rPr>
          <w:noProof/>
          <w:lang w:val="en-GB"/>
        </w:rPr>
      </w:pPr>
      <w:r w:rsidRPr="007A1802">
        <w:rPr>
          <w:noProof/>
          <w:lang w:val="en-GB"/>
        </w:rPr>
        <w:t xml:space="preserve">References </w:t>
      </w:r>
    </w:p>
    <w:p w14:paraId="58767A1A" w14:textId="77777777" w:rsidR="007A1802" w:rsidRPr="007A1802" w:rsidRDefault="007A1802">
      <w:pPr>
        <w:pStyle w:val="Normal1"/>
        <w:rPr>
          <w:noProof/>
          <w:lang w:val="en-GB"/>
        </w:rPr>
      </w:pPr>
      <w:r w:rsidRPr="007A1802">
        <w:rPr>
          <w:noProof/>
          <w:lang w:val="en-GB"/>
        </w:rPr>
        <w:t>Auld, F.M. and Walker, A.E., 2022. The value of the defence postmortem examination in England and Wales. Forensic Science, Medicine and Pathology, 18(4), pp.503-506.</w:t>
      </w:r>
    </w:p>
    <w:p w14:paraId="54371C86" w14:textId="77777777" w:rsidR="007A1802" w:rsidRPr="007A1802" w:rsidRDefault="007A1802">
      <w:pPr>
        <w:pStyle w:val="Normal1"/>
        <w:rPr>
          <w:noProof/>
          <w:lang w:val="en-GB"/>
        </w:rPr>
      </w:pPr>
      <w:r w:rsidRPr="007A1802">
        <w:rPr>
          <w:noProof/>
          <w:lang w:val="en-GB"/>
        </w:rPr>
        <w:t>Baird, A., While, D., Flynn, S., Ibrahim, S., Kapur, N., Appleby, L. and Shaw, J., 2019. Do homicide rates increase during weekends and national holidays?. The Journal of Forensic Psychiatry &amp; Psychology, 30(3), pp.367-380.</w:t>
      </w:r>
    </w:p>
    <w:p w14:paraId="614E1BCA" w14:textId="77777777" w:rsidR="007A1802" w:rsidRPr="007A1802" w:rsidRDefault="007A1802">
      <w:pPr>
        <w:pStyle w:val="Normal1"/>
        <w:rPr>
          <w:noProof/>
          <w:lang w:val="en-GB"/>
        </w:rPr>
      </w:pPr>
      <w:r w:rsidRPr="007A1802">
        <w:rPr>
          <w:noProof/>
          <w:lang w:val="en-GB"/>
        </w:rPr>
        <w:t>Broadbridge, J., 2022. Re: Rita Britten, deceased Report to Prevent Further Deaths Paragraph 7, Schedule 5 of the Coroners and Justice Act 2009 and Regulations 28 and 29 of the Coroners (Investigations) Regulations 2013.</w:t>
      </w:r>
    </w:p>
    <w:p w14:paraId="0C8D0FCB" w14:textId="77777777" w:rsidR="007A1802" w:rsidRPr="007A1802" w:rsidRDefault="007A1802">
      <w:pPr>
        <w:pStyle w:val="Normal1"/>
        <w:rPr>
          <w:noProof/>
          <w:lang w:val="en-GB"/>
        </w:rPr>
      </w:pPr>
      <w:r w:rsidRPr="007A1802">
        <w:rPr>
          <w:noProof/>
          <w:lang w:val="en-GB"/>
        </w:rPr>
        <w:t xml:space="preserve">Consult.justice.gov (2023) Post-implementation review of the coroner reforms in the coroners and justice act 2009, Post-implementation review of the coroner reforms in the Coroners and Justice Act 2009 - Ministry of Justice - Citizen Space. Consult.justice.gov . Available at: https://consult.justice.gov.uk/digital-communications/post-implementation-review-of-coroner-reforms/ (Accessed: March 9, 2023). </w:t>
      </w:r>
    </w:p>
    <w:p w14:paraId="1AA39872" w14:textId="77777777" w:rsidR="007A1802" w:rsidRPr="007A1802" w:rsidRDefault="007A1802">
      <w:pPr>
        <w:pStyle w:val="Normal1"/>
        <w:rPr>
          <w:noProof/>
          <w:lang w:val="en-GB"/>
        </w:rPr>
      </w:pPr>
      <w:r w:rsidRPr="007A1802">
        <w:rPr>
          <w:noProof/>
          <w:lang w:val="en-GB"/>
        </w:rPr>
        <w:t>France, H.S., Aronson, J.K., Heneghan, C., Ferner, R.E., Cox, A.R. and Richards, G.C., 2023. Preventable Deaths Involving Medicines: A Systematic Case Series of Coroners’ Reports 2013–22. Drug Safety, pp.1-8.</w:t>
      </w:r>
    </w:p>
    <w:p w14:paraId="111BFBA6" w14:textId="77777777" w:rsidR="007A1802" w:rsidRPr="007A1802" w:rsidRDefault="007A1802">
      <w:pPr>
        <w:pStyle w:val="Normal1"/>
        <w:rPr>
          <w:noProof/>
          <w:lang w:val="en-GB"/>
        </w:rPr>
      </w:pPr>
      <w:r w:rsidRPr="007A1802">
        <w:rPr>
          <w:noProof/>
          <w:lang w:val="en-GB"/>
        </w:rPr>
        <w:t>Kamaruddin, S., Hamin, Z., Babat, C. and Ahmad, N., 2022. In defense of baby killers: lesson from English law. BiLD law journal, 7(4s), pp.208-217.</w:t>
      </w:r>
    </w:p>
    <w:p w14:paraId="7991C58D" w14:textId="77777777" w:rsidR="007A1802" w:rsidRPr="007A1802" w:rsidRDefault="007A1802">
      <w:pPr>
        <w:pStyle w:val="Normal1"/>
        <w:rPr>
          <w:noProof/>
          <w:lang w:val="en-GB"/>
        </w:rPr>
      </w:pPr>
      <w:r w:rsidRPr="007A1802">
        <w:rPr>
          <w:noProof/>
          <w:lang w:val="en-GB"/>
        </w:rPr>
        <w:t>Leary, A., Bushe, D., Oldman, C., Lawler, J. and Punshon, G., 2021. A thematic analysis of the prevention of future deaths reports in healthcare from HM coroners in England and Wales 2016–2019. Journal of Patient Safety and Risk Management, 26(1), pp.14-21.</w:t>
      </w:r>
    </w:p>
    <w:p w14:paraId="68549F8A" w14:textId="77777777" w:rsidR="007A1802" w:rsidRPr="007A1802" w:rsidRDefault="007A1802">
      <w:pPr>
        <w:pStyle w:val="Normal1"/>
        <w:rPr>
          <w:noProof/>
          <w:lang w:val="en-GB"/>
        </w:rPr>
      </w:pPr>
      <w:r w:rsidRPr="007A1802">
        <w:rPr>
          <w:noProof/>
          <w:lang w:val="en-GB"/>
        </w:rPr>
        <w:t xml:space="preserve">Legislation.gov (2023) Homicide act 1957, Legislation.gov.uk. Queen's Printer of Acts of Parliament. Available at: https://www.legislation.gov.uk/ukpga/Eliz2/5-6/11/section/1/enacted (Accessed: March 9, 2023). </w:t>
      </w:r>
    </w:p>
    <w:p w14:paraId="117971F0" w14:textId="77777777" w:rsidR="007A1802" w:rsidRPr="007A1802" w:rsidRDefault="007A1802">
      <w:pPr>
        <w:pStyle w:val="Normal1"/>
        <w:rPr>
          <w:noProof/>
          <w:lang w:val="en-GB"/>
        </w:rPr>
      </w:pPr>
      <w:r w:rsidRPr="007A1802">
        <w:rPr>
          <w:noProof/>
          <w:lang w:val="en-GB"/>
        </w:rPr>
        <w:t>Marks, P., 2023. Role of the Coroner. In The Medical Examiner Service (pp. 111-124). CRC Press.</w:t>
      </w:r>
    </w:p>
    <w:p w14:paraId="7B14C0E0" w14:textId="77777777" w:rsidR="007A1802" w:rsidRPr="007A1802" w:rsidRDefault="007A1802">
      <w:pPr>
        <w:pStyle w:val="Normal1"/>
        <w:rPr>
          <w:noProof/>
          <w:lang w:val="en-GB"/>
        </w:rPr>
      </w:pPr>
      <w:r w:rsidRPr="007A1802">
        <w:rPr>
          <w:noProof/>
          <w:lang w:val="en-GB"/>
        </w:rPr>
        <w:t>Reed, A., Wake, N. and Simpson, B., 2021. 'Domestic and Comparative Perspectives on Loss of Self-Control and Diminished Responsibility as Partial Defences to Murder: A 10-Year Review of the Coroners and Justice Act 2009 Reform Framework'. N. Ir. Legal Q., 72, p.161.</w:t>
      </w:r>
    </w:p>
    <w:p w14:paraId="66385685" w14:textId="77777777" w:rsidR="007A1802" w:rsidRPr="007A1802" w:rsidRDefault="007A1802">
      <w:pPr>
        <w:pStyle w:val="Normal1"/>
        <w:rPr>
          <w:noProof/>
          <w:lang w:val="en-GB"/>
        </w:rPr>
      </w:pPr>
      <w:r w:rsidRPr="007A1802">
        <w:rPr>
          <w:noProof/>
          <w:lang w:val="en-GB"/>
        </w:rPr>
        <w:t>Reed, A., Wake, N. and Simpson, B., 2021. Introduction:‘Domestic and comparative perspectives on loss of self-control and diminished responsibility as partial defences to murder: a 10-year review of the Coroners and Justice Act 2009 reform framework’. Northern Ireland Legal Quarterly, 72(2), pp.161-170.</w:t>
      </w:r>
    </w:p>
    <w:p w14:paraId="1A5C23FB" w14:textId="77777777" w:rsidR="007A1802" w:rsidRPr="007A1802" w:rsidRDefault="007A1802">
      <w:pPr>
        <w:pStyle w:val="Normal1"/>
        <w:rPr>
          <w:noProof/>
          <w:lang w:val="en-GB"/>
        </w:rPr>
      </w:pPr>
      <w:r w:rsidRPr="007A1802">
        <w:rPr>
          <w:noProof/>
          <w:lang w:val="en-GB"/>
        </w:rPr>
        <w:lastRenderedPageBreak/>
        <w:t>Thornicroft, G., 2020. People with severe mental illness as the perpetrators and victims of violence: time for a new public health approach. The Lancet Public Health, 5(2), pp.e72-e73.</w:t>
      </w:r>
    </w:p>
    <w:p w14:paraId="5BDD0ABB" w14:textId="77777777" w:rsidR="007A1802" w:rsidRPr="007A1802" w:rsidRDefault="007A1802">
      <w:pPr>
        <w:pStyle w:val="Normal1"/>
        <w:rPr>
          <w:noProof/>
          <w:lang w:val="en-GB"/>
        </w:rPr>
      </w:pPr>
      <w:r w:rsidRPr="007A1802">
        <w:rPr>
          <w:noProof/>
          <w:lang w:val="en-GB"/>
        </w:rPr>
        <w:t>Wu, A., 2020. Going Full Circle: Gender and the ‘Loss of Control’Defence under the Coroners and Justice Act 2009. Rule of Law Journal, 1(1).</w:t>
      </w:r>
    </w:p>
    <w:sectPr w:rsidR="007A1802" w:rsidRPr="007A1802" w:rsidSect="002433BD">
      <w:footerReference w:type="default" r:id="rId6"/>
      <w:pgSz w:w="11906" w:h="16838"/>
      <w:pgMar w:top="566" w:right="1559" w:bottom="992" w:left="85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02197" w14:textId="77777777" w:rsidR="00864537" w:rsidRDefault="00864537" w:rsidP="002433BD">
      <w:pPr>
        <w:spacing w:line="240" w:lineRule="auto"/>
      </w:pPr>
      <w:r>
        <w:separator/>
      </w:r>
    </w:p>
  </w:endnote>
  <w:endnote w:type="continuationSeparator" w:id="0">
    <w:p w14:paraId="6DE0061F" w14:textId="77777777" w:rsidR="00864537" w:rsidRDefault="00864537" w:rsidP="002433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AFD79" w14:textId="77777777" w:rsidR="002433BD" w:rsidRDefault="002433BD">
    <w:pPr>
      <w:pStyle w:val="Normal1"/>
      <w:jc w:val="right"/>
    </w:pPr>
    <w:r>
      <w:fldChar w:fldCharType="begin"/>
    </w:r>
    <w:r w:rsidR="004532A5">
      <w:instrText>PAGE</w:instrText>
    </w:r>
    <w:r>
      <w:fldChar w:fldCharType="separate"/>
    </w:r>
    <w:r w:rsidR="002C703D">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FC547" w14:textId="77777777" w:rsidR="00864537" w:rsidRDefault="00864537" w:rsidP="002433BD">
      <w:pPr>
        <w:spacing w:line="240" w:lineRule="auto"/>
      </w:pPr>
      <w:r>
        <w:separator/>
      </w:r>
    </w:p>
  </w:footnote>
  <w:footnote w:type="continuationSeparator" w:id="0">
    <w:p w14:paraId="035D77FC" w14:textId="77777777" w:rsidR="00864537" w:rsidRDefault="00864537" w:rsidP="002433B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433BD"/>
    <w:rsid w:val="002433BD"/>
    <w:rsid w:val="002C703D"/>
    <w:rsid w:val="004532A5"/>
    <w:rsid w:val="007A1802"/>
    <w:rsid w:val="00853EE1"/>
    <w:rsid w:val="00864537"/>
    <w:rsid w:val="008A7F15"/>
    <w:rsid w:val="00AA643E"/>
    <w:rsid w:val="00B60F52"/>
    <w:rsid w:val="00B86AEB"/>
    <w:rsid w:val="00CE4704"/>
    <w:rsid w:val="00E21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7CBBF"/>
  <w15:docId w15:val="{8CDD9AD3-31AD-4F5D-B31A-7B75EFD24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pBdr>
          <w:right w:val="none" w:sz="0" w:space="7" w:color="auto"/>
        </w:pBdr>
        <w:shd w:val="clear" w:color="auto" w:fill="FFFFFF"/>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2433BD"/>
    <w:pPr>
      <w:keepNext/>
      <w:keepLines/>
      <w:outlineLvl w:val="0"/>
    </w:pPr>
    <w:rPr>
      <w:b/>
    </w:rPr>
  </w:style>
  <w:style w:type="paragraph" w:styleId="Heading2">
    <w:name w:val="heading 2"/>
    <w:basedOn w:val="Normal1"/>
    <w:next w:val="Normal1"/>
    <w:rsid w:val="002433BD"/>
    <w:pPr>
      <w:keepNext/>
      <w:keepLines/>
      <w:spacing w:before="360" w:after="120"/>
      <w:outlineLvl w:val="1"/>
    </w:pPr>
    <w:rPr>
      <w:sz w:val="32"/>
      <w:szCs w:val="32"/>
    </w:rPr>
  </w:style>
  <w:style w:type="paragraph" w:styleId="Heading3">
    <w:name w:val="heading 3"/>
    <w:basedOn w:val="Normal1"/>
    <w:next w:val="Normal1"/>
    <w:rsid w:val="002433BD"/>
    <w:pPr>
      <w:keepNext/>
      <w:keepLines/>
      <w:spacing w:before="320" w:after="80"/>
      <w:outlineLvl w:val="2"/>
    </w:pPr>
    <w:rPr>
      <w:color w:val="434343"/>
      <w:sz w:val="28"/>
      <w:szCs w:val="28"/>
    </w:rPr>
  </w:style>
  <w:style w:type="paragraph" w:styleId="Heading4">
    <w:name w:val="heading 4"/>
    <w:basedOn w:val="Normal1"/>
    <w:next w:val="Normal1"/>
    <w:rsid w:val="002433BD"/>
    <w:pPr>
      <w:keepNext/>
      <w:keepLines/>
      <w:spacing w:before="280" w:after="80"/>
      <w:outlineLvl w:val="3"/>
    </w:pPr>
    <w:rPr>
      <w:color w:val="666666"/>
    </w:rPr>
  </w:style>
  <w:style w:type="paragraph" w:styleId="Heading5">
    <w:name w:val="heading 5"/>
    <w:basedOn w:val="Normal1"/>
    <w:next w:val="Normal1"/>
    <w:rsid w:val="002433BD"/>
    <w:pPr>
      <w:keepNext/>
      <w:keepLines/>
      <w:spacing w:before="240" w:after="80"/>
      <w:outlineLvl w:val="4"/>
    </w:pPr>
    <w:rPr>
      <w:color w:val="666666"/>
      <w:sz w:val="22"/>
      <w:szCs w:val="22"/>
    </w:rPr>
  </w:style>
  <w:style w:type="paragraph" w:styleId="Heading6">
    <w:name w:val="heading 6"/>
    <w:basedOn w:val="Normal1"/>
    <w:next w:val="Normal1"/>
    <w:rsid w:val="002433BD"/>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433BD"/>
  </w:style>
  <w:style w:type="paragraph" w:styleId="Title">
    <w:name w:val="Title"/>
    <w:basedOn w:val="Normal1"/>
    <w:next w:val="Normal1"/>
    <w:rsid w:val="002433BD"/>
    <w:pPr>
      <w:keepNext/>
      <w:keepLines/>
      <w:jc w:val="center"/>
    </w:pPr>
    <w:rPr>
      <w:b/>
      <w:sz w:val="32"/>
      <w:szCs w:val="32"/>
    </w:rPr>
  </w:style>
  <w:style w:type="paragraph" w:styleId="Subtitle">
    <w:name w:val="Subtitle"/>
    <w:basedOn w:val="Normal1"/>
    <w:next w:val="Normal1"/>
    <w:rsid w:val="002433BD"/>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7A180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802"/>
    <w:rPr>
      <w:rFonts w:ascii="Tahoma" w:hAnsi="Tahoma" w:cs="Tahoma"/>
      <w:sz w:val="16"/>
      <w:szCs w:val="16"/>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9</Pages>
  <Words>1897</Words>
  <Characters>10816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Eduard Dochiu (2214589)</cp:lastModifiedBy>
  <cp:revision>6</cp:revision>
  <dcterms:created xsi:type="dcterms:W3CDTF">2023-03-09T12:02:00Z</dcterms:created>
  <dcterms:modified xsi:type="dcterms:W3CDTF">2023-03-10T09:14:00Z</dcterms:modified>
</cp:coreProperties>
</file>