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D57AC" w14:textId="4B980543" w:rsidR="00D21246" w:rsidRPr="00D21246" w:rsidRDefault="00443F99" w:rsidP="00D21246">
      <w:pPr>
        <w:shd w:val="clear" w:color="auto" w:fill="FFFFFF"/>
        <w:spacing w:line="360" w:lineRule="atLeast"/>
        <w:rPr>
          <w:rFonts w:ascii="Aptos" w:eastAsia="Times New Roman" w:hAnsi="Aptos" w:cs="Times New Roman"/>
          <w:color w:val="222222"/>
          <w:kern w:val="0"/>
          <w:lang w:eastAsia="en-GB"/>
          <w14:ligatures w14:val="none"/>
        </w:rPr>
      </w:pPr>
      <w:r>
        <w:rPr>
          <w:noProof/>
        </w:rPr>
        <w:drawing>
          <wp:inline distT="0" distB="0" distL="0" distR="0" wp14:anchorId="220EACA4" wp14:editId="2801C621">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CF94058" w14:textId="75366847" w:rsidR="00D21246" w:rsidRDefault="00D21246"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5BA6586" w14:textId="77777777" w:rsidR="008C4138" w:rsidRDefault="008C413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D2DC753" w14:textId="6631FA88" w:rsidR="008C4138" w:rsidRDefault="008C413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Name: Estela Lucina Peralta</w:t>
      </w:r>
    </w:p>
    <w:p w14:paraId="12E9FFD0" w14:textId="4D7859D8" w:rsidR="008C4138" w:rsidRDefault="00BA22E7"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Student’s ID:2527558</w:t>
      </w:r>
    </w:p>
    <w:p w14:paraId="4495E68B" w14:textId="682CA007" w:rsidR="00BA22E7" w:rsidRDefault="00BA22E7"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Module: Introduction to Health and Social Care</w:t>
      </w:r>
    </w:p>
    <w:p w14:paraId="22101A35" w14:textId="2B12CB55" w:rsidR="00BA22E7" w:rsidRDefault="00FC38D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Module Code: LCHS4003</w:t>
      </w:r>
    </w:p>
    <w:p w14:paraId="617E7D62" w14:textId="7A06D9B8" w:rsidR="00FC38D8" w:rsidRDefault="0050378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Lecturer: Umma</w:t>
      </w:r>
      <w:r w:rsidR="00FC38D8">
        <w:rPr>
          <w:rFonts w:ascii="Arial" w:eastAsia="Times New Roman" w:hAnsi="Arial" w:cs="Arial"/>
          <w:color w:val="222222"/>
          <w:kern w:val="0"/>
          <w:sz w:val="22"/>
          <w:szCs w:val="22"/>
          <w:lang w:eastAsia="en-GB"/>
          <w14:ligatures w14:val="none"/>
        </w:rPr>
        <w:t xml:space="preserve"> Sulei</w:t>
      </w:r>
      <w:r>
        <w:rPr>
          <w:rFonts w:ascii="Arial" w:eastAsia="Times New Roman" w:hAnsi="Arial" w:cs="Arial"/>
          <w:color w:val="222222"/>
          <w:kern w:val="0"/>
          <w:sz w:val="22"/>
          <w:szCs w:val="22"/>
          <w:lang w:eastAsia="en-GB"/>
          <w14:ligatures w14:val="none"/>
        </w:rPr>
        <w:t>man</w:t>
      </w:r>
    </w:p>
    <w:p w14:paraId="134F5D8E" w14:textId="31DCB68F" w:rsidR="00246205" w:rsidRDefault="0024620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 xml:space="preserve">Assignment </w:t>
      </w:r>
      <w:r w:rsidR="0093222C">
        <w:rPr>
          <w:rFonts w:ascii="Arial" w:eastAsia="Times New Roman" w:hAnsi="Arial" w:cs="Arial"/>
          <w:color w:val="222222"/>
          <w:kern w:val="0"/>
          <w:sz w:val="22"/>
          <w:szCs w:val="22"/>
          <w:lang w:eastAsia="en-GB"/>
          <w14:ligatures w14:val="none"/>
        </w:rPr>
        <w:t>Title: Component 2 Written Assignment</w:t>
      </w:r>
    </w:p>
    <w:p w14:paraId="4494F646" w14:textId="3261225E" w:rsidR="00503785" w:rsidRDefault="0050378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 xml:space="preserve">Submission </w:t>
      </w:r>
      <w:r w:rsidR="00246205">
        <w:rPr>
          <w:rFonts w:ascii="Arial" w:eastAsia="Times New Roman" w:hAnsi="Arial" w:cs="Arial"/>
          <w:color w:val="222222"/>
          <w:kern w:val="0"/>
          <w:sz w:val="22"/>
          <w:szCs w:val="22"/>
          <w:lang w:eastAsia="en-GB"/>
          <w14:ligatures w14:val="none"/>
        </w:rPr>
        <w:t>Deadline: August</w:t>
      </w:r>
      <w:r>
        <w:rPr>
          <w:rFonts w:ascii="Arial" w:eastAsia="Times New Roman" w:hAnsi="Arial" w:cs="Arial"/>
          <w:color w:val="222222"/>
          <w:kern w:val="0"/>
          <w:sz w:val="22"/>
          <w:szCs w:val="22"/>
          <w:lang w:eastAsia="en-GB"/>
          <w14:ligatures w14:val="none"/>
        </w:rPr>
        <w:t xml:space="preserve"> 21</w:t>
      </w:r>
      <w:r w:rsidR="00246205">
        <w:rPr>
          <w:rFonts w:ascii="Arial" w:eastAsia="Times New Roman" w:hAnsi="Arial" w:cs="Arial"/>
          <w:color w:val="222222"/>
          <w:kern w:val="0"/>
          <w:sz w:val="22"/>
          <w:szCs w:val="22"/>
          <w:lang w:eastAsia="en-GB"/>
          <w14:ligatures w14:val="none"/>
        </w:rPr>
        <w:t>,2026</w:t>
      </w:r>
    </w:p>
    <w:p w14:paraId="187C4DDE" w14:textId="77777777" w:rsidR="00503785" w:rsidRDefault="0050378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D86AB30" w14:textId="77777777" w:rsidR="00FC38D8" w:rsidRDefault="00FC38D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0B4B98F" w14:textId="77777777" w:rsidR="008C4138" w:rsidRDefault="008C413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29794EA3" w14:textId="77777777" w:rsidR="00124785" w:rsidRDefault="0012478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506DF9F7" w14:textId="77777777" w:rsidR="00124785" w:rsidRDefault="0012478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7C16D57"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92C06E9"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4AF4168"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C1FA637"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5301B34"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DDFBCAA"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103494B"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72C58BA"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4EB8298" w14:textId="77777777" w:rsidR="001B7322" w:rsidRDefault="001B732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2C8ACD4"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D43A73A"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2103325" w14:textId="10848224" w:rsidR="00124785" w:rsidRDefault="0012478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T</w:t>
      </w:r>
      <w:r w:rsidR="00FF3788">
        <w:rPr>
          <w:rFonts w:ascii="Arial" w:eastAsia="Times New Roman" w:hAnsi="Arial" w:cs="Arial"/>
          <w:color w:val="222222"/>
          <w:kern w:val="0"/>
          <w:sz w:val="22"/>
          <w:szCs w:val="22"/>
          <w:lang w:eastAsia="en-GB"/>
          <w14:ligatures w14:val="none"/>
        </w:rPr>
        <w:t>ABLE OF CONTENTS</w:t>
      </w:r>
    </w:p>
    <w:p w14:paraId="61BA4679" w14:textId="77777777" w:rsidR="001A3C57" w:rsidRDefault="001A3C57"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2345A9D6" w14:textId="607382CC" w:rsidR="001A3C57" w:rsidRDefault="001A3C57"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TITLE PAG</w:t>
      </w:r>
      <w:r w:rsidR="00651FD4">
        <w:rPr>
          <w:rFonts w:ascii="Arial" w:eastAsia="Times New Roman" w:hAnsi="Arial" w:cs="Arial"/>
          <w:color w:val="222222"/>
          <w:kern w:val="0"/>
          <w:sz w:val="22"/>
          <w:szCs w:val="22"/>
          <w:lang w:eastAsia="en-GB"/>
          <w14:ligatures w14:val="none"/>
        </w:rPr>
        <w:t xml:space="preserve">E                                                            </w:t>
      </w:r>
      <w:r w:rsidR="00F2335D">
        <w:rPr>
          <w:rFonts w:ascii="Arial" w:eastAsia="Times New Roman" w:hAnsi="Arial" w:cs="Arial"/>
          <w:color w:val="222222"/>
          <w:kern w:val="0"/>
          <w:sz w:val="22"/>
          <w:szCs w:val="22"/>
          <w:lang w:eastAsia="en-GB"/>
          <w14:ligatures w14:val="none"/>
        </w:rPr>
        <w:t xml:space="preserve">           </w:t>
      </w:r>
      <w:r w:rsidR="00AE7855">
        <w:rPr>
          <w:rFonts w:ascii="Arial" w:eastAsia="Times New Roman" w:hAnsi="Arial" w:cs="Arial"/>
          <w:color w:val="222222"/>
          <w:kern w:val="0"/>
          <w:sz w:val="22"/>
          <w:szCs w:val="22"/>
          <w:lang w:eastAsia="en-GB"/>
          <w14:ligatures w14:val="none"/>
        </w:rPr>
        <w:t xml:space="preserve">      </w:t>
      </w:r>
      <w:r w:rsidR="00F2335D">
        <w:rPr>
          <w:rFonts w:ascii="Arial" w:eastAsia="Times New Roman" w:hAnsi="Arial" w:cs="Arial"/>
          <w:color w:val="222222"/>
          <w:kern w:val="0"/>
          <w:sz w:val="22"/>
          <w:szCs w:val="22"/>
          <w:lang w:eastAsia="en-GB"/>
          <w14:ligatures w14:val="none"/>
        </w:rPr>
        <w:t>………………………………..1</w:t>
      </w:r>
    </w:p>
    <w:p w14:paraId="4CFF5F27" w14:textId="3B22A5B9" w:rsidR="00124785" w:rsidRDefault="00026C2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I</w:t>
      </w:r>
      <w:r w:rsidR="001C6B24">
        <w:rPr>
          <w:rFonts w:ascii="Arial" w:eastAsia="Times New Roman" w:hAnsi="Arial" w:cs="Arial"/>
          <w:color w:val="222222"/>
          <w:kern w:val="0"/>
          <w:sz w:val="22"/>
          <w:szCs w:val="22"/>
          <w:lang w:eastAsia="en-GB"/>
          <w14:ligatures w14:val="none"/>
        </w:rPr>
        <w:t>NTRODUCTION</w:t>
      </w:r>
      <w:r w:rsidR="002A1295">
        <w:rPr>
          <w:rFonts w:ascii="Arial" w:eastAsia="Times New Roman" w:hAnsi="Arial" w:cs="Arial"/>
          <w:color w:val="222222"/>
          <w:kern w:val="0"/>
          <w:sz w:val="22"/>
          <w:szCs w:val="22"/>
          <w:lang w:eastAsia="en-GB"/>
          <w14:ligatures w14:val="none"/>
        </w:rPr>
        <w:t xml:space="preserve">                                                       </w:t>
      </w:r>
      <w:r w:rsidR="001727A9">
        <w:rPr>
          <w:rFonts w:ascii="Arial" w:eastAsia="Times New Roman" w:hAnsi="Arial" w:cs="Arial"/>
          <w:color w:val="222222"/>
          <w:kern w:val="0"/>
          <w:sz w:val="22"/>
          <w:szCs w:val="22"/>
          <w:lang w:eastAsia="en-GB"/>
          <w14:ligatures w14:val="none"/>
        </w:rPr>
        <w:t xml:space="preserve"> </w:t>
      </w:r>
      <w:r w:rsidR="00E72857">
        <w:rPr>
          <w:rFonts w:ascii="Arial" w:eastAsia="Times New Roman" w:hAnsi="Arial" w:cs="Arial"/>
          <w:color w:val="222222"/>
          <w:kern w:val="0"/>
          <w:sz w:val="22"/>
          <w:szCs w:val="22"/>
          <w:lang w:eastAsia="en-GB"/>
          <w14:ligatures w14:val="none"/>
        </w:rPr>
        <w:t xml:space="preserve">        </w:t>
      </w:r>
      <w:r w:rsidR="00AE7855">
        <w:rPr>
          <w:rFonts w:ascii="Arial" w:eastAsia="Times New Roman" w:hAnsi="Arial" w:cs="Arial"/>
          <w:color w:val="222222"/>
          <w:kern w:val="0"/>
          <w:sz w:val="22"/>
          <w:szCs w:val="22"/>
          <w:lang w:eastAsia="en-GB"/>
          <w14:ligatures w14:val="none"/>
        </w:rPr>
        <w:t xml:space="preserve">      ..</w:t>
      </w:r>
      <w:r>
        <w:rPr>
          <w:rFonts w:ascii="Arial" w:eastAsia="Times New Roman" w:hAnsi="Arial" w:cs="Arial"/>
          <w:color w:val="222222"/>
          <w:kern w:val="0"/>
          <w:sz w:val="22"/>
          <w:szCs w:val="22"/>
          <w:lang w:eastAsia="en-GB"/>
          <w14:ligatures w14:val="none"/>
        </w:rPr>
        <w:t>……………………</w:t>
      </w:r>
      <w:r w:rsidR="00065382">
        <w:rPr>
          <w:rFonts w:ascii="Arial" w:eastAsia="Times New Roman" w:hAnsi="Arial" w:cs="Arial"/>
          <w:color w:val="222222"/>
          <w:kern w:val="0"/>
          <w:sz w:val="22"/>
          <w:szCs w:val="22"/>
          <w:lang w:eastAsia="en-GB"/>
          <w14:ligatures w14:val="none"/>
        </w:rPr>
        <w:t>………</w:t>
      </w:r>
      <w:r w:rsidR="008D0DB4">
        <w:rPr>
          <w:rFonts w:ascii="Arial" w:eastAsia="Times New Roman" w:hAnsi="Arial" w:cs="Arial"/>
          <w:color w:val="222222"/>
          <w:kern w:val="0"/>
          <w:sz w:val="22"/>
          <w:szCs w:val="22"/>
          <w:lang w:eastAsia="en-GB"/>
          <w14:ligatures w14:val="none"/>
        </w:rPr>
        <w:t>….</w:t>
      </w:r>
      <w:r w:rsidR="00650AFD">
        <w:rPr>
          <w:rFonts w:ascii="Arial" w:eastAsia="Times New Roman" w:hAnsi="Arial" w:cs="Arial"/>
          <w:color w:val="222222"/>
          <w:kern w:val="0"/>
          <w:sz w:val="22"/>
          <w:szCs w:val="22"/>
          <w:lang w:eastAsia="en-GB"/>
          <w14:ligatures w14:val="none"/>
        </w:rPr>
        <w:t>3</w:t>
      </w:r>
    </w:p>
    <w:p w14:paraId="54011C15" w14:textId="21582350" w:rsidR="007D006A" w:rsidRDefault="007D006A"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E</w:t>
      </w:r>
      <w:r w:rsidR="001C6B24">
        <w:rPr>
          <w:rFonts w:ascii="Arial" w:eastAsia="Times New Roman" w:hAnsi="Arial" w:cs="Arial"/>
          <w:color w:val="222222"/>
          <w:kern w:val="0"/>
          <w:sz w:val="22"/>
          <w:szCs w:val="22"/>
          <w:lang w:eastAsia="en-GB"/>
          <w14:ligatures w14:val="none"/>
        </w:rPr>
        <w:t>FFECTIVE COMMUNICATION</w:t>
      </w:r>
      <w:r w:rsidR="001727A9">
        <w:rPr>
          <w:rFonts w:ascii="Arial" w:eastAsia="Times New Roman" w:hAnsi="Arial" w:cs="Arial"/>
          <w:color w:val="222222"/>
          <w:kern w:val="0"/>
          <w:sz w:val="22"/>
          <w:szCs w:val="22"/>
          <w:lang w:eastAsia="en-GB"/>
          <w14:ligatures w14:val="none"/>
        </w:rPr>
        <w:t xml:space="preserve">                                         </w:t>
      </w:r>
      <w:r w:rsidR="002F6B14">
        <w:rPr>
          <w:rFonts w:ascii="Arial" w:eastAsia="Times New Roman" w:hAnsi="Arial" w:cs="Arial"/>
          <w:color w:val="222222"/>
          <w:kern w:val="0"/>
          <w:sz w:val="22"/>
          <w:szCs w:val="22"/>
          <w:lang w:eastAsia="en-GB"/>
          <w14:ligatures w14:val="none"/>
        </w:rPr>
        <w:t xml:space="preserve">  </w:t>
      </w:r>
      <w:r w:rsidR="008D0DB4">
        <w:rPr>
          <w:rFonts w:ascii="Arial" w:eastAsia="Times New Roman" w:hAnsi="Arial" w:cs="Arial"/>
          <w:color w:val="222222"/>
          <w:kern w:val="0"/>
          <w:sz w:val="22"/>
          <w:szCs w:val="22"/>
          <w:lang w:eastAsia="en-GB"/>
          <w14:ligatures w14:val="none"/>
        </w:rPr>
        <w:t xml:space="preserve">      </w:t>
      </w:r>
      <w:r w:rsidR="002F6B14">
        <w:rPr>
          <w:rFonts w:ascii="Arial" w:eastAsia="Times New Roman" w:hAnsi="Arial" w:cs="Arial"/>
          <w:color w:val="222222"/>
          <w:kern w:val="0"/>
          <w:sz w:val="22"/>
          <w:szCs w:val="22"/>
          <w:lang w:eastAsia="en-GB"/>
          <w14:ligatures w14:val="none"/>
        </w:rPr>
        <w:t xml:space="preserve"> </w:t>
      </w:r>
      <w:r w:rsidR="00ED054A">
        <w:rPr>
          <w:rFonts w:ascii="Arial" w:eastAsia="Times New Roman" w:hAnsi="Arial" w:cs="Arial"/>
          <w:color w:val="222222"/>
          <w:kern w:val="0"/>
          <w:sz w:val="22"/>
          <w:szCs w:val="22"/>
          <w:lang w:eastAsia="en-GB"/>
          <w14:ligatures w14:val="none"/>
        </w:rPr>
        <w:t>……………………………</w:t>
      </w:r>
      <w:r w:rsidR="00AE7855">
        <w:rPr>
          <w:rFonts w:ascii="Arial" w:eastAsia="Times New Roman" w:hAnsi="Arial" w:cs="Arial"/>
          <w:color w:val="222222"/>
          <w:kern w:val="0"/>
          <w:sz w:val="22"/>
          <w:szCs w:val="22"/>
          <w:lang w:eastAsia="en-GB"/>
          <w14:ligatures w14:val="none"/>
        </w:rPr>
        <w:t>4-5</w:t>
      </w:r>
    </w:p>
    <w:p w14:paraId="082959D9" w14:textId="3212F795" w:rsidR="00ED054A" w:rsidRDefault="000936A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A</w:t>
      </w:r>
      <w:r w:rsidR="007124FA">
        <w:rPr>
          <w:rFonts w:ascii="Arial" w:eastAsia="Times New Roman" w:hAnsi="Arial" w:cs="Arial"/>
          <w:color w:val="222222"/>
          <w:kern w:val="0"/>
          <w:sz w:val="22"/>
          <w:szCs w:val="22"/>
          <w:lang w:eastAsia="en-GB"/>
          <w14:ligatures w14:val="none"/>
        </w:rPr>
        <w:t xml:space="preserve">DMINISTRATIVE SKILLS IN PROFESSIONAL </w:t>
      </w:r>
      <w:r w:rsidR="00AE7855">
        <w:rPr>
          <w:rFonts w:ascii="Arial" w:eastAsia="Times New Roman" w:hAnsi="Arial" w:cs="Arial"/>
          <w:color w:val="222222"/>
          <w:kern w:val="0"/>
          <w:sz w:val="22"/>
          <w:szCs w:val="22"/>
          <w:lang w:eastAsia="en-GB"/>
          <w14:ligatures w14:val="none"/>
        </w:rPr>
        <w:t>PRACTICE</w:t>
      </w:r>
      <w:r w:rsidR="008D0DB4">
        <w:rPr>
          <w:rFonts w:ascii="Arial" w:eastAsia="Times New Roman" w:hAnsi="Arial" w:cs="Arial"/>
          <w:color w:val="222222"/>
          <w:kern w:val="0"/>
          <w:sz w:val="22"/>
          <w:szCs w:val="22"/>
          <w:lang w:eastAsia="en-GB"/>
          <w14:ligatures w14:val="none"/>
        </w:rPr>
        <w:t xml:space="preserve">    ……………………………...</w:t>
      </w:r>
      <w:r w:rsidR="005C59E5">
        <w:rPr>
          <w:rFonts w:ascii="Arial" w:eastAsia="Times New Roman" w:hAnsi="Arial" w:cs="Arial"/>
          <w:color w:val="222222"/>
          <w:kern w:val="0"/>
          <w:sz w:val="22"/>
          <w:szCs w:val="22"/>
          <w:lang w:eastAsia="en-GB"/>
          <w14:ligatures w14:val="none"/>
        </w:rPr>
        <w:t>6-</w:t>
      </w:r>
      <w:r w:rsidR="00AE7855">
        <w:rPr>
          <w:rFonts w:ascii="Arial" w:eastAsia="Times New Roman" w:hAnsi="Arial" w:cs="Arial"/>
          <w:color w:val="222222"/>
          <w:kern w:val="0"/>
          <w:sz w:val="22"/>
          <w:szCs w:val="22"/>
          <w:lang w:eastAsia="en-GB"/>
          <w14:ligatures w14:val="none"/>
        </w:rPr>
        <w:t>7</w:t>
      </w:r>
    </w:p>
    <w:p w14:paraId="7732A674" w14:textId="14820493" w:rsidR="00CD03E4" w:rsidRDefault="00DE5E5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C</w:t>
      </w:r>
      <w:r w:rsidR="00902A0F">
        <w:rPr>
          <w:rFonts w:ascii="Arial" w:eastAsia="Times New Roman" w:hAnsi="Arial" w:cs="Arial"/>
          <w:color w:val="222222"/>
          <w:kern w:val="0"/>
          <w:sz w:val="22"/>
          <w:szCs w:val="22"/>
          <w:lang w:eastAsia="en-GB"/>
          <w14:ligatures w14:val="none"/>
        </w:rPr>
        <w:t>OLLABORATIVE WORK</w:t>
      </w:r>
      <w:r w:rsidR="00990DA8">
        <w:rPr>
          <w:rFonts w:ascii="Arial" w:eastAsia="Times New Roman" w:hAnsi="Arial" w:cs="Arial"/>
          <w:color w:val="222222"/>
          <w:kern w:val="0"/>
          <w:sz w:val="22"/>
          <w:szCs w:val="22"/>
          <w:lang w:eastAsia="en-GB"/>
          <w14:ligatures w14:val="none"/>
        </w:rPr>
        <w:t>ING</w:t>
      </w:r>
      <w:r w:rsidR="00E72857">
        <w:rPr>
          <w:rFonts w:ascii="Arial" w:eastAsia="Times New Roman" w:hAnsi="Arial" w:cs="Arial"/>
          <w:color w:val="222222"/>
          <w:kern w:val="0"/>
          <w:sz w:val="22"/>
          <w:szCs w:val="22"/>
          <w:lang w:eastAsia="en-GB"/>
          <w14:ligatures w14:val="none"/>
        </w:rPr>
        <w:t xml:space="preserve">                                                </w:t>
      </w:r>
      <w:r w:rsidR="002A1295">
        <w:rPr>
          <w:rFonts w:ascii="Arial" w:eastAsia="Times New Roman" w:hAnsi="Arial" w:cs="Arial"/>
          <w:color w:val="222222"/>
          <w:kern w:val="0"/>
          <w:sz w:val="22"/>
          <w:szCs w:val="22"/>
          <w:lang w:eastAsia="en-GB"/>
          <w14:ligatures w14:val="none"/>
        </w:rPr>
        <w:t>………………………………</w:t>
      </w:r>
      <w:r w:rsidR="00EB07AF">
        <w:rPr>
          <w:rFonts w:ascii="Arial" w:eastAsia="Times New Roman" w:hAnsi="Arial" w:cs="Arial"/>
          <w:color w:val="222222"/>
          <w:kern w:val="0"/>
          <w:sz w:val="22"/>
          <w:szCs w:val="22"/>
          <w:lang w:eastAsia="en-GB"/>
          <w14:ligatures w14:val="none"/>
        </w:rPr>
        <w:t>..7-</w:t>
      </w:r>
      <w:r w:rsidR="000F788B">
        <w:rPr>
          <w:rFonts w:ascii="Arial" w:eastAsia="Times New Roman" w:hAnsi="Arial" w:cs="Arial"/>
          <w:color w:val="222222"/>
          <w:kern w:val="0"/>
          <w:sz w:val="22"/>
          <w:szCs w:val="22"/>
          <w:lang w:eastAsia="en-GB"/>
          <w14:ligatures w14:val="none"/>
        </w:rPr>
        <w:t>8</w:t>
      </w:r>
    </w:p>
    <w:p w14:paraId="7A66F2FE" w14:textId="07D94EBC" w:rsidR="002A1295" w:rsidRDefault="002A1295"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t>C</w:t>
      </w:r>
      <w:r w:rsidR="00990DA8">
        <w:rPr>
          <w:rFonts w:ascii="Arial" w:eastAsia="Times New Roman" w:hAnsi="Arial" w:cs="Arial"/>
          <w:color w:val="222222"/>
          <w:kern w:val="0"/>
          <w:sz w:val="22"/>
          <w:szCs w:val="22"/>
          <w:lang w:eastAsia="en-GB"/>
          <w14:ligatures w14:val="none"/>
        </w:rPr>
        <w:t>ONCLUSION</w:t>
      </w:r>
      <w:r w:rsidR="007B32C0">
        <w:rPr>
          <w:rFonts w:ascii="Arial" w:eastAsia="Times New Roman" w:hAnsi="Arial" w:cs="Arial"/>
          <w:color w:val="222222"/>
          <w:kern w:val="0"/>
          <w:sz w:val="22"/>
          <w:szCs w:val="22"/>
          <w:lang w:eastAsia="en-GB"/>
          <w14:ligatures w14:val="none"/>
        </w:rPr>
        <w:t xml:space="preserve">                                                                 </w:t>
      </w:r>
      <w:r w:rsidR="00AE7855">
        <w:rPr>
          <w:rFonts w:ascii="Arial" w:eastAsia="Times New Roman" w:hAnsi="Arial" w:cs="Arial"/>
          <w:color w:val="222222"/>
          <w:kern w:val="0"/>
          <w:sz w:val="22"/>
          <w:szCs w:val="22"/>
          <w:lang w:eastAsia="en-GB"/>
          <w14:ligatures w14:val="none"/>
        </w:rPr>
        <w:t xml:space="preserve">        </w:t>
      </w:r>
      <w:r w:rsidR="007B32C0">
        <w:rPr>
          <w:rFonts w:ascii="Arial" w:eastAsia="Times New Roman" w:hAnsi="Arial" w:cs="Arial"/>
          <w:color w:val="222222"/>
          <w:kern w:val="0"/>
          <w:sz w:val="22"/>
          <w:szCs w:val="22"/>
          <w:lang w:eastAsia="en-GB"/>
          <w14:ligatures w14:val="none"/>
        </w:rPr>
        <w:t>………………………………….</w:t>
      </w:r>
      <w:r w:rsidR="00EA2A16">
        <w:rPr>
          <w:rFonts w:ascii="Arial" w:eastAsia="Times New Roman" w:hAnsi="Arial" w:cs="Arial"/>
          <w:color w:val="222222"/>
          <w:kern w:val="0"/>
          <w:sz w:val="22"/>
          <w:szCs w:val="22"/>
          <w:lang w:eastAsia="en-GB"/>
          <w14:ligatures w14:val="none"/>
        </w:rPr>
        <w:t>9</w:t>
      </w:r>
    </w:p>
    <w:p w14:paraId="6FFBC880" w14:textId="1E7914D8" w:rsidR="000437F9" w:rsidRPr="00D21246" w:rsidRDefault="004A230E" w:rsidP="00D21246">
      <w:pPr>
        <w:shd w:val="clear" w:color="auto" w:fill="FFFFFF"/>
        <w:spacing w:line="360" w:lineRule="atLeast"/>
        <w:jc w:val="both"/>
        <w:rPr>
          <w:rFonts w:ascii="Aptos" w:eastAsia="Times New Roman" w:hAnsi="Aptos" w:cs="Times New Roman"/>
          <w:color w:val="222222"/>
          <w:kern w:val="0"/>
          <w:lang w:eastAsia="en-GB"/>
          <w14:ligatures w14:val="none"/>
        </w:rPr>
      </w:pPr>
      <w:r>
        <w:rPr>
          <w:rFonts w:ascii="Arial" w:eastAsia="Times New Roman" w:hAnsi="Arial" w:cs="Arial"/>
          <w:color w:val="222222"/>
          <w:kern w:val="0"/>
          <w:sz w:val="22"/>
          <w:szCs w:val="22"/>
          <w:lang w:eastAsia="en-GB"/>
          <w14:ligatures w14:val="none"/>
        </w:rPr>
        <w:t>R</w:t>
      </w:r>
      <w:r w:rsidR="00990DA8">
        <w:rPr>
          <w:rFonts w:ascii="Arial" w:eastAsia="Times New Roman" w:hAnsi="Arial" w:cs="Arial"/>
          <w:color w:val="222222"/>
          <w:kern w:val="0"/>
          <w:sz w:val="22"/>
          <w:szCs w:val="22"/>
          <w:lang w:eastAsia="en-GB"/>
          <w14:ligatures w14:val="none"/>
        </w:rPr>
        <w:t>EFERENCES</w:t>
      </w:r>
      <w:r>
        <w:rPr>
          <w:rFonts w:ascii="Arial" w:eastAsia="Times New Roman" w:hAnsi="Arial" w:cs="Arial"/>
          <w:color w:val="222222"/>
          <w:kern w:val="0"/>
          <w:sz w:val="22"/>
          <w:szCs w:val="22"/>
          <w:lang w:eastAsia="en-GB"/>
          <w14:ligatures w14:val="none"/>
        </w:rPr>
        <w:t xml:space="preserve">                                                               …………………………………………….</w:t>
      </w:r>
      <w:r w:rsidR="00EA2A16">
        <w:rPr>
          <w:rFonts w:ascii="Arial" w:eastAsia="Times New Roman" w:hAnsi="Arial" w:cs="Arial"/>
          <w:color w:val="222222"/>
          <w:kern w:val="0"/>
          <w:sz w:val="22"/>
          <w:szCs w:val="22"/>
          <w:lang w:eastAsia="en-GB"/>
          <w14:ligatures w14:val="none"/>
        </w:rPr>
        <w:t>10</w:t>
      </w:r>
    </w:p>
    <w:p w14:paraId="41264829" w14:textId="77777777" w:rsidR="00D21246" w:rsidRPr="00D21246" w:rsidRDefault="00D21246" w:rsidP="00D21246">
      <w:pPr>
        <w:shd w:val="clear" w:color="auto" w:fill="FFFFFF"/>
        <w:spacing w:line="360" w:lineRule="atLeast"/>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74AB1EB7" w14:textId="77777777" w:rsidR="00D21246" w:rsidRPr="00D21246" w:rsidRDefault="00D21246" w:rsidP="00D21246">
      <w:pPr>
        <w:shd w:val="clear" w:color="auto" w:fill="FFFFFF"/>
        <w:spacing w:line="360" w:lineRule="atLeast"/>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224F4914" w14:textId="77777777" w:rsidR="00A6687C" w:rsidRDefault="00A6687C"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374864D9" w14:textId="77777777" w:rsidR="00A6687C" w:rsidRDefault="00A6687C"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2A8B55D1" w14:textId="77777777" w:rsidR="00A6687C" w:rsidRDefault="00A6687C"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3FFB684C" w14:textId="77777777" w:rsidR="00445046" w:rsidRDefault="00D21246" w:rsidP="00D21246">
      <w:pPr>
        <w:shd w:val="clear" w:color="auto" w:fill="FFFFFF"/>
        <w:spacing w:line="360" w:lineRule="atLeast"/>
        <w:rPr>
          <w:rFonts w:ascii="Arial" w:eastAsia="Times New Roman" w:hAnsi="Arial" w:cs="Arial"/>
          <w:color w:val="222222"/>
          <w:kern w:val="0"/>
          <w:sz w:val="22"/>
          <w:szCs w:val="22"/>
          <w:lang w:eastAsia="en-GB"/>
          <w14:ligatures w14:val="none"/>
        </w:rPr>
      </w:pPr>
      <w:r w:rsidRPr="00D21246">
        <w:rPr>
          <w:rFonts w:ascii="Arial" w:eastAsia="Times New Roman" w:hAnsi="Arial" w:cs="Arial"/>
          <w:color w:val="222222"/>
          <w:kern w:val="0"/>
          <w:sz w:val="22"/>
          <w:szCs w:val="22"/>
          <w:lang w:eastAsia="en-GB"/>
          <w14:ligatures w14:val="none"/>
        </w:rPr>
        <w:t> </w:t>
      </w:r>
    </w:p>
    <w:p w14:paraId="7DC7ABB2"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18C29C66"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21A00D8F"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4BB4CD5F"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591E7A62"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0A884350"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76CFEBC5"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6942ADF7"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55F2A745"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4EB54657"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24C964A4"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3155C8E0" w14:textId="77777777" w:rsidR="00445046" w:rsidRDefault="0044504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61220D4A" w14:textId="77777777" w:rsidR="00C87036" w:rsidRDefault="00C87036"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06A9BA9E" w14:textId="77777777" w:rsidR="00E1111E" w:rsidRDefault="00E1111E" w:rsidP="00D21246">
      <w:pPr>
        <w:shd w:val="clear" w:color="auto" w:fill="FFFFFF"/>
        <w:spacing w:line="360" w:lineRule="atLeast"/>
        <w:rPr>
          <w:rFonts w:ascii="Arial" w:eastAsia="Times New Roman" w:hAnsi="Arial" w:cs="Arial"/>
          <w:color w:val="222222"/>
          <w:kern w:val="0"/>
          <w:sz w:val="22"/>
          <w:szCs w:val="22"/>
          <w:lang w:eastAsia="en-GB"/>
          <w14:ligatures w14:val="none"/>
        </w:rPr>
      </w:pPr>
    </w:p>
    <w:p w14:paraId="2FD93773" w14:textId="3ED1835F" w:rsidR="00D21246" w:rsidRDefault="00D21246" w:rsidP="00D21246">
      <w:pPr>
        <w:shd w:val="clear" w:color="auto" w:fill="FFFFFF"/>
        <w:spacing w:line="360" w:lineRule="atLeast"/>
        <w:rPr>
          <w:rFonts w:ascii="Arial" w:eastAsia="Times New Roman" w:hAnsi="Arial" w:cs="Arial"/>
          <w:color w:val="222222"/>
          <w:kern w:val="0"/>
          <w:sz w:val="22"/>
          <w:szCs w:val="22"/>
          <w:lang w:eastAsia="en-GB"/>
          <w14:ligatures w14:val="none"/>
        </w:rPr>
      </w:pPr>
      <w:r w:rsidRPr="00D21246">
        <w:rPr>
          <w:rFonts w:ascii="Arial" w:eastAsia="Times New Roman" w:hAnsi="Arial" w:cs="Arial"/>
          <w:color w:val="222222"/>
          <w:kern w:val="0"/>
          <w:sz w:val="22"/>
          <w:szCs w:val="22"/>
          <w:lang w:eastAsia="en-GB"/>
          <w14:ligatures w14:val="none"/>
        </w:rPr>
        <w:t>INTRODUCTION</w:t>
      </w:r>
    </w:p>
    <w:p w14:paraId="04BCFA02" w14:textId="77777777" w:rsidR="00A6687C" w:rsidRPr="00D21246" w:rsidRDefault="00A6687C" w:rsidP="00D21246">
      <w:pPr>
        <w:shd w:val="clear" w:color="auto" w:fill="FFFFFF"/>
        <w:spacing w:line="360" w:lineRule="atLeast"/>
        <w:rPr>
          <w:rFonts w:ascii="Aptos" w:eastAsia="Times New Roman" w:hAnsi="Aptos" w:cs="Times New Roman"/>
          <w:color w:val="222222"/>
          <w:kern w:val="0"/>
          <w:lang w:eastAsia="en-GB"/>
          <w14:ligatures w14:val="none"/>
        </w:rPr>
      </w:pPr>
    </w:p>
    <w:p w14:paraId="3B30F797" w14:textId="71EA8C0B"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This report examines the critical aspects of (Mrs. Thompson’s, will be referred to as: Patient.) care following her recent discharge from the hospital after pneumonia treatment. As an 84-year-old living independently with mild dementia. The Patient</w:t>
      </w:r>
      <w:r w:rsidR="00A625FE">
        <w:rPr>
          <w:rFonts w:ascii="Arial" w:eastAsia="Times New Roman" w:hAnsi="Arial" w:cs="Arial"/>
          <w:color w:val="222222"/>
          <w:kern w:val="0"/>
          <w:sz w:val="22"/>
          <w:szCs w:val="22"/>
          <w:lang w:eastAsia="en-GB"/>
          <w14:ligatures w14:val="none"/>
        </w:rPr>
        <w:t>’s</w:t>
      </w:r>
      <w:r w:rsidRPr="00D21246">
        <w:rPr>
          <w:rFonts w:ascii="Arial" w:eastAsia="Times New Roman" w:hAnsi="Arial" w:cs="Arial"/>
          <w:color w:val="222222"/>
          <w:kern w:val="0"/>
          <w:sz w:val="22"/>
          <w:szCs w:val="22"/>
          <w:lang w:eastAsia="en-GB"/>
          <w14:ligatures w14:val="none"/>
        </w:rPr>
        <w:t xml:space="preserve"> situation highlights the challenges in ensuring effective communication, accurate medication administration, and collaborative efforts between professionals. The report delves into incidents where she missed her medications and was found outside inadequately dressed, prompting a medication review and a safeguarding inquiry. By applying relevant legislation, such as the Equality Act 2010 and the Data Protection Act 2018, alongside professional guidance this report emphasises the importance of evidence-based practices in delivering high-quality person-centred care. The focus is on fostering an environment where Patient’s needs are met with dignity and respect, ensuring her safety and well-being through coordinated efforts among caregivers and healthcare professionals.</w:t>
      </w:r>
    </w:p>
    <w:p w14:paraId="60973A43"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76BA8B6B" w14:textId="77777777" w:rsidR="00FF271D" w:rsidRDefault="00FF271D"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343D691"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5909EA7"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EDB7DCE"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92BA9C2"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E08814F"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35E0FC5"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879A91F"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47884286"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5C9C4B68"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D75EB02"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9A18655" w14:textId="77777777" w:rsidR="00896C58" w:rsidRDefault="00896C58"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6C444F6" w14:textId="77777777" w:rsidR="00C87036" w:rsidRDefault="00C87036"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80E0C9E"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55A5A19"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E6B07ED" w14:textId="6E06C903" w:rsidR="00A6687C" w:rsidRPr="00654C58" w:rsidRDefault="00D21246"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sidRPr="00D21246">
        <w:rPr>
          <w:rFonts w:ascii="Arial" w:eastAsia="Times New Roman" w:hAnsi="Arial" w:cs="Arial"/>
          <w:color w:val="222222"/>
          <w:kern w:val="0"/>
          <w:sz w:val="22"/>
          <w:szCs w:val="22"/>
          <w:lang w:eastAsia="en-GB"/>
          <w14:ligatures w14:val="none"/>
        </w:rPr>
        <w:t>1.E</w:t>
      </w:r>
      <w:r w:rsidR="00233670">
        <w:rPr>
          <w:rFonts w:ascii="Arial" w:eastAsia="Times New Roman" w:hAnsi="Arial" w:cs="Arial"/>
          <w:color w:val="222222"/>
          <w:kern w:val="0"/>
          <w:sz w:val="22"/>
          <w:szCs w:val="22"/>
          <w:lang w:eastAsia="en-GB"/>
          <w14:ligatures w14:val="none"/>
        </w:rPr>
        <w:t>FFECTIVE COMMUNICATION</w:t>
      </w:r>
    </w:p>
    <w:p w14:paraId="1FC75AF7" w14:textId="27CDB24F"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xml:space="preserve">Effective communication is essential for clarity of communication.  The Patients, like Who has a mild dementia, may experience memory loss, confusion, and difficulty processing information. Health care professionals must therefore tailor their communications to her specific needs. whilst promoting dignity, independence, and well-being (Nursing </w:t>
      </w:r>
      <w:r w:rsidR="00530528" w:rsidRPr="00D21246">
        <w:rPr>
          <w:rFonts w:ascii="Arial" w:eastAsia="Times New Roman" w:hAnsi="Arial" w:cs="Arial"/>
          <w:color w:val="222222"/>
          <w:kern w:val="0"/>
          <w:sz w:val="22"/>
          <w:szCs w:val="22"/>
          <w:lang w:eastAsia="en-GB"/>
          <w14:ligatures w14:val="none"/>
        </w:rPr>
        <w:t>and</w:t>
      </w:r>
      <w:r w:rsidRPr="00D21246">
        <w:rPr>
          <w:rFonts w:ascii="Arial" w:eastAsia="Times New Roman" w:hAnsi="Arial" w:cs="Arial"/>
          <w:color w:val="222222"/>
          <w:kern w:val="0"/>
          <w:sz w:val="22"/>
          <w:szCs w:val="22"/>
          <w:lang w:eastAsia="en-GB"/>
          <w14:ligatures w14:val="none"/>
        </w:rPr>
        <w:t xml:space="preserve"> Midwifery Council (NMC),2018).</w:t>
      </w:r>
    </w:p>
    <w:p w14:paraId="3DF97472" w14:textId="38611CB1"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xml:space="preserve">When communicating, in the case </w:t>
      </w:r>
      <w:r w:rsidR="0010345B" w:rsidRPr="00D21246">
        <w:rPr>
          <w:rFonts w:ascii="Arial" w:eastAsia="Times New Roman" w:hAnsi="Arial" w:cs="Arial"/>
          <w:color w:val="222222"/>
          <w:kern w:val="0"/>
          <w:sz w:val="22"/>
          <w:szCs w:val="22"/>
          <w:lang w:eastAsia="en-GB"/>
          <w14:ligatures w14:val="none"/>
        </w:rPr>
        <w:t xml:space="preserve">of </w:t>
      </w:r>
      <w:r w:rsidR="00530528" w:rsidRPr="00D21246">
        <w:rPr>
          <w:rFonts w:ascii="Arial" w:eastAsia="Times New Roman" w:hAnsi="Arial" w:cs="Arial"/>
          <w:color w:val="222222"/>
          <w:kern w:val="0"/>
          <w:sz w:val="22"/>
          <w:szCs w:val="22"/>
          <w:lang w:eastAsia="en-GB"/>
          <w14:ligatures w14:val="none"/>
        </w:rPr>
        <w:t>patient</w:t>
      </w:r>
      <w:r w:rsidRPr="00D21246">
        <w:rPr>
          <w:rFonts w:ascii="Arial" w:eastAsia="Times New Roman" w:hAnsi="Arial" w:cs="Arial"/>
          <w:color w:val="222222"/>
          <w:kern w:val="0"/>
          <w:sz w:val="22"/>
          <w:szCs w:val="22"/>
          <w:lang w:eastAsia="en-GB"/>
          <w14:ligatures w14:val="none"/>
        </w:rPr>
        <w:t>. Professionals would use simple language, and maintain eye contact, speak slowly, and give her enough time to comprehend and respond. Information should be presented in manageable chunks, and visual aids like medication charts, reminder notes, and dosage. Professionals would also practice active listening which involves paying attention to both verbal and nonverbal communication. This aids in detecting signs of confusion, anxiety, or distress, allowing staff to respond appropriately and provide reassurance (Health and Care Professions Council (HCPC),2024).</w:t>
      </w:r>
    </w:p>
    <w:p w14:paraId="25F51487"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Communication with Patient’s family members is equally as important. Family members should be involved in discussions about medication reviews, safeguarding concerns, and future care planning with her consent or where decisions are made in accordance with the Mental Capacity Act of 2005(MCA). Family members can provide important information about patient’s routines, preferences, and any behavioural changes they have noticed,</w:t>
      </w:r>
    </w:p>
    <w:p w14:paraId="46215416" w14:textId="0FD15FD6"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The Equality Act of 2010 provides legal protection against discrimination, based on protected characteristics such as age and disability. Because dementia is classified as a disability under the Act, health professionals, providers must make reasonable adjustments to ensure Patients can access services. These changes would include providing information in clear and easily, legible (Equality Act,2010).</w:t>
      </w:r>
    </w:p>
    <w:p w14:paraId="2CDE5130"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30EF37D"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058F160"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4B899C3E"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5B85CD7"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5922350"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667C7BD"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7A3B00E" w14:textId="3261A0EF"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xml:space="preserve">Berlo’s SMCR Model </w:t>
      </w:r>
      <w:r w:rsidR="00530528" w:rsidRPr="00D21246">
        <w:rPr>
          <w:rFonts w:ascii="Arial" w:eastAsia="Times New Roman" w:hAnsi="Arial" w:cs="Arial"/>
          <w:color w:val="222222"/>
          <w:kern w:val="0"/>
          <w:sz w:val="22"/>
          <w:szCs w:val="22"/>
          <w:lang w:eastAsia="en-GB"/>
          <w14:ligatures w14:val="none"/>
        </w:rPr>
        <w:t>of</w:t>
      </w:r>
      <w:r w:rsidRPr="00D21246">
        <w:rPr>
          <w:rFonts w:ascii="Arial" w:eastAsia="Times New Roman" w:hAnsi="Arial" w:cs="Arial"/>
          <w:color w:val="222222"/>
          <w:kern w:val="0"/>
          <w:sz w:val="22"/>
          <w:szCs w:val="22"/>
          <w:lang w:eastAsia="en-GB"/>
          <w14:ligatures w14:val="none"/>
        </w:rPr>
        <w:t xml:space="preserve"> Communication (Source, Message, Channel and Receiver) offers a useful framework for understanding effective communication in the case of (the patient) (Berlo 1960). In this model, the source is </w:t>
      </w:r>
      <w:r w:rsidR="003944CC" w:rsidRPr="00D21246">
        <w:rPr>
          <w:rFonts w:ascii="Arial" w:eastAsia="Times New Roman" w:hAnsi="Arial" w:cs="Arial"/>
          <w:color w:val="222222"/>
          <w:kern w:val="0"/>
          <w:sz w:val="22"/>
          <w:szCs w:val="22"/>
          <w:lang w:eastAsia="en-GB"/>
          <w14:ligatures w14:val="none"/>
        </w:rPr>
        <w:t>the</w:t>
      </w:r>
      <w:r w:rsidRPr="00D21246">
        <w:rPr>
          <w:rFonts w:ascii="Arial" w:eastAsia="Times New Roman" w:hAnsi="Arial" w:cs="Arial"/>
          <w:color w:val="222222"/>
          <w:kern w:val="0"/>
          <w:sz w:val="22"/>
          <w:szCs w:val="22"/>
          <w:lang w:eastAsia="en-GB"/>
          <w14:ligatures w14:val="none"/>
        </w:rPr>
        <w:t xml:space="preserve"> integrated Care, who communicates information. The message would include medication, instructions, or advice, for the colder seasons.  The channel refers to how the message is delivered which could be through spoken communication, written information or visual aids. Finally, Patient is the receiver, and her dementia may have an impact on how accurately the message is understood. Feedback is essential for confirming, understanding. For example, after explaining when to take medication a domiciliary care worker could ask Patient to repeat the instructions in her own words. If she appears confused, the message would be repeated in simpler language or reinforced with written reminders.</w:t>
      </w:r>
    </w:p>
    <w:p w14:paraId="2DA5B751" w14:textId="77777777" w:rsidR="00D21246" w:rsidRDefault="00D21246"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sidRPr="00D21246">
        <w:rPr>
          <w:rFonts w:ascii="Arial" w:eastAsia="Times New Roman" w:hAnsi="Arial" w:cs="Arial"/>
          <w:color w:val="222222"/>
          <w:kern w:val="0"/>
          <w:sz w:val="22"/>
          <w:szCs w:val="22"/>
          <w:lang w:eastAsia="en-GB"/>
          <w14:ligatures w14:val="none"/>
        </w:rPr>
        <w:t>Furthermore, Integrated Care Act 2008 (Regulated Activities) Regulations 2014 state that care should be person-centred, with individuals participating in decisions affecting their health and well-being. As a result, effective communication is critical in promoting Patient’s independence, encouraging medication adherence, strengthening family relationships and lowering the risks of future incidents.</w:t>
      </w:r>
    </w:p>
    <w:p w14:paraId="50F0FDB3" w14:textId="77777777" w:rsidR="00405899" w:rsidRDefault="00405899"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722BF18" w14:textId="77777777" w:rsidR="00222647" w:rsidRPr="00D21246" w:rsidRDefault="00222647" w:rsidP="00D21246">
      <w:pPr>
        <w:shd w:val="clear" w:color="auto" w:fill="FFFFFF"/>
        <w:spacing w:line="360" w:lineRule="atLeast"/>
        <w:jc w:val="both"/>
        <w:rPr>
          <w:rFonts w:ascii="Aptos" w:eastAsia="Times New Roman" w:hAnsi="Aptos" w:cs="Times New Roman"/>
          <w:color w:val="222222"/>
          <w:kern w:val="0"/>
          <w:lang w:eastAsia="en-GB"/>
          <w14:ligatures w14:val="none"/>
        </w:rPr>
      </w:pPr>
    </w:p>
    <w:p w14:paraId="2C0EAABA"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44AB4518"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7A89FAD"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8949734"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5BC78F2"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CC8D084"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E3A500A"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272DD21C"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38281B05"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5BD2EFAB"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9D2B7B8"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53B0F834" w14:textId="77777777" w:rsidR="00354DBC" w:rsidRDefault="00354DBC"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15AF597" w14:textId="43DEC178"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2.A</w:t>
      </w:r>
      <w:r w:rsidR="00EB4BCC">
        <w:rPr>
          <w:rFonts w:ascii="Arial" w:eastAsia="Times New Roman" w:hAnsi="Arial" w:cs="Arial"/>
          <w:color w:val="222222"/>
          <w:kern w:val="0"/>
          <w:sz w:val="22"/>
          <w:szCs w:val="22"/>
          <w:lang w:eastAsia="en-GB"/>
          <w14:ligatures w14:val="none"/>
        </w:rPr>
        <w:t>DMINISTRATIVE SKILLS IN PROFESSIONAL PRACTICE</w:t>
      </w:r>
    </w:p>
    <w:p w14:paraId="798C7C37"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Good administrative skills are critical in health and social care because they enable safe effective and person- centered care. Patient case requires effective administration because she has mild dementia, recently missed two days of medication, has experienced increased confusion, and is currently undergoing a safeguarding review. Accurate administration ensures community of care, improves communication among professionals and helps to reduce risks to vulnerable people. (Nursing and Midwifery Council,2018).</w:t>
      </w:r>
    </w:p>
    <w:p w14:paraId="1D864C6F"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One of the most important administrative responsibilities is to keep accurate and timely records. Records keeping, provides a clear record of care provided, changes in a service user’s condition, and actions taken by Integrated Care. Following Patient’s missed medication, the domiciliary care worker accurately documented the incident using the organisation’s incident reporting system. This allowed for a medication review to be scheduled and ensured that all professionals involved in her care were aware of the increased risks associated with medication nonadherence. Similarly recording the incident in which Patient was discovered outside without appropriate clothing serves as evidence for the safeguarding investigation and supports future risk assessment. (Care Quality Commission (CQC),2023).</w:t>
      </w:r>
    </w:p>
    <w:p w14:paraId="442EFAF1"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Professional records should always be factual, accurate, dated signed, and completed as soon as possible after an event. Staff should only record observed facts and avoid personal opinions. Accurate documentation supports clinical decision -making/improved communication between multidisciplinary teams and provides legal evidence should concern or investigations arise. (Nursing Midwifery Council,2018).</w:t>
      </w:r>
    </w:p>
    <w:p w14:paraId="595DC75E"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The Data Protection Act 2018, together with the UK General Data Protection Regulation (UK GDPR), governs how personal information is collected, stored, shared, and protected. (Data Protection Act ,2018). Patient’s records contain sensitive personal information including her medical history, medication records and safeguarding information. Therefore, Integrated Care have a legal duty to ensure that this information remains confidential and is only accessed by individuals directly involved.</w:t>
      </w:r>
    </w:p>
    <w:p w14:paraId="7DB6367D"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The Data Protection Act 2018’s principles require that personal information be processed lawfully, fairly and transparently. Data would only be collected for specific purposes, be relevant and limited to what is necessary, be accurate and up to date, stored securely, and remained for the period required by law (Data Protection Act,2018). In practice, Patient’s records would be stored in secure electronic systems protected by passwords or in locked filing cabinets.</w:t>
      </w:r>
    </w:p>
    <w:p w14:paraId="52555557"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lastRenderedPageBreak/>
        <w:t>Good administration also entails updating care plans, scheduling appointments, coordinating referrals, monitoring medication reviews, and ensuring that safety concerns are escalated promptly. In (Patient’s), after the medication incident, staff should revise her care plan to include more medication support, such as monitoring, dosage, reminder prompts, or increased supervision.</w:t>
      </w:r>
    </w:p>
    <w:p w14:paraId="2EB7D53B"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Several legal and professional frameworks encourage good administrative practice. Regulation 17 of the Health and Social Care Act 2018(Regulated Activities), Regulation 2014 mandates that providers keep accurate, complete, and secure records as part of good governance. The Care Act of 2014 also requires organisations to protect adults who are at risk of abuse or neglect through effective information sharing and coordinated care planning (Care Act,2014). Furthermore, the Care Quality Commission (CQC)expects providers to maintain secure records and effective governance systems that promote high-quality care (Care Quality Commission, 2023).</w:t>
      </w:r>
    </w:p>
    <w:p w14:paraId="5D7BFE1E" w14:textId="77777777" w:rsidR="00D21246" w:rsidRDefault="00D21246"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sidRPr="00D21246">
        <w:rPr>
          <w:rFonts w:ascii="Arial" w:eastAsia="Times New Roman" w:hAnsi="Arial" w:cs="Arial"/>
          <w:color w:val="222222"/>
          <w:kern w:val="0"/>
          <w:sz w:val="22"/>
          <w:szCs w:val="22"/>
          <w:lang w:eastAsia="en-GB"/>
          <w14:ligatures w14:val="none"/>
        </w:rPr>
        <w:t>Overall, strong administrative skills promote accountability, improve communication, assist with legal compliance, and contribute to safe, and co-ordinated, in person-centred care.  </w:t>
      </w:r>
    </w:p>
    <w:p w14:paraId="4A527736" w14:textId="77777777" w:rsidR="00E63418" w:rsidRPr="00D21246" w:rsidRDefault="00E63418" w:rsidP="00D21246">
      <w:pPr>
        <w:shd w:val="clear" w:color="auto" w:fill="FFFFFF"/>
        <w:spacing w:line="360" w:lineRule="atLeast"/>
        <w:jc w:val="both"/>
        <w:rPr>
          <w:rFonts w:ascii="Aptos" w:eastAsia="Times New Roman" w:hAnsi="Aptos" w:cs="Times New Roman"/>
          <w:color w:val="222222"/>
          <w:kern w:val="0"/>
          <w:lang w:eastAsia="en-GB"/>
          <w14:ligatures w14:val="none"/>
        </w:rPr>
      </w:pPr>
    </w:p>
    <w:p w14:paraId="2535B991"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D36F38B" w14:textId="77777777" w:rsidR="00E1111E" w:rsidRDefault="00E1111E"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5F94F3E" w14:textId="191CB420"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3.</w:t>
      </w:r>
      <w:r w:rsidR="006740E9">
        <w:rPr>
          <w:rFonts w:ascii="Arial" w:eastAsia="Times New Roman" w:hAnsi="Arial" w:cs="Arial"/>
          <w:color w:val="222222"/>
          <w:kern w:val="0"/>
          <w:sz w:val="22"/>
          <w:szCs w:val="22"/>
          <w:lang w:eastAsia="en-GB"/>
          <w14:ligatures w14:val="none"/>
        </w:rPr>
        <w:t>COLLABORAT</w:t>
      </w:r>
      <w:r w:rsidR="009561B7">
        <w:rPr>
          <w:rFonts w:ascii="Arial" w:eastAsia="Times New Roman" w:hAnsi="Arial" w:cs="Arial"/>
          <w:color w:val="222222"/>
          <w:kern w:val="0"/>
          <w:sz w:val="22"/>
          <w:szCs w:val="22"/>
          <w:lang w:eastAsia="en-GB"/>
          <w14:ligatures w14:val="none"/>
        </w:rPr>
        <w:t>IVE WORKING</w:t>
      </w:r>
    </w:p>
    <w:p w14:paraId="7862006C"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Collaboration is essential in providing safe, effective in person-centred care to people with complex needs like (Patient.) She was recently discharged from the hospital, and has, a mild dementia, and has had medication management issues as well as safety concerns, so a multidisciplinary approach is required to meet her physical, emotional, and social requirements.</w:t>
      </w:r>
    </w:p>
    <w:p w14:paraId="62B715A9"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Several professionals play important roles in (Patient). Her General Practitioner (GP) is in charge of reviewing her medications, monitoring her recovery from pneumonia, and accessing any changes in her physical or mental health. The community nurse monitors her overall health, provides clinical support, and detects any deterioration that may necessitate additional treatment. Domiciliary care workers   provide personal care, medication reminders, nutrition, and daily living activities, as well as monitoring and reporting on any changes in her condition. A pharmacist can review her medications and recommend compliance aids like monitored dosage systems, while a local authority social worker coordinate safeguarding investigation, assesses ongoing support needs and reviews her care plan as needed (National Health Services (NHS),2019).</w:t>
      </w:r>
    </w:p>
    <w:p w14:paraId="7BA3114A" w14:textId="13D969D1"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lastRenderedPageBreak/>
        <w:t>Effective collaboration depends upon clear communication mutual respect and shared responsibility between professionals. Regular multidisciplinary meetings, accurate record</w:t>
      </w:r>
      <w:r w:rsidR="00FA4702">
        <w:rPr>
          <w:rFonts w:ascii="Aptos" w:eastAsia="Times New Roman" w:hAnsi="Aptos" w:cs="Times New Roman"/>
          <w:color w:val="222222"/>
          <w:kern w:val="0"/>
          <w:lang w:eastAsia="en-GB"/>
          <w14:ligatures w14:val="none"/>
        </w:rPr>
        <w:t xml:space="preserve"> </w:t>
      </w:r>
      <w:r w:rsidRPr="00D21246">
        <w:rPr>
          <w:rFonts w:ascii="Arial" w:eastAsia="Times New Roman" w:hAnsi="Arial" w:cs="Arial"/>
          <w:color w:val="222222"/>
          <w:kern w:val="0"/>
          <w:sz w:val="22"/>
          <w:szCs w:val="22"/>
          <w:lang w:eastAsia="en-GB"/>
          <w14:ligatures w14:val="none"/>
        </w:rPr>
        <w:t>keeping, timely referrals and secure information sharing enable professionals to make informed decisions and provide coordinated care (Health and Social Care Act 2008(Regulated Activities) Regulations,2014) involving (Patient) and where appropriate, her family in care planning also supports person-centred practice and improves decision-making (NMC,2018).</w:t>
      </w:r>
    </w:p>
    <w:p w14:paraId="39DB4CED"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However, multi-agency working can present challenges. These may include poor communication, delays in information sharing, unclear professional roles, different organisational priorities and concerns about confidentiality. Such challenges can result in fragmented care and increase risks for vulnerable individuals.</w:t>
      </w:r>
    </w:p>
    <w:p w14:paraId="2D23027B" w14:textId="77777777" w:rsidR="00D21246" w:rsidRDefault="00D21246"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sidRPr="00D21246">
        <w:rPr>
          <w:rFonts w:ascii="Arial" w:eastAsia="Times New Roman" w:hAnsi="Arial" w:cs="Arial"/>
          <w:color w:val="222222"/>
          <w:kern w:val="0"/>
          <w:sz w:val="22"/>
          <w:szCs w:val="22"/>
          <w:lang w:eastAsia="en-GB"/>
          <w14:ligatures w14:val="none"/>
        </w:rPr>
        <w:t>These challenges can be addressed through clearly defined professional responsibilities, regular case records, effective leadership and difference to agreed safeguarding procedures. Professionals should follow local information sharing protocols while complying with the Data Protection Act 2018 to ensure confidential information is shared appropriately (Data Protection Act ,2018). By working collaboratively, professionals can improve continuity of care, reduce risks and promote (Patient’s) independence, dignity and overall wellbeing.</w:t>
      </w:r>
    </w:p>
    <w:p w14:paraId="7E39768D" w14:textId="77777777" w:rsidR="002259AD" w:rsidRDefault="002259AD"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6D03F5A" w14:textId="77777777" w:rsidR="002259AD" w:rsidRPr="00D21246" w:rsidRDefault="002259AD" w:rsidP="00D21246">
      <w:pPr>
        <w:shd w:val="clear" w:color="auto" w:fill="FFFFFF"/>
        <w:spacing w:line="360" w:lineRule="atLeast"/>
        <w:jc w:val="both"/>
        <w:rPr>
          <w:rFonts w:ascii="Aptos" w:eastAsia="Times New Roman" w:hAnsi="Aptos" w:cs="Times New Roman"/>
          <w:color w:val="222222"/>
          <w:kern w:val="0"/>
          <w:lang w:eastAsia="en-GB"/>
          <w14:ligatures w14:val="none"/>
        </w:rPr>
      </w:pPr>
    </w:p>
    <w:p w14:paraId="252E4C21" w14:textId="77777777" w:rsidR="009D0273" w:rsidRDefault="00D21246"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sidRPr="00D21246">
        <w:rPr>
          <w:rFonts w:ascii="Arial" w:eastAsia="Times New Roman" w:hAnsi="Arial" w:cs="Arial"/>
          <w:color w:val="222222"/>
          <w:kern w:val="0"/>
          <w:sz w:val="22"/>
          <w:szCs w:val="22"/>
          <w:lang w:eastAsia="en-GB"/>
          <w14:ligatures w14:val="none"/>
        </w:rPr>
        <w:t> </w:t>
      </w:r>
    </w:p>
    <w:p w14:paraId="23F6B2D5" w14:textId="77777777" w:rsidR="009D0273" w:rsidRDefault="009D0273"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4A9E956E" w14:textId="77777777" w:rsidR="009D0273" w:rsidRDefault="009D0273"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24274FA5"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315AC5F"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CE14E14"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EB8D9A9"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48300E3"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2962AA6D"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42718D1"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CF3B99C"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797E020" w14:textId="77777777" w:rsidR="00973BAF" w:rsidRDefault="00973BAF"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70BD5259" w14:textId="77777777" w:rsidR="00FA4702" w:rsidRDefault="00FA4702"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5E3C21D8" w14:textId="16BD2190" w:rsidR="00D21246" w:rsidRDefault="006740E9"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lastRenderedPageBreak/>
        <w:t>CONCLUSION</w:t>
      </w:r>
    </w:p>
    <w:p w14:paraId="627864C6" w14:textId="77777777" w:rsidR="003C3845" w:rsidRPr="00D21246" w:rsidRDefault="003C3845" w:rsidP="00D21246">
      <w:pPr>
        <w:shd w:val="clear" w:color="auto" w:fill="FFFFFF"/>
        <w:spacing w:line="360" w:lineRule="atLeast"/>
        <w:jc w:val="both"/>
        <w:rPr>
          <w:rFonts w:ascii="Aptos" w:eastAsia="Times New Roman" w:hAnsi="Aptos" w:cs="Times New Roman"/>
          <w:color w:val="222222"/>
          <w:kern w:val="0"/>
          <w:lang w:eastAsia="en-GB"/>
          <w14:ligatures w14:val="none"/>
        </w:rPr>
      </w:pPr>
    </w:p>
    <w:p w14:paraId="43EB5467"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Mrs. Thompson’s case demonstrates the value of effective communication, good administrative practice, and teamwork in providing safe, high-quality health and social care. Effective communication allows professionals to understand her needs, involve her in care decisions, and collaborate with her family while upholding equality and dignity in accordance with the Equality Act, 2010.Using Berlo’s SMCR Model allows professionals to tailor communication to the needs of a person with dementia. Good administrative practice such as accurate record keeping and compliance with Data Protection Act,2018, promotes continuity of care, accountability, and confidentiality. Furthermore, collaboration among the GP, community nurses, domiciliary care workers, pharmacist, and social worker facilitates coordinated care planning and effective safeguarding health and social care professionals can provide person-centred care that promotes (Patient’s) safety independence, and well-being while lowering the risk of future incidents and improving her overall quality of life by adhering to applicable legislation and professional guidelines.</w:t>
      </w:r>
    </w:p>
    <w:p w14:paraId="3611D3B4"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64F36386"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683E024A" w14:textId="77777777" w:rsidR="00D21246" w:rsidRPr="00D21246" w:rsidRDefault="00D21246" w:rsidP="00D21246">
      <w:pPr>
        <w:shd w:val="clear" w:color="auto" w:fill="FFFFFF"/>
        <w:spacing w:line="360" w:lineRule="atLeast"/>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2DEABF54" w14:textId="77777777" w:rsidR="00D21246" w:rsidRPr="00D21246" w:rsidRDefault="00D21246" w:rsidP="00D21246">
      <w:pPr>
        <w:shd w:val="clear" w:color="auto" w:fill="FFFFFF"/>
        <w:spacing w:line="360" w:lineRule="atLeast"/>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21BAC951" w14:textId="77777777" w:rsidR="00D21246" w:rsidRPr="00D21246" w:rsidRDefault="00D21246" w:rsidP="00D21246">
      <w:pPr>
        <w:shd w:val="clear" w:color="auto" w:fill="FFFFFF"/>
        <w:spacing w:line="360" w:lineRule="atLeast"/>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w:t>
      </w:r>
    </w:p>
    <w:p w14:paraId="5893CD53"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5086887D"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2C0F16E5"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DFFA83B"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4BD408B3"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9C0C074"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0AEC3C7E"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670713D0"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52E1FE3D"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22729429" w14:textId="77777777" w:rsidR="0052130B" w:rsidRDefault="0052130B"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p>
    <w:p w14:paraId="15C9ED10" w14:textId="2F17B5FE" w:rsidR="00D21246" w:rsidRDefault="00C00CC7" w:rsidP="00D21246">
      <w:pPr>
        <w:shd w:val="clear" w:color="auto" w:fill="FFFFFF"/>
        <w:spacing w:line="360" w:lineRule="atLeast"/>
        <w:jc w:val="both"/>
        <w:rPr>
          <w:rFonts w:ascii="Arial" w:eastAsia="Times New Roman" w:hAnsi="Arial" w:cs="Arial"/>
          <w:color w:val="222222"/>
          <w:kern w:val="0"/>
          <w:sz w:val="22"/>
          <w:szCs w:val="22"/>
          <w:lang w:eastAsia="en-GB"/>
          <w14:ligatures w14:val="none"/>
        </w:rPr>
      </w:pPr>
      <w:r>
        <w:rPr>
          <w:rFonts w:ascii="Arial" w:eastAsia="Times New Roman" w:hAnsi="Arial" w:cs="Arial"/>
          <w:color w:val="222222"/>
          <w:kern w:val="0"/>
          <w:sz w:val="22"/>
          <w:szCs w:val="22"/>
          <w:lang w:eastAsia="en-GB"/>
          <w14:ligatures w14:val="none"/>
        </w:rPr>
        <w:lastRenderedPageBreak/>
        <w:t>REFERENCES</w:t>
      </w:r>
    </w:p>
    <w:p w14:paraId="6CC9AAE9" w14:textId="77777777" w:rsidR="00C00CC7" w:rsidRPr="00D21246" w:rsidRDefault="00C00CC7" w:rsidP="00D21246">
      <w:pPr>
        <w:shd w:val="clear" w:color="auto" w:fill="FFFFFF"/>
        <w:spacing w:line="360" w:lineRule="atLeast"/>
        <w:jc w:val="both"/>
        <w:rPr>
          <w:rFonts w:ascii="Aptos" w:eastAsia="Times New Roman" w:hAnsi="Aptos" w:cs="Times New Roman"/>
          <w:color w:val="222222"/>
          <w:kern w:val="0"/>
          <w:lang w:eastAsia="en-GB"/>
          <w14:ligatures w14:val="none"/>
        </w:rPr>
      </w:pPr>
    </w:p>
    <w:p w14:paraId="7E9840F8"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Berlo, D.K. (1960) The Process of Communication: An Introduction to Theory and Practice: New York: Holt, Rinehart and Winston.</w:t>
      </w:r>
    </w:p>
    <w:p w14:paraId="32017935"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Care Act 2014. (2014) c.23 London: The Stationery Office. Available at: </w:t>
      </w:r>
      <w:hyperlink r:id="rId8" w:tgtFrame="_blank" w:history="1">
        <w:r w:rsidRPr="00D21246">
          <w:rPr>
            <w:rFonts w:ascii="Arial" w:eastAsia="Times New Roman" w:hAnsi="Arial" w:cs="Arial"/>
            <w:color w:val="1155CC"/>
            <w:kern w:val="0"/>
            <w:sz w:val="22"/>
            <w:szCs w:val="22"/>
            <w:u w:val="single"/>
            <w:lang w:eastAsia="en-GB"/>
            <w14:ligatures w14:val="none"/>
          </w:rPr>
          <w:t>https://www.legislation.gov.uk/ukpga2014/23(Accessed:2</w:t>
        </w:r>
      </w:hyperlink>
      <w:r w:rsidRPr="00D21246">
        <w:rPr>
          <w:rFonts w:ascii="Arial" w:eastAsia="Times New Roman" w:hAnsi="Arial" w:cs="Arial"/>
          <w:color w:val="222222"/>
          <w:kern w:val="0"/>
          <w:sz w:val="22"/>
          <w:szCs w:val="22"/>
          <w:lang w:eastAsia="en-GB"/>
          <w14:ligatures w14:val="none"/>
        </w:rPr>
        <w:t> August 2026).</w:t>
      </w:r>
    </w:p>
    <w:p w14:paraId="7D93BDB1"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Care Quality Commission (2023) Fundamental Standards: Available at: https;//</w:t>
      </w:r>
      <w:hyperlink r:id="rId9" w:tgtFrame="_blank" w:history="1">
        <w:r w:rsidRPr="00D21246">
          <w:rPr>
            <w:rFonts w:ascii="Arial" w:eastAsia="Times New Roman" w:hAnsi="Arial" w:cs="Arial"/>
            <w:color w:val="1155CC"/>
            <w:kern w:val="0"/>
            <w:sz w:val="22"/>
            <w:szCs w:val="22"/>
            <w:u w:val="single"/>
            <w:lang w:eastAsia="en-GB"/>
            <w14:ligatures w14:val="none"/>
          </w:rPr>
          <w:t>www.cqc.org.uk/what-we-do/how-we-do-our-job/fundamental-standards</w:t>
        </w:r>
      </w:hyperlink>
      <w:r w:rsidRPr="00D21246">
        <w:rPr>
          <w:rFonts w:ascii="Arial" w:eastAsia="Times New Roman" w:hAnsi="Arial" w:cs="Arial"/>
          <w:color w:val="222222"/>
          <w:kern w:val="0"/>
          <w:sz w:val="22"/>
          <w:szCs w:val="22"/>
          <w:lang w:eastAsia="en-GB"/>
          <w14:ligatures w14:val="none"/>
        </w:rPr>
        <w:t> (Accessed:2 August 2026).</w:t>
      </w:r>
    </w:p>
    <w:p w14:paraId="27E12E88"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Data Protection Act 2018(2018) c.12.London: The Stationery Office. Available at: https;//</w:t>
      </w:r>
      <w:hyperlink r:id="rId10" w:tgtFrame="_blank" w:history="1">
        <w:r w:rsidRPr="00D21246">
          <w:rPr>
            <w:rFonts w:ascii="Arial" w:eastAsia="Times New Roman" w:hAnsi="Arial" w:cs="Arial"/>
            <w:color w:val="1155CC"/>
            <w:kern w:val="0"/>
            <w:sz w:val="22"/>
            <w:szCs w:val="22"/>
            <w:u w:val="single"/>
            <w:lang w:eastAsia="en-GB"/>
            <w14:ligatures w14:val="none"/>
          </w:rPr>
          <w:t>www.legislation.gov.uk/ukpgaa</w:t>
        </w:r>
      </w:hyperlink>
      <w:r w:rsidRPr="00D21246">
        <w:rPr>
          <w:rFonts w:ascii="Arial" w:eastAsia="Times New Roman" w:hAnsi="Arial" w:cs="Arial"/>
          <w:color w:val="222222"/>
          <w:kern w:val="0"/>
          <w:sz w:val="22"/>
          <w:szCs w:val="22"/>
          <w:lang w:eastAsia="en-GB"/>
          <w14:ligatures w14:val="none"/>
        </w:rPr>
        <w:t> 2018/12 (Accessed:2 August 2026).</w:t>
      </w:r>
    </w:p>
    <w:p w14:paraId="04C2DB5F"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Equality Act 2010(2010) c.15.London: The Stationery Office. Available at: </w:t>
      </w:r>
      <w:hyperlink r:id="rId11" w:tgtFrame="_blank" w:history="1">
        <w:r w:rsidRPr="00D21246">
          <w:rPr>
            <w:rFonts w:ascii="Arial" w:eastAsia="Times New Roman" w:hAnsi="Arial" w:cs="Arial"/>
            <w:color w:val="1155CC"/>
            <w:kern w:val="0"/>
            <w:sz w:val="22"/>
            <w:szCs w:val="22"/>
            <w:u w:val="single"/>
            <w:lang w:eastAsia="en-GB"/>
            <w14:ligatures w14:val="none"/>
          </w:rPr>
          <w:t>https://www.legislation.gov.uk/ukpga/2010/15(Accessed:2</w:t>
        </w:r>
      </w:hyperlink>
      <w:r w:rsidRPr="00D21246">
        <w:rPr>
          <w:rFonts w:ascii="Arial" w:eastAsia="Times New Roman" w:hAnsi="Arial" w:cs="Arial"/>
          <w:color w:val="222222"/>
          <w:kern w:val="0"/>
          <w:sz w:val="22"/>
          <w:szCs w:val="22"/>
          <w:lang w:eastAsia="en-GB"/>
          <w14:ligatures w14:val="none"/>
        </w:rPr>
        <w:t> August 2026).</w:t>
      </w:r>
    </w:p>
    <w:p w14:paraId="42667552"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Health and Care Professions Council (2024) Standards of Conduct, Performance and Ethics. London:/ HCPC. Available at; </w:t>
      </w:r>
      <w:hyperlink r:id="rId12" w:tgtFrame="_blank" w:history="1">
        <w:r w:rsidRPr="00D21246">
          <w:rPr>
            <w:rFonts w:ascii="Arial" w:eastAsia="Times New Roman" w:hAnsi="Arial" w:cs="Arial"/>
            <w:color w:val="1155CC"/>
            <w:kern w:val="0"/>
            <w:sz w:val="22"/>
            <w:szCs w:val="22"/>
            <w:u w:val="single"/>
            <w:lang w:eastAsia="en-GB"/>
            <w14:ligatures w14:val="none"/>
          </w:rPr>
          <w:t>https://www.hcpc-uk.org/standards/standards-of-conduct-performance-and-ethics/(</w:t>
        </w:r>
      </w:hyperlink>
      <w:r w:rsidRPr="00D21246">
        <w:rPr>
          <w:rFonts w:ascii="Arial" w:eastAsia="Times New Roman" w:hAnsi="Arial" w:cs="Arial"/>
          <w:color w:val="222222"/>
          <w:kern w:val="0"/>
          <w:sz w:val="22"/>
          <w:szCs w:val="22"/>
          <w:lang w:eastAsia="en-GB"/>
          <w14:ligatures w14:val="none"/>
        </w:rPr>
        <w:t> Accessed 2 August 2026).</w:t>
      </w:r>
    </w:p>
    <w:p w14:paraId="6FAFB243"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Health and Social Care Act 2008(Regulated Activities) Regulations 2014. (2014) Si 2014, 2936.London: The Stationery Office. Available at: https;//</w:t>
      </w:r>
      <w:hyperlink r:id="rId13" w:tgtFrame="_blank" w:history="1">
        <w:r w:rsidRPr="00D21246">
          <w:rPr>
            <w:rFonts w:ascii="Arial" w:eastAsia="Times New Roman" w:hAnsi="Arial" w:cs="Arial"/>
            <w:color w:val="1155CC"/>
            <w:kern w:val="0"/>
            <w:sz w:val="22"/>
            <w:szCs w:val="22"/>
            <w:u w:val="single"/>
            <w:lang w:eastAsia="en-GB"/>
            <w14:ligatures w14:val="none"/>
          </w:rPr>
          <w:t>www.legislation.gov.uk/uksi</w:t>
        </w:r>
      </w:hyperlink>
      <w:r w:rsidRPr="00D21246">
        <w:rPr>
          <w:rFonts w:ascii="Arial" w:eastAsia="Times New Roman" w:hAnsi="Arial" w:cs="Arial"/>
          <w:color w:val="222222"/>
          <w:kern w:val="0"/>
          <w:sz w:val="22"/>
          <w:szCs w:val="22"/>
          <w:lang w:eastAsia="en-GB"/>
          <w14:ligatures w14:val="none"/>
        </w:rPr>
        <w:t> (2014)/2936/comments/made (Accessed 2 August 2026)</w:t>
      </w:r>
    </w:p>
    <w:p w14:paraId="4256AE9F"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Mental Capacity Act 2005(2005) c.9.London: The Stationery Office; Available at: </w:t>
      </w:r>
      <w:hyperlink r:id="rId14" w:tgtFrame="_blank" w:history="1">
        <w:r w:rsidRPr="00D21246">
          <w:rPr>
            <w:rFonts w:ascii="Arial" w:eastAsia="Times New Roman" w:hAnsi="Arial" w:cs="Arial"/>
            <w:color w:val="1155CC"/>
            <w:kern w:val="0"/>
            <w:sz w:val="22"/>
            <w:szCs w:val="22"/>
            <w:u w:val="single"/>
            <w:lang w:eastAsia="en-GB"/>
            <w14:ligatures w14:val="none"/>
          </w:rPr>
          <w:t>https://www.legislation.gov.uk/ukpga;2005/9(Accessed</w:t>
        </w:r>
      </w:hyperlink>
      <w:r w:rsidRPr="00D21246">
        <w:rPr>
          <w:rFonts w:ascii="Arial" w:eastAsia="Times New Roman" w:hAnsi="Arial" w:cs="Arial"/>
          <w:color w:val="222222"/>
          <w:kern w:val="0"/>
          <w:sz w:val="22"/>
          <w:szCs w:val="22"/>
          <w:lang w:eastAsia="en-GB"/>
          <w14:ligatures w14:val="none"/>
        </w:rPr>
        <w:t> 2 August 2026).</w:t>
      </w:r>
    </w:p>
    <w:p w14:paraId="1275F463"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National Health Service (2019) The NHS Long Term Plan. London: NHS England. Available at; https;//</w:t>
      </w:r>
      <w:hyperlink r:id="rId15" w:tgtFrame="_blank" w:history="1">
        <w:r w:rsidRPr="00D21246">
          <w:rPr>
            <w:rFonts w:ascii="Arial" w:eastAsia="Times New Roman" w:hAnsi="Arial" w:cs="Arial"/>
            <w:color w:val="1155CC"/>
            <w:kern w:val="0"/>
            <w:sz w:val="22"/>
            <w:szCs w:val="22"/>
            <w:u w:val="single"/>
            <w:lang w:eastAsia="en-GB"/>
            <w14:ligatures w14:val="none"/>
          </w:rPr>
          <w:t>www.longtermplan.nhs.uk/</w:t>
        </w:r>
      </w:hyperlink>
      <w:r w:rsidRPr="00D21246">
        <w:rPr>
          <w:rFonts w:ascii="Arial" w:eastAsia="Times New Roman" w:hAnsi="Arial" w:cs="Arial"/>
          <w:color w:val="222222"/>
          <w:kern w:val="0"/>
          <w:sz w:val="22"/>
          <w:szCs w:val="22"/>
          <w:lang w:eastAsia="en-GB"/>
          <w14:ligatures w14:val="none"/>
        </w:rPr>
        <w:t> (Accessed:2 August 2026).</w:t>
      </w:r>
    </w:p>
    <w:p w14:paraId="522D3FA6" w14:textId="77777777" w:rsidR="00D21246" w:rsidRPr="00D21246" w:rsidRDefault="00D21246" w:rsidP="00D21246">
      <w:pPr>
        <w:shd w:val="clear" w:color="auto" w:fill="FFFFFF"/>
        <w:spacing w:line="360" w:lineRule="atLeast"/>
        <w:jc w:val="both"/>
        <w:rPr>
          <w:rFonts w:ascii="Aptos" w:eastAsia="Times New Roman" w:hAnsi="Aptos" w:cs="Times New Roman"/>
          <w:color w:val="222222"/>
          <w:kern w:val="0"/>
          <w:lang w:eastAsia="en-GB"/>
          <w14:ligatures w14:val="none"/>
        </w:rPr>
      </w:pPr>
      <w:r w:rsidRPr="00D21246">
        <w:rPr>
          <w:rFonts w:ascii="Arial" w:eastAsia="Times New Roman" w:hAnsi="Arial" w:cs="Arial"/>
          <w:color w:val="222222"/>
          <w:kern w:val="0"/>
          <w:sz w:val="22"/>
          <w:szCs w:val="22"/>
          <w:lang w:eastAsia="en-GB"/>
          <w14:ligatures w14:val="none"/>
        </w:rPr>
        <w:t> Nursing and Midwifery Council (2018) The Code: Professional Standards of Practice and Behaviour for Nurses, Midwives and Nursing Associates. London: NMC. Available at: </w:t>
      </w:r>
      <w:hyperlink r:id="rId16" w:tgtFrame="_blank" w:history="1">
        <w:r w:rsidRPr="00D21246">
          <w:rPr>
            <w:rFonts w:ascii="Arial" w:eastAsia="Times New Roman" w:hAnsi="Arial" w:cs="Arial"/>
            <w:color w:val="1155CC"/>
            <w:kern w:val="0"/>
            <w:sz w:val="22"/>
            <w:szCs w:val="22"/>
            <w:u w:val="single"/>
            <w:lang w:eastAsia="en-GB"/>
            <w14:ligatures w14:val="none"/>
          </w:rPr>
          <w:t>https://www.nmc.org.uk/standards/code/(Accessed:2</w:t>
        </w:r>
      </w:hyperlink>
      <w:r w:rsidRPr="00D21246">
        <w:rPr>
          <w:rFonts w:ascii="Arial" w:eastAsia="Times New Roman" w:hAnsi="Arial" w:cs="Arial"/>
          <w:color w:val="222222"/>
          <w:kern w:val="0"/>
          <w:sz w:val="22"/>
          <w:szCs w:val="22"/>
          <w:lang w:eastAsia="en-GB"/>
          <w14:ligatures w14:val="none"/>
        </w:rPr>
        <w:t> August 2026).</w:t>
      </w:r>
    </w:p>
    <w:p w14:paraId="499F1A51" w14:textId="77777777" w:rsidR="00D54939" w:rsidRPr="00D21246" w:rsidRDefault="00D54939" w:rsidP="00D21246">
      <w:pPr>
        <w:spacing w:line="360" w:lineRule="auto"/>
        <w:jc w:val="both"/>
        <w:rPr>
          <w:rFonts w:ascii="Arial" w:hAnsi="Arial" w:cs="Arial"/>
          <w:sz w:val="22"/>
          <w:szCs w:val="22"/>
        </w:rPr>
      </w:pPr>
    </w:p>
    <w:sectPr w:rsidR="00D54939" w:rsidRPr="00D212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246"/>
    <w:rsid w:val="00001A18"/>
    <w:rsid w:val="00026C28"/>
    <w:rsid w:val="000437F9"/>
    <w:rsid w:val="00064956"/>
    <w:rsid w:val="00065382"/>
    <w:rsid w:val="000936AC"/>
    <w:rsid w:val="000A71F0"/>
    <w:rsid w:val="000E1D4C"/>
    <w:rsid w:val="000F788B"/>
    <w:rsid w:val="0010345B"/>
    <w:rsid w:val="00124785"/>
    <w:rsid w:val="001727A9"/>
    <w:rsid w:val="00184257"/>
    <w:rsid w:val="001A3C57"/>
    <w:rsid w:val="001B7322"/>
    <w:rsid w:val="001C6B24"/>
    <w:rsid w:val="00222647"/>
    <w:rsid w:val="002259AD"/>
    <w:rsid w:val="00233670"/>
    <w:rsid w:val="00246205"/>
    <w:rsid w:val="002A1295"/>
    <w:rsid w:val="002F6B14"/>
    <w:rsid w:val="00305D21"/>
    <w:rsid w:val="00354DBC"/>
    <w:rsid w:val="003944CC"/>
    <w:rsid w:val="003B02FA"/>
    <w:rsid w:val="003B737A"/>
    <w:rsid w:val="003C3845"/>
    <w:rsid w:val="003C79CE"/>
    <w:rsid w:val="00405899"/>
    <w:rsid w:val="0044352A"/>
    <w:rsid w:val="00443F99"/>
    <w:rsid w:val="00445046"/>
    <w:rsid w:val="004A230E"/>
    <w:rsid w:val="00503785"/>
    <w:rsid w:val="0052130B"/>
    <w:rsid w:val="00530528"/>
    <w:rsid w:val="005A67E1"/>
    <w:rsid w:val="005C59E5"/>
    <w:rsid w:val="00604382"/>
    <w:rsid w:val="00650AFD"/>
    <w:rsid w:val="00651FD4"/>
    <w:rsid w:val="00654C58"/>
    <w:rsid w:val="006740E9"/>
    <w:rsid w:val="006C14F7"/>
    <w:rsid w:val="006D3C0E"/>
    <w:rsid w:val="007124FA"/>
    <w:rsid w:val="0078623C"/>
    <w:rsid w:val="007B0818"/>
    <w:rsid w:val="007B32C0"/>
    <w:rsid w:val="007D006A"/>
    <w:rsid w:val="00896C58"/>
    <w:rsid w:val="008C4138"/>
    <w:rsid w:val="008D0DB4"/>
    <w:rsid w:val="00902A0F"/>
    <w:rsid w:val="00904147"/>
    <w:rsid w:val="0093222C"/>
    <w:rsid w:val="0094105C"/>
    <w:rsid w:val="009546D0"/>
    <w:rsid w:val="009561B7"/>
    <w:rsid w:val="00973BAF"/>
    <w:rsid w:val="00990DA8"/>
    <w:rsid w:val="009D0273"/>
    <w:rsid w:val="009D0CD4"/>
    <w:rsid w:val="009E5EE1"/>
    <w:rsid w:val="00A065DA"/>
    <w:rsid w:val="00A6074E"/>
    <w:rsid w:val="00A625FE"/>
    <w:rsid w:val="00A6687C"/>
    <w:rsid w:val="00A863FC"/>
    <w:rsid w:val="00AE7855"/>
    <w:rsid w:val="00AF52A9"/>
    <w:rsid w:val="00BA22E7"/>
    <w:rsid w:val="00BC53A6"/>
    <w:rsid w:val="00C00CC7"/>
    <w:rsid w:val="00C87036"/>
    <w:rsid w:val="00CC5619"/>
    <w:rsid w:val="00CD03E4"/>
    <w:rsid w:val="00CE2B48"/>
    <w:rsid w:val="00D21246"/>
    <w:rsid w:val="00D54939"/>
    <w:rsid w:val="00DE5E5E"/>
    <w:rsid w:val="00E1111E"/>
    <w:rsid w:val="00E272EB"/>
    <w:rsid w:val="00E63418"/>
    <w:rsid w:val="00E72857"/>
    <w:rsid w:val="00EA2A16"/>
    <w:rsid w:val="00EA6500"/>
    <w:rsid w:val="00EB07AF"/>
    <w:rsid w:val="00EB4BCC"/>
    <w:rsid w:val="00ED054A"/>
    <w:rsid w:val="00ED26BE"/>
    <w:rsid w:val="00F2208D"/>
    <w:rsid w:val="00F2335D"/>
    <w:rsid w:val="00F657E4"/>
    <w:rsid w:val="00FA4702"/>
    <w:rsid w:val="00FC38D8"/>
    <w:rsid w:val="00FF271D"/>
    <w:rsid w:val="00FF3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22B0F"/>
  <w15:chartTrackingRefBased/>
  <w15:docId w15:val="{D8A376D9-0901-4B02-833F-EA57B273D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2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2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2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2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2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2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2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2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2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2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2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2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2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2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2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2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2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246"/>
    <w:rPr>
      <w:rFonts w:eastAsiaTheme="majorEastAsia" w:cstheme="majorBidi"/>
      <w:color w:val="272727" w:themeColor="text1" w:themeTint="D8"/>
    </w:rPr>
  </w:style>
  <w:style w:type="paragraph" w:styleId="Title">
    <w:name w:val="Title"/>
    <w:basedOn w:val="Normal"/>
    <w:next w:val="Normal"/>
    <w:link w:val="TitleChar"/>
    <w:uiPriority w:val="10"/>
    <w:qFormat/>
    <w:rsid w:val="00D212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2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2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2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246"/>
    <w:pPr>
      <w:spacing w:before="160"/>
      <w:jc w:val="center"/>
    </w:pPr>
    <w:rPr>
      <w:i/>
      <w:iCs/>
      <w:color w:val="404040" w:themeColor="text1" w:themeTint="BF"/>
    </w:rPr>
  </w:style>
  <w:style w:type="character" w:customStyle="1" w:styleId="QuoteChar">
    <w:name w:val="Quote Char"/>
    <w:basedOn w:val="DefaultParagraphFont"/>
    <w:link w:val="Quote"/>
    <w:uiPriority w:val="29"/>
    <w:rsid w:val="00D21246"/>
    <w:rPr>
      <w:i/>
      <w:iCs/>
      <w:color w:val="404040" w:themeColor="text1" w:themeTint="BF"/>
    </w:rPr>
  </w:style>
  <w:style w:type="paragraph" w:styleId="ListParagraph">
    <w:name w:val="List Paragraph"/>
    <w:basedOn w:val="Normal"/>
    <w:uiPriority w:val="34"/>
    <w:qFormat/>
    <w:rsid w:val="00D21246"/>
    <w:pPr>
      <w:ind w:left="720"/>
      <w:contextualSpacing/>
    </w:pPr>
  </w:style>
  <w:style w:type="character" w:styleId="IntenseEmphasis">
    <w:name w:val="Intense Emphasis"/>
    <w:basedOn w:val="DefaultParagraphFont"/>
    <w:uiPriority w:val="21"/>
    <w:qFormat/>
    <w:rsid w:val="00D21246"/>
    <w:rPr>
      <w:i/>
      <w:iCs/>
      <w:color w:val="0F4761" w:themeColor="accent1" w:themeShade="BF"/>
    </w:rPr>
  </w:style>
  <w:style w:type="paragraph" w:styleId="IntenseQuote">
    <w:name w:val="Intense Quote"/>
    <w:basedOn w:val="Normal"/>
    <w:next w:val="Normal"/>
    <w:link w:val="IntenseQuoteChar"/>
    <w:uiPriority w:val="30"/>
    <w:qFormat/>
    <w:rsid w:val="00D212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246"/>
    <w:rPr>
      <w:i/>
      <w:iCs/>
      <w:color w:val="0F4761" w:themeColor="accent1" w:themeShade="BF"/>
    </w:rPr>
  </w:style>
  <w:style w:type="character" w:styleId="IntenseReference">
    <w:name w:val="Intense Reference"/>
    <w:basedOn w:val="DefaultParagraphFont"/>
    <w:uiPriority w:val="32"/>
    <w:qFormat/>
    <w:rsid w:val="00D212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Accessed:2" TargetMode="External"/><Relationship Id="rId13" Type="http://schemas.openxmlformats.org/officeDocument/2006/relationships/hyperlink" Target="http://www.legislation.gov.uk/uksi"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hcpc-uk.org/standards/standards-of-conduct-performance-and-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mc.org.uk/standards/code/(Accessed: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0/15(Accessed:2" TargetMode="External"/><Relationship Id="rId5" Type="http://schemas.openxmlformats.org/officeDocument/2006/relationships/settings" Target="settings.xml"/><Relationship Id="rId15" Type="http://schemas.openxmlformats.org/officeDocument/2006/relationships/hyperlink" Target="http://www.longtermplan.nhs.uk/" TargetMode="External"/><Relationship Id="rId10" Type="http://schemas.openxmlformats.org/officeDocument/2006/relationships/hyperlink" Target="http://www.legislation.gov.uk/ukpgaa" TargetMode="External"/><Relationship Id="rId4" Type="http://schemas.openxmlformats.org/officeDocument/2006/relationships/styles" Target="styles.xml"/><Relationship Id="rId9" Type="http://schemas.openxmlformats.org/officeDocument/2006/relationships/hyperlink" Target="http://www.cqc.org.uk/what-we-do/how-we-do-our-job/fundamental-standards" TargetMode="External"/><Relationship Id="rId14" Type="http://schemas.openxmlformats.org/officeDocument/2006/relationships/hyperlink" Target="https://www.legislation.gov.uk/ukpga;2005/9(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1b2f707f0bd4a297c504550196ce898a">
  <xsd:schema xmlns:xsd="http://www.w3.org/2001/XMLSchema" xmlns:xs="http://www.w3.org/2001/XMLSchema" xmlns:p="http://schemas.microsoft.com/office/2006/metadata/properties" xmlns:ns3="295d9055-6e6f-4fed-aaa1-e2183dd25008" targetNamespace="http://schemas.microsoft.com/office/2006/metadata/properties" ma:root="true" ma:fieldsID="124b5d0a7b26763798fde7d64f51dc38"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36E8E0B7-FBA3-4AA5-AE2B-47920449C0C8}">
  <ds:schemaRefs>
    <ds:schemaRef ds:uri="http://schemas.microsoft.com/sharepoint/v3/contenttype/forms"/>
  </ds:schemaRefs>
</ds:datastoreItem>
</file>

<file path=customXml/itemProps2.xml><?xml version="1.0" encoding="utf-8"?>
<ds:datastoreItem xmlns:ds="http://schemas.openxmlformats.org/officeDocument/2006/customXml" ds:itemID="{1C3F9CB7-4833-415F-ADB1-476D69B063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F32B30-072F-483A-BBFA-879993AF3F14}">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2291</Words>
  <Characters>13064</Characters>
  <Application>Microsoft Office Word</Application>
  <DocSecurity>0</DocSecurity>
  <Lines>108</Lines>
  <Paragraphs>30</Paragraphs>
  <ScaleCrop>false</ScaleCrop>
  <Company/>
  <LinksUpToDate>false</LinksUpToDate>
  <CharactersWithSpaces>15325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Estela Lucina Peralta (2527558)</dc:creator>
  <cp:keywords/>
  <dc:description/>
  <cp:lastModifiedBy>Estela Lucina Peralta (2527558)</cp:lastModifiedBy>
  <cp:revision>25</cp:revision>
  <dcterms:created xsi:type="dcterms:W3CDTF">2026-08-09T15:34:00Z</dcterms:created>
  <dcterms:modified xsi:type="dcterms:W3CDTF">2026-08-09T15:55:00Z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