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910CF"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3615D9E7" w14:textId="3D58EA39" w:rsidR="00B86BD1" w:rsidRPr="00EB523D" w:rsidRDefault="00EB523D" w:rsidP="00B86BD1">
      <w:pPr>
        <w:spacing w:before="100" w:beforeAutospacing="1" w:after="100" w:afterAutospacing="1" w:line="360" w:lineRule="auto"/>
        <w:jc w:val="center"/>
        <w:outlineLvl w:val="1"/>
        <w:rPr>
          <w:rFonts w:ascii="Arial" w:eastAsia="Times New Roman" w:hAnsi="Arial" w:cs="Arial"/>
          <w:b/>
          <w:bCs/>
          <w:color w:val="000000"/>
          <w:kern w:val="0"/>
          <w:lang w:eastAsia="en-GB"/>
          <w14:ligatures w14:val="none"/>
        </w:rPr>
      </w:pPr>
      <w:r w:rsidRPr="00EB523D">
        <w:rPr>
          <w:rFonts w:ascii="Arial" w:eastAsia="Times New Roman" w:hAnsi="Arial" w:cs="Arial"/>
          <w:b/>
          <w:bCs/>
          <w:color w:val="000000"/>
          <w:kern w:val="0"/>
          <w:lang w:eastAsia="en-GB"/>
          <w14:ligatures w14:val="none"/>
        </w:rPr>
        <w:t xml:space="preserve">AI </w:t>
      </w:r>
      <w:r w:rsidR="00B86BD1" w:rsidRPr="00EB523D">
        <w:rPr>
          <w:rFonts w:ascii="Arial" w:eastAsia="Times New Roman" w:hAnsi="Arial" w:cs="Arial"/>
          <w:b/>
          <w:bCs/>
          <w:color w:val="000000"/>
          <w:kern w:val="0"/>
          <w:lang w:eastAsia="en-GB"/>
          <w14:ligatures w14:val="none"/>
        </w:rPr>
        <w:t>Guidance</w:t>
      </w:r>
    </w:p>
    <w:p w14:paraId="137260ED" w14:textId="3C17E111" w:rsidR="00EB523D" w:rsidRDefault="00EB523D" w:rsidP="00B86BD1">
      <w:pPr>
        <w:spacing w:before="100" w:beforeAutospacing="1" w:after="100" w:afterAutospacing="1" w:line="360" w:lineRule="auto"/>
        <w:jc w:val="center"/>
        <w:outlineLvl w:val="1"/>
        <w:rPr>
          <w:rFonts w:ascii="Arial" w:eastAsia="Times New Roman" w:hAnsi="Arial" w:cs="Arial"/>
          <w:b/>
          <w:bCs/>
          <w:color w:val="000000"/>
          <w:kern w:val="0"/>
          <w:lang w:eastAsia="en-GB"/>
          <w14:ligatures w14:val="none"/>
        </w:rPr>
      </w:pPr>
      <w:r>
        <w:rPr>
          <w:rStyle w:val="normaltextrun"/>
          <w:rFonts w:ascii="Arial" w:hAnsi="Arial" w:cs="Arial"/>
        </w:rPr>
        <w:t xml:space="preserve">I </w:t>
      </w:r>
      <w:r>
        <w:rPr>
          <w:rStyle w:val="normaltextrun"/>
          <w:rFonts w:ascii="Arial" w:hAnsi="Arial" w:cs="Arial"/>
        </w:rPr>
        <w:t xml:space="preserve">confirm that </w:t>
      </w:r>
      <w:r>
        <w:rPr>
          <w:rStyle w:val="normaltextrun"/>
          <w:rFonts w:ascii="Arial" w:hAnsi="Arial" w:cs="Arial"/>
        </w:rPr>
        <w:t>I</w:t>
      </w:r>
      <w:r>
        <w:rPr>
          <w:rStyle w:val="normaltextrun"/>
          <w:rFonts w:ascii="Arial" w:hAnsi="Arial" w:cs="Arial"/>
        </w:rPr>
        <w:t xml:space="preserve"> have not presented any AI generated text as our own work. </w:t>
      </w:r>
      <w:r>
        <w:rPr>
          <w:rStyle w:val="normaltextrun"/>
          <w:rFonts w:ascii="Arial" w:hAnsi="Arial" w:cs="Arial"/>
        </w:rPr>
        <w:t>I</w:t>
      </w:r>
      <w:r>
        <w:rPr>
          <w:rStyle w:val="normaltextrun"/>
          <w:rFonts w:ascii="Arial" w:hAnsi="Arial" w:cs="Arial"/>
        </w:rPr>
        <w:t xml:space="preserve"> confirm </w:t>
      </w:r>
      <w:r>
        <w:rPr>
          <w:rStyle w:val="normaltextrun"/>
          <w:rFonts w:ascii="Arial" w:hAnsi="Arial" w:cs="Arial"/>
        </w:rPr>
        <w:t>I</w:t>
      </w:r>
      <w:r>
        <w:rPr>
          <w:rStyle w:val="normaltextrun"/>
          <w:rFonts w:ascii="Arial" w:hAnsi="Arial" w:cs="Arial"/>
        </w:rPr>
        <w:t xml:space="preserve"> have copies of </w:t>
      </w:r>
      <w:r>
        <w:rPr>
          <w:rStyle w:val="normaltextrun"/>
          <w:rFonts w:ascii="Arial" w:hAnsi="Arial" w:cs="Arial"/>
        </w:rPr>
        <w:t>my</w:t>
      </w:r>
      <w:r>
        <w:rPr>
          <w:rStyle w:val="normaltextrun"/>
          <w:rFonts w:ascii="Arial" w:hAnsi="Arial" w:cs="Arial"/>
        </w:rPr>
        <w:t xml:space="preserve"> drafts,</w:t>
      </w:r>
      <w:r>
        <w:rPr>
          <w:rStyle w:val="apple-converted-space"/>
          <w:rFonts w:ascii="Arial" w:hAnsi="Arial" w:cs="Arial"/>
        </w:rPr>
        <w:t> </w:t>
      </w:r>
      <w:r>
        <w:rPr>
          <w:rStyle w:val="normaltextrun"/>
          <w:rFonts w:ascii="Arial" w:hAnsi="Arial" w:cs="Arial"/>
        </w:rPr>
        <w:t>notes</w:t>
      </w:r>
      <w:r>
        <w:rPr>
          <w:rStyle w:val="apple-converted-space"/>
          <w:rFonts w:ascii="Arial" w:hAnsi="Arial" w:cs="Arial"/>
        </w:rPr>
        <w:t> </w:t>
      </w:r>
      <w:r>
        <w:rPr>
          <w:rStyle w:val="normaltextrun"/>
          <w:rFonts w:ascii="Arial" w:hAnsi="Arial" w:cs="Arial"/>
        </w:rPr>
        <w:t xml:space="preserve">and other resources </w:t>
      </w:r>
      <w:r>
        <w:rPr>
          <w:rStyle w:val="normaltextrun"/>
          <w:rFonts w:ascii="Arial" w:hAnsi="Arial" w:cs="Arial"/>
        </w:rPr>
        <w:t>I</w:t>
      </w:r>
      <w:r>
        <w:rPr>
          <w:rStyle w:val="normaltextrun"/>
          <w:rFonts w:ascii="Arial" w:hAnsi="Arial" w:cs="Arial"/>
        </w:rPr>
        <w:t xml:space="preserve"> used before, and after the use of AI tools which </w:t>
      </w:r>
      <w:r>
        <w:rPr>
          <w:rStyle w:val="normaltextrun"/>
          <w:rFonts w:ascii="Arial" w:hAnsi="Arial" w:cs="Arial"/>
        </w:rPr>
        <w:t xml:space="preserve">I </w:t>
      </w:r>
      <w:r>
        <w:rPr>
          <w:rStyle w:val="normaltextrun"/>
          <w:rFonts w:ascii="Arial" w:hAnsi="Arial" w:cs="Arial"/>
        </w:rPr>
        <w:t>may be asked to provide in evidence.</w:t>
      </w:r>
      <w:r>
        <w:rPr>
          <w:rStyle w:val="eop"/>
          <w:rFonts w:ascii="Arial" w:hAnsi="Arial" w:cs="Arial"/>
        </w:rPr>
        <w:t> </w:t>
      </w:r>
    </w:p>
    <w:p w14:paraId="57AD8C81" w14:textId="77777777" w:rsidR="00B86BD1" w:rsidRDefault="00B86BD1" w:rsidP="00B86BD1">
      <w:pPr>
        <w:spacing w:before="100" w:beforeAutospacing="1" w:after="100" w:afterAutospacing="1" w:line="360" w:lineRule="auto"/>
        <w:jc w:val="center"/>
        <w:outlineLvl w:val="1"/>
        <w:rPr>
          <w:rFonts w:ascii="Arial" w:eastAsia="Times New Roman" w:hAnsi="Arial" w:cs="Arial"/>
          <w:b/>
          <w:bCs/>
          <w:color w:val="000000"/>
          <w:kern w:val="0"/>
          <w:lang w:eastAsia="en-GB"/>
          <w14:ligatures w14:val="none"/>
        </w:rPr>
      </w:pPr>
    </w:p>
    <w:p w14:paraId="2CB3F39D" w14:textId="196288EE" w:rsidR="00B86BD1" w:rsidRDefault="00B86BD1" w:rsidP="00EB523D">
      <w:pPr>
        <w:spacing w:before="100" w:beforeAutospacing="1" w:after="100" w:afterAutospacing="1" w:line="360" w:lineRule="auto"/>
        <w:jc w:val="center"/>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Contents</w:t>
      </w:r>
    </w:p>
    <w:p w14:paraId="50384422" w14:textId="460C5BA0" w:rsidR="00B86BD1" w:rsidRDefault="00B86BD1" w:rsidP="00B86BD1">
      <w:pPr>
        <w:spacing w:before="100" w:beforeAutospacing="1" w:after="100" w:afterAutospacing="1" w:line="360" w:lineRule="auto"/>
        <w:jc w:val="center"/>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Page 1 – Ai guidance &amp; contents</w:t>
      </w:r>
    </w:p>
    <w:p w14:paraId="755931C9" w14:textId="6EF0B48F" w:rsidR="00B86BD1" w:rsidRDefault="00B86BD1" w:rsidP="00B86BD1">
      <w:pPr>
        <w:spacing w:before="100" w:beforeAutospacing="1" w:after="100" w:afterAutospacing="1" w:line="360" w:lineRule="auto"/>
        <w:jc w:val="center"/>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Pages 2 – 8 – Reflective Paper</w:t>
      </w:r>
    </w:p>
    <w:p w14:paraId="2BB93726" w14:textId="2C664C58" w:rsidR="00B86BD1" w:rsidRDefault="00B86BD1" w:rsidP="00B86BD1">
      <w:pPr>
        <w:spacing w:before="100" w:beforeAutospacing="1" w:after="100" w:afterAutospacing="1" w:line="360" w:lineRule="auto"/>
        <w:jc w:val="center"/>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Pages 9 – 11 – Reference List</w:t>
      </w:r>
    </w:p>
    <w:p w14:paraId="060424F0"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58B093C2"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68163D14" w14:textId="77777777" w:rsidR="00EB523D" w:rsidRDefault="00EB523D"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5E132145"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00C19C13"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2C791EBD"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4B283946"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2702AF46"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11F0629C"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00815F5B"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27D69B4E" w14:textId="77777777" w:rsidR="00B86BD1" w:rsidRDefault="00B86BD1"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0ED67305" w14:textId="31E7A727" w:rsidR="00BE1073" w:rsidRPr="00BE1073" w:rsidRDefault="00BE1073"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BE1073">
        <w:rPr>
          <w:rFonts w:ascii="Arial" w:eastAsia="Times New Roman" w:hAnsi="Arial" w:cs="Arial"/>
          <w:b/>
          <w:bCs/>
          <w:color w:val="000000"/>
          <w:kern w:val="0"/>
          <w:lang w:eastAsia="en-GB"/>
          <w14:ligatures w14:val="none"/>
        </w:rPr>
        <w:lastRenderedPageBreak/>
        <w:t>Introduction</w:t>
      </w:r>
    </w:p>
    <w:p w14:paraId="54072F20"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Quality in early years and educational settings is a central concept within policy, inspection frameworks, and professional discourse in Wales. However, both theoretical perspectives and practical experience suggest that quality is not a fixed or universally agreed concept. Rather, it is socially constructed, shaped by context, values, and competing perspectives (Dahlberg, Moss and Pence, 2013; Penn, 2011). As such, quality cannot be reduced to a single definition or set of measurable indicators. Instead, it emerges from a complex interaction between legislation, research evidence, professional values, and the socio-cultural context in which practice takes place.</w:t>
      </w:r>
    </w:p>
    <w:p w14:paraId="32A7D430"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From a professional standpoint, this raises important questions about how quality is understood, measured, and achieved. While statutory frameworks provide a necessary baseline, they do not fully capture the relational, ethical, and experiential dimensions of practice. This creates a tension between accountability and authenticity, where practitioners must balance regulatory expectations with meaningful engagement with children. Reflecting on this, it becomes clear that achieving quality requires moving beyond compliance towards deeper processes of critical reflection, professional dialogue, and continuous improvement (Schön, 1983; Deming, 1986).</w:t>
      </w:r>
    </w:p>
    <w:p w14:paraId="444248DA" w14:textId="1B1CC1A4"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This paper explores what is meant by quality in early years provision, why it is important, and how it is known that children benefit from access to high-quality settings. It then critically examines the role of methods and tools in enhancing quality, with particular focus on external quality assurance frameworks and the Quality Improvement Programme (QIP) developed by Early Years Wales. Throughout, the discussion draws on theory, research, and Welsh policy, while reflecting on the types of information required to meaningfully improve provision. In doing so, it argues that quality is best understood as a dynamic and reflective process rather than a static outcome.</w:t>
      </w:r>
    </w:p>
    <w:p w14:paraId="3DF1B906" w14:textId="1F8EA970" w:rsidR="00BE1073" w:rsidRPr="00BE1073" w:rsidRDefault="00BE1073"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BE1073">
        <w:rPr>
          <w:rFonts w:ascii="Arial" w:eastAsia="Times New Roman" w:hAnsi="Arial" w:cs="Arial"/>
          <w:b/>
          <w:bCs/>
          <w:color w:val="000000"/>
          <w:kern w:val="0"/>
          <w:lang w:eastAsia="en-GB"/>
          <w14:ligatures w14:val="none"/>
        </w:rPr>
        <w:t>Quality in Early Years Provision</w:t>
      </w:r>
    </w:p>
    <w:p w14:paraId="7D53EF3F"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lastRenderedPageBreak/>
        <w:t xml:space="preserve">Quality in early childhood education is widely recognised as a multi-dimensional construct, encompassing structural, process, and outcome elements (Siraj-Blatchford </w:t>
      </w:r>
      <w:r w:rsidRPr="00BE1073">
        <w:rPr>
          <w:rFonts w:ascii="Arial" w:eastAsia="Times New Roman" w:hAnsi="Arial" w:cs="Arial"/>
          <w:i/>
          <w:iCs/>
          <w:color w:val="000000"/>
          <w:kern w:val="0"/>
          <w:lang w:eastAsia="en-GB"/>
          <w14:ligatures w14:val="none"/>
        </w:rPr>
        <w:t>et al.,</w:t>
      </w:r>
      <w:r w:rsidRPr="00BE1073">
        <w:rPr>
          <w:rFonts w:ascii="Arial" w:eastAsia="Times New Roman" w:hAnsi="Arial" w:cs="Arial"/>
          <w:color w:val="000000"/>
          <w:kern w:val="0"/>
          <w:lang w:eastAsia="en-GB"/>
          <w14:ligatures w14:val="none"/>
        </w:rPr>
        <w:t xml:space="preserve"> 2002). Structural quality includes measurable aspects such as staff qualifications, adult-child ratios, and physical resources. These elements are often prioritised within regulatory frameworks because they are visible, standardised, and relatively easy to quantify. However, while structural conditions create the foundation for provision, research consistently demonstrates that they do not, in isolation, guarantee high-quality experiences for children.</w:t>
      </w:r>
    </w:p>
    <w:p w14:paraId="180E3C73" w14:textId="7A79BA19"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Process quality, particularly the nature of interactions between practitioners and children, is increasingly recognised as more influential. This aligns with Lev Vygotsky’s (1978) theory of social constructivism, which emphasises that learning is mediated through social interaction and guided support. High-quality interactions</w:t>
      </w:r>
      <w:r>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characterised by responsiveness, sensitivity, and effective scaffolding</w:t>
      </w:r>
      <w:r>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support children’s cognitive, social, and emotional development. These interactions enable practitioners to extend children’s thinking, respond to their interests, and create meaningful learning experiences.</w:t>
      </w:r>
    </w:p>
    <w:p w14:paraId="7531C54A"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 xml:space="preserve">Reflecting on practice, it is evident that environments with strong relational approaches often produce more engaged and confident learners, even when structural conditions are similar. This reinforces findings from the EPPE study (Sylva </w:t>
      </w:r>
      <w:r w:rsidRPr="00BE1073">
        <w:rPr>
          <w:rFonts w:ascii="Arial" w:eastAsia="Times New Roman" w:hAnsi="Arial" w:cs="Arial"/>
          <w:i/>
          <w:iCs/>
          <w:color w:val="000000"/>
          <w:kern w:val="0"/>
          <w:lang w:eastAsia="en-GB"/>
          <w14:ligatures w14:val="none"/>
        </w:rPr>
        <w:t>et al.,</w:t>
      </w:r>
      <w:r w:rsidRPr="00BE1073">
        <w:rPr>
          <w:rFonts w:ascii="Arial" w:eastAsia="Times New Roman" w:hAnsi="Arial" w:cs="Arial"/>
          <w:color w:val="000000"/>
          <w:kern w:val="0"/>
          <w:lang w:eastAsia="en-GB"/>
          <w14:ligatures w14:val="none"/>
        </w:rPr>
        <w:t xml:space="preserve"> 2004), which identified process quality as a key determinant of positive outcomes. It suggests that quality is less about what settings have, and more about what practitioners do and how they interact with children. This distinction is critical, as it shifts the focus from compliance with standards to the quality of lived experiences within settings.</w:t>
      </w:r>
    </w:p>
    <w:p w14:paraId="116AACF5"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In Wales, quality is framed through the Curriculum for Wales (Welsh Government, 2022), which emphasises holistic development across the four purposes. This represents a significant shift away from narrow academic measures towards a broader understanding of well-being, creativity, identity, and lifelong learning. While this vision aligns with contemporary research and progressive pedagogy, translating these principles into consistent practice presents challenges. Practitioners must navigate tensions between child-centred approaches and accountability requirements, often within constrained resources and time pressures.</w:t>
      </w:r>
    </w:p>
    <w:p w14:paraId="16F5A70B" w14:textId="3A49B0D2"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lastRenderedPageBreak/>
        <w:t>Dahlberg, Moss and Pence (2013) argue that quality should not be understood as a fixed standard, but as a value-based and context-dependent concept. This perspective is particularly relevant in Wales, where bilingualism, cultural identity, and community context play a significant role in shaping provision. However, this also creates a dilemma. If quality is entirely subjective, it becomes difficult to ensure consistency, equity, and accountability across settings. This highlights the need for a balanced approach that recognises contextual diversity while maintaining shared principles and expectations.</w:t>
      </w:r>
    </w:p>
    <w:p w14:paraId="69161135" w14:textId="77777777" w:rsidR="00BE1073" w:rsidRPr="00BE1073" w:rsidRDefault="00BE1073"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BE1073">
        <w:rPr>
          <w:rFonts w:ascii="Arial" w:eastAsia="Times New Roman" w:hAnsi="Arial" w:cs="Arial"/>
          <w:b/>
          <w:bCs/>
          <w:color w:val="000000"/>
          <w:kern w:val="0"/>
          <w:lang w:eastAsia="en-GB"/>
          <w14:ligatures w14:val="none"/>
        </w:rPr>
        <w:t>Why Quality Matters</w:t>
      </w:r>
    </w:p>
    <w:p w14:paraId="0774B64B" w14:textId="34ADF714"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 xml:space="preserve">The importance of high-quality early years provision is strongly supported by a substantial body of research. </w:t>
      </w:r>
      <w:r w:rsidRPr="00BE1073">
        <w:rPr>
          <w:rFonts w:ascii="Arial" w:hAnsi="Arial" w:cs="Arial"/>
          <w:color w:val="000000"/>
        </w:rPr>
        <w:t xml:space="preserve">Longitudinal studies, such as the </w:t>
      </w:r>
      <w:r>
        <w:rPr>
          <w:rFonts w:ascii="Arial" w:hAnsi="Arial" w:cs="Arial"/>
          <w:color w:val="000000"/>
        </w:rPr>
        <w:t>Effective Provision of Pre-School Education (</w:t>
      </w:r>
      <w:r w:rsidRPr="00BE1073">
        <w:rPr>
          <w:rFonts w:ascii="Arial" w:hAnsi="Arial" w:cs="Arial"/>
          <w:color w:val="000000"/>
        </w:rPr>
        <w:t>EPPE</w:t>
      </w:r>
      <w:r>
        <w:rPr>
          <w:rFonts w:ascii="Arial" w:hAnsi="Arial" w:cs="Arial"/>
          <w:color w:val="000000"/>
        </w:rPr>
        <w:t>)</w:t>
      </w:r>
      <w:r w:rsidRPr="00BE1073">
        <w:rPr>
          <w:rFonts w:ascii="Arial" w:hAnsi="Arial" w:cs="Arial"/>
          <w:color w:val="000000"/>
        </w:rPr>
        <w:t xml:space="preserve"> project (Sylva </w:t>
      </w:r>
      <w:r w:rsidRPr="00BE1073">
        <w:rPr>
          <w:rFonts w:ascii="Arial" w:hAnsi="Arial" w:cs="Arial"/>
          <w:i/>
          <w:iCs/>
          <w:color w:val="000000"/>
        </w:rPr>
        <w:t>et al.,</w:t>
      </w:r>
      <w:r w:rsidRPr="00BE1073">
        <w:rPr>
          <w:rFonts w:ascii="Arial" w:hAnsi="Arial" w:cs="Arial"/>
          <w:color w:val="000000"/>
        </w:rPr>
        <w:t xml:space="preserve"> 2004) and the </w:t>
      </w:r>
      <w:r>
        <w:rPr>
          <w:rFonts w:ascii="Arial" w:hAnsi="Arial" w:cs="Arial"/>
          <w:color w:val="000000"/>
        </w:rPr>
        <w:t>National Institute of Child Health and Human Development (</w:t>
      </w:r>
      <w:r w:rsidRPr="00BE1073">
        <w:rPr>
          <w:rFonts w:ascii="Arial" w:hAnsi="Arial" w:cs="Arial"/>
          <w:color w:val="000000"/>
        </w:rPr>
        <w:t>NICHD</w:t>
      </w:r>
      <w:r>
        <w:rPr>
          <w:rFonts w:ascii="Arial" w:hAnsi="Arial" w:cs="Arial"/>
          <w:color w:val="000000"/>
        </w:rPr>
        <w:t>)</w:t>
      </w:r>
      <w:r w:rsidRPr="00BE1073">
        <w:rPr>
          <w:rFonts w:ascii="Arial" w:hAnsi="Arial" w:cs="Arial"/>
          <w:color w:val="000000"/>
        </w:rPr>
        <w:t xml:space="preserve"> study (NICHD Early Child Care Research Network, 2005), demonstrate that children who attend high-quality settings experience improved cognitive, social, and educational outcomes. Importantly, these benefits are not short-term; they have lasting effects on children’s academic achievement, behaviour, and life opportunities (Sylva </w:t>
      </w:r>
      <w:r w:rsidRPr="00BE1073">
        <w:rPr>
          <w:rFonts w:ascii="Arial" w:hAnsi="Arial" w:cs="Arial"/>
          <w:i/>
          <w:iCs/>
          <w:color w:val="000000"/>
        </w:rPr>
        <w:t>et al.,</w:t>
      </w:r>
      <w:r w:rsidRPr="00BE1073">
        <w:rPr>
          <w:rFonts w:ascii="Arial" w:hAnsi="Arial" w:cs="Arial"/>
          <w:color w:val="000000"/>
        </w:rPr>
        <w:t xml:space="preserve"> 2004; NICHD Early Child Care Research Network, 2005; Shonkoff and Phillips, 2000).</w:t>
      </w:r>
      <w:r>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 xml:space="preserve">The significance of process quality is particularly evident in relation to adult-child interactions. Vygotsky’s (1978) concept of the Zone of Proximal Development highlights the role of skilled practitioners in extending children’s learning through appropriate support and challenge. Reflecting on practice, </w:t>
      </w:r>
      <w:proofErr w:type="gramStart"/>
      <w:r w:rsidRPr="00BE1073">
        <w:rPr>
          <w:rFonts w:ascii="Arial" w:eastAsia="Times New Roman" w:hAnsi="Arial" w:cs="Arial"/>
          <w:color w:val="000000"/>
          <w:kern w:val="0"/>
          <w:lang w:eastAsia="en-GB"/>
          <w14:ligatures w14:val="none"/>
        </w:rPr>
        <w:t>it is clear that sensitive</w:t>
      </w:r>
      <w:proofErr w:type="gramEnd"/>
      <w:r w:rsidRPr="00BE1073">
        <w:rPr>
          <w:rFonts w:ascii="Arial" w:eastAsia="Times New Roman" w:hAnsi="Arial" w:cs="Arial"/>
          <w:color w:val="000000"/>
          <w:kern w:val="0"/>
          <w:lang w:eastAsia="en-GB"/>
          <w14:ligatures w14:val="none"/>
        </w:rPr>
        <w:t xml:space="preserve"> and responsive interactions can transform children’s engagement, confidence, and independence. This reinforces the idea that quality is embedded in everyday interactions rather than solely in planned activities or resources.</w:t>
      </w:r>
      <w:r>
        <w:rPr>
          <w:rFonts w:ascii="Arial" w:eastAsia="Times New Roman" w:hAnsi="Arial" w:cs="Arial"/>
          <w:color w:val="000000"/>
          <w:kern w:val="0"/>
          <w:lang w:eastAsia="en-GB"/>
          <w14:ligatures w14:val="none"/>
        </w:rPr>
        <w:t xml:space="preserve"> </w:t>
      </w:r>
      <w:r w:rsidRPr="00BE1073">
        <w:rPr>
          <w:rFonts w:ascii="Arial" w:hAnsi="Arial" w:cs="Arial"/>
          <w:color w:val="000000"/>
        </w:rPr>
        <w:t xml:space="preserve">(Siraj-Blatchford </w:t>
      </w:r>
      <w:r w:rsidRPr="00BE1073">
        <w:rPr>
          <w:rFonts w:ascii="Arial" w:hAnsi="Arial" w:cs="Arial"/>
          <w:i/>
          <w:iCs/>
          <w:color w:val="000000"/>
        </w:rPr>
        <w:t>et al.,</w:t>
      </w:r>
      <w:r w:rsidRPr="00BE1073">
        <w:rPr>
          <w:rFonts w:ascii="Arial" w:hAnsi="Arial" w:cs="Arial"/>
          <w:color w:val="000000"/>
        </w:rPr>
        <w:t xml:space="preserve"> 2002; Sylva </w:t>
      </w:r>
      <w:r w:rsidRPr="00BE1073">
        <w:rPr>
          <w:rFonts w:ascii="Arial" w:hAnsi="Arial" w:cs="Arial"/>
          <w:i/>
          <w:iCs/>
          <w:color w:val="000000"/>
        </w:rPr>
        <w:t>et al.,</w:t>
      </w:r>
      <w:r w:rsidRPr="00BE1073">
        <w:rPr>
          <w:rFonts w:ascii="Arial" w:hAnsi="Arial" w:cs="Arial"/>
          <w:color w:val="000000"/>
        </w:rPr>
        <w:t xml:space="preserve"> 2004;</w:t>
      </w:r>
      <w:r w:rsidRPr="00BE1073">
        <w:rPr>
          <w:rStyle w:val="apple-converted-space"/>
          <w:rFonts w:ascii="Arial" w:hAnsi="Arial" w:cs="Arial"/>
          <w:color w:val="000000"/>
        </w:rPr>
        <w:t> </w:t>
      </w:r>
      <w:r w:rsidRPr="00BE1073">
        <w:rPr>
          <w:rStyle w:val="whitespace-normal"/>
          <w:rFonts w:ascii="Arial" w:hAnsi="Arial" w:cs="Arial"/>
          <w:color w:val="000000"/>
        </w:rPr>
        <w:t>Lev Vygotsky</w:t>
      </w:r>
      <w:r w:rsidRPr="00BE1073">
        <w:rPr>
          <w:rFonts w:ascii="Arial" w:hAnsi="Arial" w:cs="Arial"/>
          <w:color w:val="000000"/>
        </w:rPr>
        <w:t>, 1978).</w:t>
      </w:r>
    </w:p>
    <w:p w14:paraId="23821C70" w14:textId="47F40203"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Neuroscientific research further strengthens this argument, demonstrating that early experiences play a crucial role in shaping brain development (Shonkoff and Phillips, 2000). Positive relationships, rich language environments, and stimulating experiences contribute to neural development, while poor-quality environments can have long</w:t>
      </w:r>
      <w:r w:rsidR="00B86BD1">
        <w:rPr>
          <w:rFonts w:ascii="Arial" w:eastAsia="Times New Roman" w:hAnsi="Arial" w:cs="Arial"/>
          <w:color w:val="000000"/>
          <w:kern w:val="0"/>
          <w:lang w:eastAsia="en-GB"/>
          <w14:ligatures w14:val="none"/>
        </w:rPr>
        <w:t xml:space="preserve"> t</w:t>
      </w:r>
      <w:r w:rsidRPr="00BE1073">
        <w:rPr>
          <w:rFonts w:ascii="Arial" w:eastAsia="Times New Roman" w:hAnsi="Arial" w:cs="Arial"/>
          <w:color w:val="000000"/>
          <w:kern w:val="0"/>
          <w:lang w:eastAsia="en-GB"/>
          <w14:ligatures w14:val="none"/>
        </w:rPr>
        <w:t xml:space="preserve">erm negative effects. This highlights the ethical responsibility of practitioners to provide high-quality experiences that support children’s development </w:t>
      </w:r>
      <w:r w:rsidRPr="00BE1073">
        <w:rPr>
          <w:rFonts w:ascii="Arial" w:eastAsia="Times New Roman" w:hAnsi="Arial" w:cs="Arial"/>
          <w:color w:val="000000"/>
          <w:kern w:val="0"/>
          <w:lang w:eastAsia="en-GB"/>
          <w14:ligatures w14:val="none"/>
        </w:rPr>
        <w:lastRenderedPageBreak/>
        <w:t>during these critical early years.</w:t>
      </w:r>
      <w:r>
        <w:rPr>
          <w:rFonts w:ascii="Arial" w:eastAsia="Times New Roman" w:hAnsi="Arial" w:cs="Arial"/>
          <w:color w:val="000000"/>
          <w:kern w:val="0"/>
          <w:lang w:eastAsia="en-GB"/>
          <w14:ligatures w14:val="none"/>
        </w:rPr>
        <w:t xml:space="preserve"> </w:t>
      </w:r>
      <w:r w:rsidRPr="00BE1073">
        <w:rPr>
          <w:rFonts w:ascii="Arial" w:hAnsi="Arial" w:cs="Arial"/>
          <w:color w:val="000000"/>
        </w:rPr>
        <w:t xml:space="preserve">(Shonkoff and Phillips, 2000; Sylva </w:t>
      </w:r>
      <w:r w:rsidRPr="00BE1073">
        <w:rPr>
          <w:rFonts w:ascii="Arial" w:hAnsi="Arial" w:cs="Arial"/>
          <w:i/>
          <w:iCs/>
          <w:color w:val="000000"/>
        </w:rPr>
        <w:t>et al.,</w:t>
      </w:r>
      <w:r w:rsidRPr="00BE1073">
        <w:rPr>
          <w:rFonts w:ascii="Arial" w:hAnsi="Arial" w:cs="Arial"/>
          <w:color w:val="000000"/>
        </w:rPr>
        <w:t xml:space="preserve"> 2004;</w:t>
      </w:r>
      <w:r w:rsidRPr="00BE1073">
        <w:rPr>
          <w:rStyle w:val="apple-converted-space"/>
          <w:rFonts w:ascii="Arial" w:hAnsi="Arial" w:cs="Arial"/>
          <w:color w:val="000000"/>
        </w:rPr>
        <w:t> </w:t>
      </w:r>
      <w:r w:rsidRPr="00BE1073">
        <w:rPr>
          <w:rStyle w:val="whitespace-normal"/>
          <w:rFonts w:ascii="Arial" w:hAnsi="Arial" w:cs="Arial"/>
          <w:color w:val="000000"/>
        </w:rPr>
        <w:t>Lev Vygotsky</w:t>
      </w:r>
      <w:r w:rsidRPr="00BE1073">
        <w:rPr>
          <w:rFonts w:ascii="Arial" w:hAnsi="Arial" w:cs="Arial"/>
          <w:color w:val="000000"/>
        </w:rPr>
        <w:t>, 1978).</w:t>
      </w:r>
    </w:p>
    <w:p w14:paraId="3A08B743" w14:textId="76FE0E6B" w:rsidR="00BE1073" w:rsidRPr="00BE1073" w:rsidRDefault="00BE1073" w:rsidP="00D331CC">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 xml:space="preserve">In Wales, initiatives such as Flying Start aim to improve outcomes for children in disadvantaged areas by providing access to high-quality early years provision (Welsh Government, 2016). </w:t>
      </w:r>
      <w:r w:rsidR="00D331CC" w:rsidRPr="00D331CC">
        <w:rPr>
          <w:rFonts w:ascii="Arial" w:hAnsi="Arial" w:cs="Arial"/>
          <w:color w:val="000000"/>
        </w:rPr>
        <w:t>Evaluations indicate positive impacts, particularly in relation to language development and school readiness (Welsh Government, 2016). However, it is important to critically consider how these outcomes are measured. Standardised assessments may not fully capture the complexity of children’s experiences, particularly in relation to well-being, identity, and belonging (Dahlberg, Moss and Pence, 2013;</w:t>
      </w:r>
      <w:r w:rsidR="00D331CC" w:rsidRPr="00D331CC">
        <w:rPr>
          <w:rStyle w:val="apple-converted-space"/>
          <w:rFonts w:ascii="Arial" w:hAnsi="Arial" w:cs="Arial"/>
          <w:color w:val="000000"/>
        </w:rPr>
        <w:t> </w:t>
      </w:r>
      <w:r w:rsidR="00D331CC" w:rsidRPr="00D331CC">
        <w:rPr>
          <w:rStyle w:val="whitespace-normal"/>
          <w:rFonts w:ascii="Arial" w:hAnsi="Arial" w:cs="Arial"/>
          <w:color w:val="000000"/>
        </w:rPr>
        <w:t>Ferre Laevers</w:t>
      </w:r>
      <w:r w:rsidR="00D331CC" w:rsidRPr="00D331CC">
        <w:rPr>
          <w:rFonts w:ascii="Arial" w:hAnsi="Arial" w:cs="Arial"/>
          <w:color w:val="000000"/>
        </w:rPr>
        <w:t>, 2005; Moss, 2016).</w:t>
      </w:r>
      <w:r w:rsidR="00D331CC">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 xml:space="preserve">Dahlberg </w:t>
      </w:r>
      <w:r w:rsidRPr="00BE1073">
        <w:rPr>
          <w:rFonts w:ascii="Arial" w:eastAsia="Times New Roman" w:hAnsi="Arial" w:cs="Arial"/>
          <w:i/>
          <w:iCs/>
          <w:color w:val="000000"/>
          <w:kern w:val="0"/>
          <w:lang w:eastAsia="en-GB"/>
          <w14:ligatures w14:val="none"/>
        </w:rPr>
        <w:t>et al.</w:t>
      </w:r>
      <w:r w:rsidR="00B86BD1" w:rsidRPr="00B86BD1">
        <w:rPr>
          <w:rFonts w:ascii="Arial" w:eastAsia="Times New Roman" w:hAnsi="Arial" w:cs="Arial"/>
          <w:i/>
          <w:iCs/>
          <w:color w:val="000000"/>
          <w:kern w:val="0"/>
          <w:lang w:eastAsia="en-GB"/>
          <w14:ligatures w14:val="none"/>
        </w:rPr>
        <w:t>,</w:t>
      </w:r>
      <w:r w:rsidRPr="00BE1073">
        <w:rPr>
          <w:rFonts w:ascii="Arial" w:eastAsia="Times New Roman" w:hAnsi="Arial" w:cs="Arial"/>
          <w:color w:val="000000"/>
          <w:kern w:val="0"/>
          <w:lang w:eastAsia="en-GB"/>
          <w14:ligatures w14:val="none"/>
        </w:rPr>
        <w:t xml:space="preserve"> (2013) caution against an over-reliance on measurable outcomes, arguing that such approaches risk reducing quality to what can be easily quantified.</w:t>
      </w:r>
      <w:r w:rsidR="00D331CC" w:rsidRPr="00D331CC">
        <w:rPr>
          <w:rFonts w:ascii="-webkit-standard" w:hAnsi="-webkit-standard"/>
          <w:color w:val="000000"/>
          <w:sz w:val="27"/>
          <w:szCs w:val="27"/>
        </w:rPr>
        <w:t xml:space="preserve"> </w:t>
      </w:r>
      <w:r w:rsidR="00D331CC" w:rsidRPr="00D331CC">
        <w:rPr>
          <w:rFonts w:ascii="Arial" w:hAnsi="Arial" w:cs="Arial"/>
          <w:color w:val="000000"/>
        </w:rPr>
        <w:t>This may overlook important relational and ethical dimensions of practice. For example, a child’s sense of belonging, emotional security, or cultural identity are central to their experience but are difficult to measure (Dahlberg, Moss and Pence, 2013;</w:t>
      </w:r>
      <w:r w:rsidR="00D331CC" w:rsidRPr="00D331CC">
        <w:rPr>
          <w:rStyle w:val="apple-converted-space"/>
          <w:rFonts w:ascii="Arial" w:hAnsi="Arial" w:cs="Arial"/>
          <w:color w:val="000000"/>
        </w:rPr>
        <w:t> </w:t>
      </w:r>
      <w:r w:rsidR="00D331CC" w:rsidRPr="00D331CC">
        <w:rPr>
          <w:rStyle w:val="whitespace-normal"/>
          <w:rFonts w:ascii="Arial" w:hAnsi="Arial" w:cs="Arial"/>
          <w:color w:val="000000"/>
        </w:rPr>
        <w:t>Ferre Laevers</w:t>
      </w:r>
      <w:r w:rsidR="00D331CC" w:rsidRPr="00D331CC">
        <w:rPr>
          <w:rFonts w:ascii="Arial" w:hAnsi="Arial" w:cs="Arial"/>
          <w:color w:val="000000"/>
        </w:rPr>
        <w:t>, 2005). This raises important questions about whose perspectives are valued in defining quality and how children’s voices are represented (Moss, 2016;</w:t>
      </w:r>
      <w:r w:rsidR="00D331CC" w:rsidRPr="00D331CC">
        <w:rPr>
          <w:rStyle w:val="apple-converted-space"/>
          <w:rFonts w:ascii="Arial" w:hAnsi="Arial" w:cs="Arial"/>
          <w:color w:val="000000"/>
        </w:rPr>
        <w:t> </w:t>
      </w:r>
      <w:r w:rsidR="00D331CC" w:rsidRPr="00D331CC">
        <w:rPr>
          <w:rStyle w:val="whitespace-normal"/>
          <w:rFonts w:ascii="Arial" w:hAnsi="Arial" w:cs="Arial"/>
          <w:color w:val="000000"/>
        </w:rPr>
        <w:t>United Nations</w:t>
      </w:r>
      <w:r w:rsidR="00D331CC" w:rsidRPr="00D331CC">
        <w:rPr>
          <w:rFonts w:ascii="Arial" w:hAnsi="Arial" w:cs="Arial"/>
          <w:color w:val="000000"/>
        </w:rPr>
        <w:t>, 1989).</w:t>
      </w:r>
      <w:r w:rsidR="00D331CC">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Furthermore, Penn (2011) highlights the significant influence of socio-economic factors on children’s outcomes, suggesting that quality within settings cannot be considered in isolation. Bronfenbrenner’s (1979) ecological systems theory reinforces this, emphasising the interconnected influence of family, community, and wider societal structures. This suggests that while high-quality provision is essential, it cannot fully compensate for wider inequalities. Quality must therefore be understood as part of a broader system, influenced by policy, social context, and access to resources.</w:t>
      </w:r>
    </w:p>
    <w:p w14:paraId="7B6B4626" w14:textId="77777777" w:rsidR="00BE1073" w:rsidRPr="00BE1073" w:rsidRDefault="00BE1073"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BE1073">
        <w:rPr>
          <w:rFonts w:ascii="Arial" w:eastAsia="Times New Roman" w:hAnsi="Arial" w:cs="Arial"/>
          <w:b/>
          <w:bCs/>
          <w:color w:val="000000"/>
          <w:kern w:val="0"/>
          <w:lang w:eastAsia="en-GB"/>
          <w14:ligatures w14:val="none"/>
        </w:rPr>
        <w:t>Frameworks and Improvement</w:t>
      </w:r>
    </w:p>
    <w:p w14:paraId="5D6F2493"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Statutory frameworks and inspection systems play a central role in defining and monitoring quality. In Wales, organisations such as Estyn and Care Inspectorate Wales provide external evaluation, ensuring accountability, consistency, and public confidence in early years provision. These frameworks establish clear benchmarks and expectations, which can support settings in identifying areas for development.</w:t>
      </w:r>
    </w:p>
    <w:p w14:paraId="3D2F8802" w14:textId="359990EE"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lastRenderedPageBreak/>
        <w:t>However, despite their value, such systems are not without limitations. Ball (2003) argues that accountability systems can lead to performativity, where practitioners focus on meeting external criteria rather than engaging in meaningful practice. Perryman (2006) further suggests that inspection regimes can create a culture of surveillance, where practitioners feel monitored and judged. Reflecting on this, there is a risk that documentation, evidence gathering, and preparation for inspection become prioritised over authentic interactions with children.</w:t>
      </w:r>
      <w:r w:rsidR="00D331CC">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In contrast, the Quality Improvement Programme (QIP) developed by Early Years Wales offers a more developmental and practitioner-led approach. It encourages engagement in cycles of self-evaluation, action planning, and review (Early Years Wales, 2019). This aligns closely with Schön’s (1983) concept of the reflective practitioner, which emphasises the importance of reflection in professional learning and improvement.</w:t>
      </w:r>
      <w:r w:rsidR="00D331CC">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The QIP promotes practitioner ownership, supporting settings to identify their own priorities for improvement based on their unique context. It also encourages a holistic understanding of quality, considering children’s experiences, well-being, and engagement. However, this approach is not without challenges. Its reliance on self-assessment can introduce subjectivity, and its effectiveness depends on practitioners’ ability to engage critically with their practice.</w:t>
      </w:r>
    </w:p>
    <w:p w14:paraId="7C7AE004" w14:textId="10558C23" w:rsidR="00BE1073" w:rsidRPr="00BE1073" w:rsidRDefault="00BE1073" w:rsidP="00D331CC">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 xml:space="preserve">Comparing these approaches, </w:t>
      </w:r>
      <w:proofErr w:type="gramStart"/>
      <w:r w:rsidRPr="00BE1073">
        <w:rPr>
          <w:rFonts w:ascii="Arial" w:eastAsia="Times New Roman" w:hAnsi="Arial" w:cs="Arial"/>
          <w:color w:val="000000"/>
          <w:kern w:val="0"/>
          <w:lang w:eastAsia="en-GB"/>
          <w14:ligatures w14:val="none"/>
        </w:rPr>
        <w:t>it is clear that each</w:t>
      </w:r>
      <w:proofErr w:type="gramEnd"/>
      <w:r w:rsidRPr="00BE1073">
        <w:rPr>
          <w:rFonts w:ascii="Arial" w:eastAsia="Times New Roman" w:hAnsi="Arial" w:cs="Arial"/>
          <w:color w:val="000000"/>
          <w:kern w:val="0"/>
          <w:lang w:eastAsia="en-GB"/>
          <w14:ligatures w14:val="none"/>
        </w:rPr>
        <w:t xml:space="preserve"> has distinct strengths and limitations. External frameworks provide accountability, consistency, and public assurance, while QIP supports flexibility, professional agency, and continuous improvement. Rather than viewing these approaches as competing, they should be seen as complementary. Integrating both approaches enables a more balanced system, combining external accountability with internally driven reflection (Berwick, 2003; Welsh Government, 2015). This integrated approach is more likely to support sustainable and meaningful improvements in quality.</w:t>
      </w:r>
    </w:p>
    <w:p w14:paraId="10F0FBC2" w14:textId="77777777" w:rsidR="00BE1073" w:rsidRPr="00BE1073" w:rsidRDefault="00BE1073"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BE1073">
        <w:rPr>
          <w:rFonts w:ascii="Arial" w:eastAsia="Times New Roman" w:hAnsi="Arial" w:cs="Arial"/>
          <w:b/>
          <w:bCs/>
          <w:color w:val="000000"/>
          <w:kern w:val="0"/>
          <w:lang w:eastAsia="en-GB"/>
          <w14:ligatures w14:val="none"/>
        </w:rPr>
        <w:t>Information to Improve Quality</w:t>
      </w:r>
    </w:p>
    <w:p w14:paraId="07F6F029"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 xml:space="preserve">Improving provision requires access to a wide range of information, including both qualitative and quantitative data. Observational data on children’s interactions and engagement is particularly important for understanding process quality (Siraj-Blatchford </w:t>
      </w:r>
      <w:r w:rsidRPr="00BE1073">
        <w:rPr>
          <w:rFonts w:ascii="Arial" w:eastAsia="Times New Roman" w:hAnsi="Arial" w:cs="Arial"/>
          <w:i/>
          <w:iCs/>
          <w:color w:val="000000"/>
          <w:kern w:val="0"/>
          <w:lang w:eastAsia="en-GB"/>
          <w14:ligatures w14:val="none"/>
        </w:rPr>
        <w:t>et al.,</w:t>
      </w:r>
      <w:r w:rsidRPr="00BE1073">
        <w:rPr>
          <w:rFonts w:ascii="Arial" w:eastAsia="Times New Roman" w:hAnsi="Arial" w:cs="Arial"/>
          <w:color w:val="000000"/>
          <w:kern w:val="0"/>
          <w:lang w:eastAsia="en-GB"/>
          <w14:ligatures w14:val="none"/>
        </w:rPr>
        <w:t xml:space="preserve"> 2002). Such data provides insight into how children experience provision and how practitioners support their learning.</w:t>
      </w:r>
    </w:p>
    <w:p w14:paraId="5E048B73" w14:textId="09B5C35B"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lastRenderedPageBreak/>
        <w:t xml:space="preserve">Qualitative insights are often more meaningful than numerical data, as they capture the complexity and richness of children’s experiences (Sylva </w:t>
      </w:r>
      <w:r w:rsidRPr="00BE1073">
        <w:rPr>
          <w:rFonts w:ascii="Arial" w:eastAsia="Times New Roman" w:hAnsi="Arial" w:cs="Arial"/>
          <w:i/>
          <w:iCs/>
          <w:color w:val="000000"/>
          <w:kern w:val="0"/>
          <w:lang w:eastAsia="en-GB"/>
          <w14:ligatures w14:val="none"/>
        </w:rPr>
        <w:t>et al.,</w:t>
      </w:r>
      <w:r w:rsidRPr="00BE1073">
        <w:rPr>
          <w:rFonts w:ascii="Arial" w:eastAsia="Times New Roman" w:hAnsi="Arial" w:cs="Arial"/>
          <w:color w:val="000000"/>
          <w:kern w:val="0"/>
          <w:lang w:eastAsia="en-GB"/>
          <w14:ligatures w14:val="none"/>
        </w:rPr>
        <w:t xml:space="preserve"> 2004). For example, observing a child’s engagement, curiosity, or emotional responses provides valuable information that cannot be fully represented through standardised measures.</w:t>
      </w:r>
      <w:r w:rsidR="00D331CC">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Feedback from parents, staff, and children is also essential. Incorporating children’s voices aligns with rights-based approaches, as outlined by the United Nations Convention on the Rights of the Child (1989). Approaches such as the Mosaic approach (Clark and Moss, 2011) demonstrate how children can actively contribute to evaluations of provision.</w:t>
      </w:r>
    </w:p>
    <w:p w14:paraId="4DCA9E49" w14:textId="2B5A247A"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However, collecting and interpreting such information requires skill, sensitivity, and critical awareness. There is a risk that feedback becomes tokenistic if not genuinely embedded within practice. Similarly, assessment data, while useful, must be used critically. Biesta (2010) warns against an over-reliance on measurable outcomes, arguing that this can narrow educational aims and undermine holistic development.</w:t>
      </w:r>
      <w:r w:rsidR="00D331CC">
        <w:rPr>
          <w:rFonts w:ascii="Arial" w:eastAsia="Times New Roman" w:hAnsi="Arial" w:cs="Arial"/>
          <w:color w:val="000000"/>
          <w:kern w:val="0"/>
          <w:lang w:eastAsia="en-GB"/>
          <w14:ligatures w14:val="none"/>
        </w:rPr>
        <w:t xml:space="preserve"> </w:t>
      </w:r>
      <w:r w:rsidRPr="00BE1073">
        <w:rPr>
          <w:rFonts w:ascii="Arial" w:eastAsia="Times New Roman" w:hAnsi="Arial" w:cs="Arial"/>
          <w:color w:val="000000"/>
          <w:kern w:val="0"/>
          <w:lang w:eastAsia="en-GB"/>
          <w14:ligatures w14:val="none"/>
        </w:rPr>
        <w:t>Contextual information, including community needs, cultural factors, and socio-economic conditions, is also vital for understanding quality (Penn, 2011). Without this, evaluations of quality may lack depth and fail to account for the realities of different settings.</w:t>
      </w:r>
    </w:p>
    <w:p w14:paraId="078E0A10" w14:textId="0341FD2E" w:rsidR="00BE1073" w:rsidRPr="00BE1073" w:rsidRDefault="00BE1073" w:rsidP="00D331CC">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A key challenge lies not only in collecting information but in using it effectively. Data must inform reflection, decision-making, and action. Without this, it risks becoming a performative exercise driven by accountability rather than genuine improvement (Ball, 2003; Perryman, 2006). Effective use of information requires a reflective culture, where practitioners critically engage with data and use it to enhance practice.</w:t>
      </w:r>
    </w:p>
    <w:p w14:paraId="6F24C03B" w14:textId="77777777" w:rsidR="00BE1073" w:rsidRPr="00BE1073" w:rsidRDefault="00BE1073" w:rsidP="00BE1073">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BE1073">
        <w:rPr>
          <w:rFonts w:ascii="Arial" w:eastAsia="Times New Roman" w:hAnsi="Arial" w:cs="Arial"/>
          <w:b/>
          <w:bCs/>
          <w:color w:val="000000"/>
          <w:kern w:val="0"/>
          <w:lang w:eastAsia="en-GB"/>
          <w14:ligatures w14:val="none"/>
        </w:rPr>
        <w:t>Conclusion</w:t>
      </w:r>
    </w:p>
    <w:p w14:paraId="6FEF8F04"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Quality in early years provision is a complex, dynamic, and contested concept that cannot be reduced to a single definition or framework. While statutory systems in Wales provide an essential foundation, they are insufficient on their own to ensure high-quality practice. Research highlights the importance of process quality, particularly interactions, as well as the broader contextual factors that influence children’s experiences.</w:t>
      </w:r>
    </w:p>
    <w:p w14:paraId="544E88C2"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lastRenderedPageBreak/>
        <w:t>External frameworks and tools such as QIP offer valuable but partial approaches to quality improvement. External systems provide accountability and consistency, while developmental approaches support reflective practice and professional learning. A balanced integration of both is essential to achieve sustainable and meaningful improvement.</w:t>
      </w:r>
    </w:p>
    <w:p w14:paraId="63E16180" w14:textId="77777777" w:rsidR="00BE1073" w:rsidRPr="00BE1073" w:rsidRDefault="00BE1073" w:rsidP="00BE1073">
      <w:pPr>
        <w:spacing w:before="100" w:beforeAutospacing="1" w:after="100" w:afterAutospacing="1" w:line="360" w:lineRule="auto"/>
        <w:rPr>
          <w:rFonts w:ascii="Arial" w:eastAsia="Times New Roman" w:hAnsi="Arial" w:cs="Arial"/>
          <w:color w:val="000000"/>
          <w:kern w:val="0"/>
          <w:lang w:eastAsia="en-GB"/>
          <w14:ligatures w14:val="none"/>
        </w:rPr>
      </w:pPr>
      <w:r w:rsidRPr="00BE1073">
        <w:rPr>
          <w:rFonts w:ascii="Arial" w:eastAsia="Times New Roman" w:hAnsi="Arial" w:cs="Arial"/>
          <w:color w:val="000000"/>
          <w:kern w:val="0"/>
          <w:lang w:eastAsia="en-GB"/>
          <w14:ligatures w14:val="none"/>
        </w:rPr>
        <w:t>Ultimately, improving quality requires more than compliance with standards. It demands reflective practitioners who are informed by research, guided by professional judgement, and responsive to the needs of children and their communities. By embracing the complexity of quality and engaging in ongoing reflection, early years provision in Wales can move beyond minimum standards towards genuinely high-quality, inclusive, and meaningful experiences for all children.</w:t>
      </w:r>
    </w:p>
    <w:p w14:paraId="5A797B9F" w14:textId="75B99FFC" w:rsidR="00690935" w:rsidRPr="00690935" w:rsidRDefault="00690935" w:rsidP="00690935">
      <w:pPr>
        <w:rPr>
          <w:rFonts w:ascii="Arial" w:eastAsia="Times New Roman" w:hAnsi="Arial" w:cs="Arial"/>
          <w:color w:val="000000"/>
          <w:kern w:val="0"/>
          <w:lang w:eastAsia="en-GB"/>
          <w14:ligatures w14:val="none"/>
        </w:rPr>
      </w:pPr>
    </w:p>
    <w:p w14:paraId="1551FBEC" w14:textId="1D77E9EF" w:rsidR="00DB6384" w:rsidRDefault="00DB6384" w:rsidP="00DB6384">
      <w:pPr>
        <w:rPr>
          <w:rFonts w:ascii="Arial" w:eastAsia="Times New Roman" w:hAnsi="Arial" w:cs="Arial"/>
          <w:b/>
          <w:bCs/>
          <w:color w:val="000000"/>
          <w:kern w:val="0"/>
          <w:lang w:eastAsia="en-GB"/>
          <w14:ligatures w14:val="none"/>
        </w:rPr>
      </w:pPr>
    </w:p>
    <w:p w14:paraId="698AAB4B" w14:textId="77777777" w:rsidR="00B363B2" w:rsidRDefault="00B363B2" w:rsidP="00DB6384">
      <w:pPr>
        <w:rPr>
          <w:rFonts w:ascii="Arial" w:eastAsia="Times New Roman" w:hAnsi="Arial" w:cs="Arial"/>
          <w:b/>
          <w:bCs/>
          <w:color w:val="000000"/>
          <w:kern w:val="0"/>
          <w:lang w:eastAsia="en-GB"/>
          <w14:ligatures w14:val="none"/>
        </w:rPr>
      </w:pPr>
    </w:p>
    <w:p w14:paraId="5D227014" w14:textId="77777777" w:rsidR="00B363B2" w:rsidRDefault="00B363B2" w:rsidP="00DB6384">
      <w:pPr>
        <w:rPr>
          <w:rFonts w:ascii="Arial" w:eastAsia="Times New Roman" w:hAnsi="Arial" w:cs="Arial"/>
          <w:b/>
          <w:bCs/>
          <w:color w:val="000000"/>
          <w:kern w:val="0"/>
          <w:lang w:eastAsia="en-GB"/>
          <w14:ligatures w14:val="none"/>
        </w:rPr>
      </w:pPr>
    </w:p>
    <w:p w14:paraId="6B490E5C" w14:textId="77777777" w:rsidR="00B363B2" w:rsidRDefault="00B363B2" w:rsidP="00DB6384">
      <w:pPr>
        <w:rPr>
          <w:rFonts w:ascii="Arial" w:eastAsia="Times New Roman" w:hAnsi="Arial" w:cs="Arial"/>
          <w:b/>
          <w:bCs/>
          <w:color w:val="000000"/>
          <w:kern w:val="0"/>
          <w:lang w:eastAsia="en-GB"/>
          <w14:ligatures w14:val="none"/>
        </w:rPr>
      </w:pPr>
    </w:p>
    <w:p w14:paraId="09AA42D9" w14:textId="77777777" w:rsidR="00B363B2" w:rsidRDefault="00B363B2" w:rsidP="00DB6384">
      <w:pPr>
        <w:rPr>
          <w:rFonts w:ascii="Arial" w:eastAsia="Times New Roman" w:hAnsi="Arial" w:cs="Arial"/>
          <w:b/>
          <w:bCs/>
          <w:color w:val="000000"/>
          <w:kern w:val="0"/>
          <w:lang w:eastAsia="en-GB"/>
          <w14:ligatures w14:val="none"/>
        </w:rPr>
      </w:pPr>
    </w:p>
    <w:p w14:paraId="362CEA2B" w14:textId="77777777" w:rsidR="00B363B2" w:rsidRDefault="00B363B2" w:rsidP="00DB6384">
      <w:pPr>
        <w:rPr>
          <w:rFonts w:ascii="Arial" w:eastAsia="Times New Roman" w:hAnsi="Arial" w:cs="Arial"/>
          <w:b/>
          <w:bCs/>
          <w:color w:val="000000"/>
          <w:kern w:val="0"/>
          <w:lang w:eastAsia="en-GB"/>
          <w14:ligatures w14:val="none"/>
        </w:rPr>
      </w:pPr>
    </w:p>
    <w:p w14:paraId="14DE49D6" w14:textId="77777777" w:rsidR="00B363B2" w:rsidRDefault="00B363B2" w:rsidP="00DB6384">
      <w:pPr>
        <w:rPr>
          <w:rFonts w:ascii="Arial" w:eastAsia="Times New Roman" w:hAnsi="Arial" w:cs="Arial"/>
          <w:b/>
          <w:bCs/>
          <w:color w:val="000000"/>
          <w:kern w:val="0"/>
          <w:lang w:eastAsia="en-GB"/>
          <w14:ligatures w14:val="none"/>
        </w:rPr>
      </w:pPr>
    </w:p>
    <w:p w14:paraId="63E9AFF6"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68A511C9"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114574A6"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6E144239"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41BC9773"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6B81A8CE"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7349E647"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22A976FE"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64F13AD0"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26326C80"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7F20733A" w14:textId="77777777" w:rsidR="00B86BD1" w:rsidRDefault="00B86BD1" w:rsidP="00B363B2">
      <w:pPr>
        <w:spacing w:before="100" w:beforeAutospacing="1" w:after="100" w:afterAutospacing="1"/>
        <w:outlineLvl w:val="1"/>
        <w:rPr>
          <w:rFonts w:ascii="Arial" w:eastAsia="Times New Roman" w:hAnsi="Arial" w:cs="Arial"/>
          <w:b/>
          <w:bCs/>
          <w:color w:val="000000"/>
          <w:kern w:val="0"/>
          <w:lang w:eastAsia="en-GB"/>
          <w14:ligatures w14:val="none"/>
        </w:rPr>
      </w:pPr>
    </w:p>
    <w:p w14:paraId="4B4D47A8" w14:textId="77792F82" w:rsidR="00B363B2" w:rsidRPr="00B363B2" w:rsidRDefault="00B363B2" w:rsidP="00B363B2">
      <w:pPr>
        <w:spacing w:before="100" w:beforeAutospacing="1" w:after="100" w:afterAutospacing="1"/>
        <w:outlineLvl w:val="1"/>
        <w:rPr>
          <w:rFonts w:ascii="Arial" w:eastAsia="Times New Roman" w:hAnsi="Arial" w:cs="Arial"/>
          <w:b/>
          <w:bCs/>
          <w:color w:val="000000"/>
          <w:kern w:val="0"/>
          <w:lang w:eastAsia="en-GB"/>
          <w14:ligatures w14:val="none"/>
        </w:rPr>
      </w:pPr>
      <w:r w:rsidRPr="00B363B2">
        <w:rPr>
          <w:rFonts w:ascii="Arial" w:eastAsia="Times New Roman" w:hAnsi="Arial" w:cs="Arial"/>
          <w:b/>
          <w:bCs/>
          <w:color w:val="000000"/>
          <w:kern w:val="0"/>
          <w:lang w:eastAsia="en-GB"/>
          <w14:ligatures w14:val="none"/>
        </w:rPr>
        <w:lastRenderedPageBreak/>
        <w:t xml:space="preserve">Reference List </w:t>
      </w:r>
    </w:p>
    <w:p w14:paraId="514CB3A9"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Ball, S.J. (2003) ‘The teacher’s soul and the terrors of performativity’,</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Journal of Education Policy</w:t>
      </w:r>
      <w:r w:rsidRPr="0051460F">
        <w:rPr>
          <w:rFonts w:ascii="Arial" w:hAnsi="Arial" w:cs="Arial"/>
          <w:color w:val="000000"/>
        </w:rPr>
        <w:t>, 18(2), pp. 215–228. Available at:</w:t>
      </w:r>
      <w:r w:rsidRPr="0051460F">
        <w:rPr>
          <w:rStyle w:val="apple-converted-space"/>
          <w:rFonts w:ascii="Arial" w:eastAsiaTheme="majorEastAsia" w:hAnsi="Arial" w:cs="Arial"/>
          <w:color w:val="000000"/>
        </w:rPr>
        <w:t> </w:t>
      </w:r>
      <w:hyperlink r:id="rId7" w:tgtFrame="_new" w:history="1">
        <w:r w:rsidRPr="0051460F">
          <w:rPr>
            <w:rStyle w:val="Hyperlink"/>
            <w:rFonts w:ascii="Arial" w:eastAsiaTheme="majorEastAsia" w:hAnsi="Arial" w:cs="Arial"/>
          </w:rPr>
          <w:t>https://www.researchgate.net/profile/Stephen-Ball-14/publication/232916965_The_Teacher's_Soul_and_the_Terrors_of_Perfomativity/links/543b81b10cf24a6ddb977693/The-Teachers-Soul-and-the-Terrors-of-Perfomativity.pdf</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06954279"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Berwick, D.M. (2003) ‘Disseminating innovations in health care’,</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JAMA</w:t>
      </w:r>
      <w:r w:rsidRPr="0051460F">
        <w:rPr>
          <w:rFonts w:ascii="Arial" w:hAnsi="Arial" w:cs="Arial"/>
          <w:color w:val="000000"/>
        </w:rPr>
        <w:t>, 289(15), pp. 1969–1975. Available at:</w:t>
      </w:r>
      <w:r w:rsidRPr="0051460F">
        <w:rPr>
          <w:rStyle w:val="apple-converted-space"/>
          <w:rFonts w:ascii="Arial" w:eastAsiaTheme="majorEastAsia" w:hAnsi="Arial" w:cs="Arial"/>
          <w:color w:val="000000"/>
        </w:rPr>
        <w:t> </w:t>
      </w:r>
      <w:hyperlink r:id="rId8" w:tgtFrame="_new" w:history="1">
        <w:r w:rsidRPr="0051460F">
          <w:rPr>
            <w:rStyle w:val="Hyperlink"/>
            <w:rFonts w:ascii="Arial" w:eastAsiaTheme="majorEastAsia" w:hAnsi="Arial" w:cs="Arial"/>
          </w:rPr>
          <w:t>https://www.researchgate.net/publication/10802283_Disseminating_Innovations_in_Health_Care</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2723DAE6"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Biesta, G. (2010)</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Good education in an age of measurement: Ethics, politics, democracy</w:t>
      </w:r>
      <w:r w:rsidRPr="0051460F">
        <w:rPr>
          <w:rFonts w:ascii="Arial" w:hAnsi="Arial" w:cs="Arial"/>
          <w:color w:val="000000"/>
        </w:rPr>
        <w:t>. Boulder: Paradigm Publishers. Available at:</w:t>
      </w:r>
      <w:r w:rsidRPr="0051460F">
        <w:rPr>
          <w:rStyle w:val="apple-converted-space"/>
          <w:rFonts w:ascii="Arial" w:eastAsiaTheme="majorEastAsia" w:hAnsi="Arial" w:cs="Arial"/>
          <w:color w:val="000000"/>
        </w:rPr>
        <w:t> </w:t>
      </w:r>
      <w:hyperlink r:id="rId9" w:tgtFrame="_new" w:history="1">
        <w:r w:rsidRPr="0051460F">
          <w:rPr>
            <w:rStyle w:val="Hyperlink"/>
            <w:rFonts w:ascii="Arial" w:eastAsiaTheme="majorEastAsia" w:hAnsi="Arial" w:cs="Arial"/>
          </w:rPr>
          <w:t>https://www.researchgate.net/publication/41529875_Good_Education_in_an_Age_of_Measurement_On_the_Need_to_Reconnect_with_the_Question_of_Purpose_in_Education</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25917336"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Bronfenbrenner, U. (1979)</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The ecology of human development</w:t>
      </w:r>
      <w:r w:rsidRPr="0051460F">
        <w:rPr>
          <w:rFonts w:ascii="Arial" w:hAnsi="Arial" w:cs="Arial"/>
          <w:color w:val="000000"/>
        </w:rPr>
        <w:t>. Cambridge, MA: Harvard University Press. Available at:</w:t>
      </w:r>
      <w:r w:rsidRPr="0051460F">
        <w:rPr>
          <w:rStyle w:val="apple-converted-space"/>
          <w:rFonts w:ascii="Arial" w:eastAsiaTheme="majorEastAsia" w:hAnsi="Arial" w:cs="Arial"/>
          <w:color w:val="000000"/>
        </w:rPr>
        <w:t> </w:t>
      </w:r>
      <w:hyperlink r:id="rId10" w:tgtFrame="_new" w:history="1">
        <w:r w:rsidRPr="0051460F">
          <w:rPr>
            <w:rStyle w:val="Hyperlink"/>
            <w:rFonts w:ascii="Arial" w:eastAsiaTheme="majorEastAsia" w:hAnsi="Arial" w:cs="Arial"/>
          </w:rPr>
          <w:t>https://raggeduniversity.co.uk/wp-content/uploads/2025/02/1_x_The-Ecology-of-Human-Development-_-Experiments-by-Nature-and-Urie-Bronfenbrenner-Harvard-University-Press-Cambridge-Mass-1979-_compressed.pdf</w:t>
        </w:r>
      </w:hyperlink>
      <w:r w:rsidRPr="0051460F">
        <w:rPr>
          <w:rStyle w:val="apple-converted-space"/>
          <w:rFonts w:ascii="Arial" w:eastAsiaTheme="majorEastAsia" w:hAnsi="Arial" w:cs="Arial"/>
          <w:color w:val="000000"/>
        </w:rPr>
        <w:t> </w:t>
      </w:r>
      <w:r w:rsidRPr="0051460F">
        <w:rPr>
          <w:rFonts w:ascii="Arial" w:hAnsi="Arial" w:cs="Arial"/>
          <w:color w:val="000000"/>
        </w:rPr>
        <w:t>(Accessed: 8 March 2025).</w:t>
      </w:r>
    </w:p>
    <w:p w14:paraId="57FDA74C"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Care Inspectorate Wales (CIW) (2021)</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Annual report and accounts 2020–2021</w:t>
      </w:r>
      <w:r w:rsidRPr="0051460F">
        <w:rPr>
          <w:rFonts w:ascii="Arial" w:hAnsi="Arial" w:cs="Arial"/>
          <w:color w:val="000000"/>
        </w:rPr>
        <w:t>. Available at:</w:t>
      </w:r>
      <w:r w:rsidRPr="0051460F">
        <w:rPr>
          <w:rStyle w:val="apple-converted-space"/>
          <w:rFonts w:ascii="Arial" w:eastAsiaTheme="majorEastAsia" w:hAnsi="Arial" w:cs="Arial"/>
          <w:color w:val="000000"/>
        </w:rPr>
        <w:t> </w:t>
      </w:r>
      <w:hyperlink r:id="rId11" w:tgtFrame="_new" w:history="1">
        <w:r w:rsidRPr="0051460F">
          <w:rPr>
            <w:rStyle w:val="Hyperlink"/>
            <w:rFonts w:ascii="Arial" w:eastAsiaTheme="majorEastAsia" w:hAnsi="Arial" w:cs="Arial"/>
          </w:rPr>
          <w:t>https://www.careinspectorate.wales/annual-report-2020-2021</w:t>
        </w:r>
      </w:hyperlink>
      <w:r w:rsidRPr="0051460F">
        <w:rPr>
          <w:rStyle w:val="apple-converted-space"/>
          <w:rFonts w:ascii="Arial" w:eastAsiaTheme="majorEastAsia" w:hAnsi="Arial" w:cs="Arial"/>
          <w:color w:val="000000"/>
        </w:rPr>
        <w:t> </w:t>
      </w:r>
      <w:r w:rsidRPr="0051460F">
        <w:rPr>
          <w:rFonts w:ascii="Arial" w:hAnsi="Arial" w:cs="Arial"/>
          <w:color w:val="000000"/>
        </w:rPr>
        <w:t>(Accessed: 29 March 2026).</w:t>
      </w:r>
    </w:p>
    <w:p w14:paraId="3907EFCB"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Clark, A. and Moss, P. (2011)</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Listening to young children: The mosaic approach</w:t>
      </w:r>
      <w:r w:rsidRPr="0051460F">
        <w:rPr>
          <w:rFonts w:ascii="Arial" w:hAnsi="Arial" w:cs="Arial"/>
          <w:color w:val="000000"/>
        </w:rPr>
        <w:t xml:space="preserve">. 2nd </w:t>
      </w:r>
      <w:proofErr w:type="spellStart"/>
      <w:r w:rsidRPr="0051460F">
        <w:rPr>
          <w:rFonts w:ascii="Arial" w:hAnsi="Arial" w:cs="Arial"/>
          <w:color w:val="000000"/>
        </w:rPr>
        <w:t>edn</w:t>
      </w:r>
      <w:proofErr w:type="spellEnd"/>
      <w:r w:rsidRPr="0051460F">
        <w:rPr>
          <w:rFonts w:ascii="Arial" w:hAnsi="Arial" w:cs="Arial"/>
          <w:color w:val="000000"/>
        </w:rPr>
        <w:t>. London: National Children’s Bureau. Available at:</w:t>
      </w:r>
      <w:r w:rsidRPr="0051460F">
        <w:rPr>
          <w:rStyle w:val="apple-converted-space"/>
          <w:rFonts w:ascii="Arial" w:eastAsiaTheme="majorEastAsia" w:hAnsi="Arial" w:cs="Arial"/>
          <w:color w:val="000000"/>
        </w:rPr>
        <w:t> </w:t>
      </w:r>
      <w:hyperlink r:id="rId12" w:tgtFrame="_new" w:history="1">
        <w:r w:rsidRPr="0051460F">
          <w:rPr>
            <w:rStyle w:val="Hyperlink"/>
            <w:rFonts w:ascii="Arial" w:eastAsiaTheme="majorEastAsia" w:hAnsi="Arial" w:cs="Arial"/>
          </w:rPr>
          <w:t>https://www.researchgate.net/publication/334861998_Listening_to_Young_Children_A_Mosaic_approach</w:t>
        </w:r>
      </w:hyperlink>
      <w:r w:rsidRPr="0051460F">
        <w:rPr>
          <w:rStyle w:val="apple-converted-space"/>
          <w:rFonts w:ascii="Arial" w:eastAsiaTheme="majorEastAsia" w:hAnsi="Arial" w:cs="Arial"/>
          <w:color w:val="000000"/>
        </w:rPr>
        <w:t> </w:t>
      </w:r>
      <w:r w:rsidRPr="0051460F">
        <w:rPr>
          <w:rFonts w:ascii="Arial" w:hAnsi="Arial" w:cs="Arial"/>
          <w:color w:val="000000"/>
        </w:rPr>
        <w:t>(Accessed: 27 March 2026).</w:t>
      </w:r>
    </w:p>
    <w:p w14:paraId="008708C8"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Dahlberg, G., Moss, P. and Pence, A. (2013)</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Beyond quality in early childhood education and care</w:t>
      </w:r>
      <w:r w:rsidRPr="0051460F">
        <w:rPr>
          <w:rFonts w:ascii="Arial" w:hAnsi="Arial" w:cs="Arial"/>
          <w:color w:val="000000"/>
        </w:rPr>
        <w:t>. London: Routledge. Available at:</w:t>
      </w:r>
      <w:r w:rsidRPr="0051460F">
        <w:rPr>
          <w:rStyle w:val="apple-converted-space"/>
          <w:rFonts w:ascii="Arial" w:eastAsiaTheme="majorEastAsia" w:hAnsi="Arial" w:cs="Arial"/>
          <w:color w:val="000000"/>
        </w:rPr>
        <w:t> </w:t>
      </w:r>
      <w:hyperlink r:id="rId13" w:tgtFrame="_new" w:history="1">
        <w:r w:rsidRPr="0051460F">
          <w:rPr>
            <w:rStyle w:val="Hyperlink"/>
            <w:rFonts w:ascii="Arial" w:eastAsiaTheme="majorEastAsia" w:hAnsi="Arial" w:cs="Arial"/>
          </w:rPr>
          <w:t>https://www.researchgate.net/publication/227383645_Beyond_Quality_in_Early_Childhood_Education_and_Care_-_Languages_of_Evaluation</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57687F73"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Deming, W.E. (1986)</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Out of the crisis</w:t>
      </w:r>
      <w:r w:rsidRPr="0051460F">
        <w:rPr>
          <w:rFonts w:ascii="Arial" w:hAnsi="Arial" w:cs="Arial"/>
          <w:color w:val="000000"/>
        </w:rPr>
        <w:t>. Cambridge, MA: MIT Press. Available at:</w:t>
      </w:r>
      <w:r w:rsidRPr="0051460F">
        <w:rPr>
          <w:rStyle w:val="apple-converted-space"/>
          <w:rFonts w:ascii="Arial" w:eastAsiaTheme="majorEastAsia" w:hAnsi="Arial" w:cs="Arial"/>
          <w:color w:val="000000"/>
        </w:rPr>
        <w:t> </w:t>
      </w:r>
      <w:hyperlink r:id="rId14" w:anchor="page=62" w:tgtFrame="_new" w:history="1">
        <w:r w:rsidRPr="0051460F">
          <w:rPr>
            <w:rStyle w:val="Hyperlink"/>
            <w:rFonts w:ascii="Arial" w:eastAsiaTheme="majorEastAsia" w:hAnsi="Arial" w:cs="Arial"/>
          </w:rPr>
          <w:t>https://www.torrossa.com/en/resources/an/5671534#page=62</w:t>
        </w:r>
      </w:hyperlink>
      <w:r w:rsidRPr="0051460F">
        <w:rPr>
          <w:rStyle w:val="apple-converted-space"/>
          <w:rFonts w:ascii="Arial" w:eastAsiaTheme="majorEastAsia" w:hAnsi="Arial" w:cs="Arial"/>
          <w:color w:val="000000"/>
        </w:rPr>
        <w:t> </w:t>
      </w:r>
      <w:r w:rsidRPr="0051460F">
        <w:rPr>
          <w:rFonts w:ascii="Arial" w:hAnsi="Arial" w:cs="Arial"/>
          <w:color w:val="000000"/>
        </w:rPr>
        <w:t>(Accessed: 27 March 2026).</w:t>
      </w:r>
    </w:p>
    <w:p w14:paraId="5EEE51B8"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Donabedian, A. (1988) ‘The quality of care: How can it be assessed?’,</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JAMA</w:t>
      </w:r>
      <w:r w:rsidRPr="0051460F">
        <w:rPr>
          <w:rFonts w:ascii="Arial" w:hAnsi="Arial" w:cs="Arial"/>
          <w:color w:val="000000"/>
        </w:rPr>
        <w:t>, 260(12), pp. 1743–1748. Available at:</w:t>
      </w:r>
      <w:r w:rsidRPr="0051460F">
        <w:rPr>
          <w:rStyle w:val="apple-converted-space"/>
          <w:rFonts w:ascii="Arial" w:eastAsiaTheme="majorEastAsia" w:hAnsi="Arial" w:cs="Arial"/>
          <w:color w:val="000000"/>
        </w:rPr>
        <w:t> </w:t>
      </w:r>
      <w:hyperlink r:id="rId15" w:tgtFrame="_new" w:history="1">
        <w:r w:rsidRPr="0051460F">
          <w:rPr>
            <w:rStyle w:val="Hyperlink"/>
            <w:rFonts w:ascii="Arial" w:eastAsiaTheme="majorEastAsia" w:hAnsi="Arial" w:cs="Arial"/>
          </w:rPr>
          <w:t>https://pubmed.ncbi.nlm.nih.gov/3045356/</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77C1D735" w14:textId="77777777" w:rsidR="00B339A9" w:rsidRPr="0051460F" w:rsidRDefault="00B339A9" w:rsidP="00B339A9">
      <w:pPr>
        <w:pStyle w:val="NormalWeb"/>
        <w:rPr>
          <w:rFonts w:ascii="Arial" w:hAnsi="Arial" w:cs="Arial"/>
          <w:color w:val="000000"/>
        </w:rPr>
      </w:pPr>
      <w:r w:rsidRPr="0051460F">
        <w:rPr>
          <w:rFonts w:ascii="Arial" w:hAnsi="Arial" w:cs="Arial"/>
          <w:color w:val="000000"/>
        </w:rPr>
        <w:lastRenderedPageBreak/>
        <w:t>Early Years Wales (2019)</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Quality Improvement Programme (QIP)</w:t>
      </w:r>
      <w:r w:rsidRPr="0051460F">
        <w:rPr>
          <w:rFonts w:ascii="Arial" w:hAnsi="Arial" w:cs="Arial"/>
          <w:color w:val="000000"/>
        </w:rPr>
        <w:t>. Cardiff: Early Years Wales. Available at:</w:t>
      </w:r>
      <w:r w:rsidRPr="0051460F">
        <w:rPr>
          <w:rStyle w:val="apple-converted-space"/>
          <w:rFonts w:ascii="Arial" w:eastAsiaTheme="majorEastAsia" w:hAnsi="Arial" w:cs="Arial"/>
          <w:color w:val="000000"/>
        </w:rPr>
        <w:t> </w:t>
      </w:r>
      <w:hyperlink r:id="rId16" w:tgtFrame="_new" w:history="1">
        <w:r w:rsidRPr="0051460F">
          <w:rPr>
            <w:rStyle w:val="Hyperlink"/>
            <w:rFonts w:ascii="Arial" w:eastAsiaTheme="majorEastAsia" w:hAnsi="Arial" w:cs="Arial"/>
          </w:rPr>
          <w:t>https://www.earlyyears.wales/en/quality-for-all</w:t>
        </w:r>
      </w:hyperlink>
      <w:r w:rsidRPr="0051460F">
        <w:rPr>
          <w:rStyle w:val="apple-converted-space"/>
          <w:rFonts w:ascii="Arial" w:eastAsiaTheme="majorEastAsia" w:hAnsi="Arial" w:cs="Arial"/>
          <w:color w:val="000000"/>
        </w:rPr>
        <w:t> </w:t>
      </w:r>
      <w:r w:rsidRPr="0051460F">
        <w:rPr>
          <w:rFonts w:ascii="Arial" w:hAnsi="Arial" w:cs="Arial"/>
          <w:color w:val="000000"/>
        </w:rPr>
        <w:t>(Accessed: 29 March 2026).</w:t>
      </w:r>
    </w:p>
    <w:p w14:paraId="626A0483"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Estyn (2022)</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Annual report 2021–2022</w:t>
      </w:r>
      <w:r w:rsidRPr="0051460F">
        <w:rPr>
          <w:rFonts w:ascii="Arial" w:hAnsi="Arial" w:cs="Arial"/>
          <w:color w:val="000000"/>
        </w:rPr>
        <w:t>. Cardiff: Estyn. Available at:</w:t>
      </w:r>
      <w:r w:rsidRPr="0051460F">
        <w:rPr>
          <w:rStyle w:val="apple-converted-space"/>
          <w:rFonts w:ascii="Arial" w:eastAsiaTheme="majorEastAsia" w:hAnsi="Arial" w:cs="Arial"/>
          <w:color w:val="000000"/>
        </w:rPr>
        <w:t> </w:t>
      </w:r>
      <w:hyperlink r:id="rId17" w:tgtFrame="_new" w:history="1">
        <w:r w:rsidRPr="0051460F">
          <w:rPr>
            <w:rStyle w:val="Hyperlink"/>
            <w:rFonts w:ascii="Arial" w:eastAsiaTheme="majorEastAsia" w:hAnsi="Arial" w:cs="Arial"/>
          </w:rPr>
          <w:t>https://www.estyn.gov.wales/system/files/2022-10/Annual%20Report%20and%20Accounts%202021-2022.pdf</w:t>
        </w:r>
      </w:hyperlink>
      <w:r w:rsidRPr="0051460F">
        <w:rPr>
          <w:rStyle w:val="apple-converted-space"/>
          <w:rFonts w:ascii="Arial" w:eastAsiaTheme="majorEastAsia" w:hAnsi="Arial" w:cs="Arial"/>
          <w:color w:val="000000"/>
        </w:rPr>
        <w:t> </w:t>
      </w:r>
      <w:r w:rsidRPr="0051460F">
        <w:rPr>
          <w:rFonts w:ascii="Arial" w:hAnsi="Arial" w:cs="Arial"/>
          <w:color w:val="000000"/>
        </w:rPr>
        <w:t>(Accessed: 29 March 2026).</w:t>
      </w:r>
    </w:p>
    <w:p w14:paraId="183C03F6"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Laevers, F. (2005)</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The Leuven involvement scale for young children</w:t>
      </w:r>
      <w:r w:rsidRPr="0051460F">
        <w:rPr>
          <w:rFonts w:ascii="Arial" w:hAnsi="Arial" w:cs="Arial"/>
          <w:color w:val="000000"/>
        </w:rPr>
        <w:t>. Leuven: Centre for Experiential Education.</w:t>
      </w:r>
    </w:p>
    <w:p w14:paraId="5170BD32"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Moss, P. (2016) ‘Why can’t we get beyond quality?’,</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Contemporary Issues in Early Childhood</w:t>
      </w:r>
      <w:r w:rsidRPr="0051460F">
        <w:rPr>
          <w:rFonts w:ascii="Arial" w:hAnsi="Arial" w:cs="Arial"/>
          <w:color w:val="000000"/>
        </w:rPr>
        <w:t>, 17(1), pp. 8–15. doi:10.1177/1463949115627895.</w:t>
      </w:r>
    </w:p>
    <w:p w14:paraId="6D171648"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 xml:space="preserve">NICHD Early Child Care Research Network (2005) ‘Early </w:t>
      </w:r>
      <w:proofErr w:type="gramStart"/>
      <w:r w:rsidRPr="0051460F">
        <w:rPr>
          <w:rFonts w:ascii="Arial" w:hAnsi="Arial" w:cs="Arial"/>
          <w:color w:val="000000"/>
        </w:rPr>
        <w:t>child care</w:t>
      </w:r>
      <w:proofErr w:type="gramEnd"/>
      <w:r w:rsidRPr="0051460F">
        <w:rPr>
          <w:rFonts w:ascii="Arial" w:hAnsi="Arial" w:cs="Arial"/>
          <w:color w:val="000000"/>
        </w:rPr>
        <w:t xml:space="preserve"> and children’s development’,</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American Educational Research Journal</w:t>
      </w:r>
      <w:r w:rsidRPr="0051460F">
        <w:rPr>
          <w:rFonts w:ascii="Arial" w:hAnsi="Arial" w:cs="Arial"/>
          <w:color w:val="000000"/>
        </w:rPr>
        <w:t>, 42(3), pp. 537–570. Available at:</w:t>
      </w:r>
      <w:r w:rsidRPr="0051460F">
        <w:rPr>
          <w:rStyle w:val="apple-converted-space"/>
          <w:rFonts w:ascii="Arial" w:eastAsiaTheme="majorEastAsia" w:hAnsi="Arial" w:cs="Arial"/>
          <w:color w:val="000000"/>
        </w:rPr>
        <w:t> </w:t>
      </w:r>
      <w:hyperlink r:id="rId18" w:tgtFrame="_new" w:history="1">
        <w:r w:rsidRPr="0051460F">
          <w:rPr>
            <w:rStyle w:val="Hyperlink"/>
            <w:rFonts w:ascii="Arial" w:eastAsiaTheme="majorEastAsia" w:hAnsi="Arial" w:cs="Arial"/>
          </w:rPr>
          <w:t>https://www.nichd.nih.gov/sites/default/files/publications/pubs/documents/seccyd_06.pdf</w:t>
        </w:r>
      </w:hyperlink>
      <w:r w:rsidRPr="0051460F">
        <w:rPr>
          <w:rStyle w:val="apple-converted-space"/>
          <w:rFonts w:ascii="Arial" w:eastAsiaTheme="majorEastAsia" w:hAnsi="Arial" w:cs="Arial"/>
          <w:color w:val="000000"/>
        </w:rPr>
        <w:t> </w:t>
      </w:r>
      <w:r w:rsidRPr="0051460F">
        <w:rPr>
          <w:rFonts w:ascii="Arial" w:hAnsi="Arial" w:cs="Arial"/>
          <w:color w:val="000000"/>
        </w:rPr>
        <w:t>(Accessed: 27 March 2026).</w:t>
      </w:r>
    </w:p>
    <w:p w14:paraId="29BEB04F"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Penn, H. (2011)</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Quality in early childhood services</w:t>
      </w:r>
      <w:r w:rsidRPr="0051460F">
        <w:rPr>
          <w:rFonts w:ascii="Arial" w:hAnsi="Arial" w:cs="Arial"/>
          <w:color w:val="000000"/>
        </w:rPr>
        <w:t>. Maidenhead: Open University Press. Available at:</w:t>
      </w:r>
      <w:r w:rsidRPr="0051460F">
        <w:rPr>
          <w:rStyle w:val="apple-converted-space"/>
          <w:rFonts w:ascii="Arial" w:eastAsiaTheme="majorEastAsia" w:hAnsi="Arial" w:cs="Arial"/>
          <w:color w:val="000000"/>
        </w:rPr>
        <w:t> </w:t>
      </w:r>
      <w:hyperlink r:id="rId19" w:tgtFrame="_new" w:history="1">
        <w:r w:rsidRPr="0051460F">
          <w:rPr>
            <w:rStyle w:val="Hyperlink"/>
            <w:rFonts w:ascii="Arial" w:eastAsiaTheme="majorEastAsia" w:hAnsi="Arial" w:cs="Arial"/>
          </w:rPr>
          <w:t>https://books.google.co.uk/books?hl=en&amp;lr=&amp;id=0aqoAXhF_zgC&amp;oi=fnd&amp;pg=PP1</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137E8C9C"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Perryman, J. (2006) ‘Panoptic performativity and school inspection regimes: Disciplinary mechanisms and life under special measures’,</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Journal of Education Policy</w:t>
      </w:r>
      <w:r w:rsidRPr="0051460F">
        <w:rPr>
          <w:rFonts w:ascii="Arial" w:hAnsi="Arial" w:cs="Arial"/>
          <w:color w:val="000000"/>
        </w:rPr>
        <w:t>, 21(2), pp. 147–161.</w:t>
      </w:r>
    </w:p>
    <w:p w14:paraId="78E50234"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Schön, D.A. (1983)</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The reflective practitioner: How professionals think in action</w:t>
      </w:r>
      <w:r w:rsidRPr="0051460F">
        <w:rPr>
          <w:rFonts w:ascii="Arial" w:hAnsi="Arial" w:cs="Arial"/>
          <w:color w:val="000000"/>
        </w:rPr>
        <w:t>. New York: Basic Books. doi:10.4324/9781315237473.</w:t>
      </w:r>
    </w:p>
    <w:p w14:paraId="04927450"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Shonkoff, J.P. and Phillips, D.A. (2000)</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 xml:space="preserve">From neurons to </w:t>
      </w:r>
      <w:proofErr w:type="spellStart"/>
      <w:r w:rsidRPr="0051460F">
        <w:rPr>
          <w:rStyle w:val="Emphasis"/>
          <w:rFonts w:ascii="Arial" w:eastAsiaTheme="majorEastAsia" w:hAnsi="Arial" w:cs="Arial"/>
          <w:color w:val="000000"/>
        </w:rPr>
        <w:t>neighborhoods</w:t>
      </w:r>
      <w:proofErr w:type="spellEnd"/>
      <w:r w:rsidRPr="0051460F">
        <w:rPr>
          <w:rStyle w:val="Emphasis"/>
          <w:rFonts w:ascii="Arial" w:eastAsiaTheme="majorEastAsia" w:hAnsi="Arial" w:cs="Arial"/>
          <w:color w:val="000000"/>
        </w:rPr>
        <w:t>: The science of early childhood development</w:t>
      </w:r>
      <w:r w:rsidRPr="0051460F">
        <w:rPr>
          <w:rFonts w:ascii="Arial" w:hAnsi="Arial" w:cs="Arial"/>
          <w:color w:val="000000"/>
        </w:rPr>
        <w:t>. Washington, DC: National Academy Press. Available at:</w:t>
      </w:r>
      <w:r w:rsidRPr="0051460F">
        <w:rPr>
          <w:rStyle w:val="apple-converted-space"/>
          <w:rFonts w:ascii="Arial" w:eastAsiaTheme="majorEastAsia" w:hAnsi="Arial" w:cs="Arial"/>
          <w:color w:val="000000"/>
        </w:rPr>
        <w:t> </w:t>
      </w:r>
      <w:hyperlink r:id="rId20" w:tgtFrame="_new" w:history="1">
        <w:r w:rsidRPr="0051460F">
          <w:rPr>
            <w:rStyle w:val="Hyperlink"/>
            <w:rFonts w:ascii="Arial" w:eastAsiaTheme="majorEastAsia" w:hAnsi="Arial" w:cs="Arial"/>
          </w:rPr>
          <w:t>https://www.ncbi.nlm.nih.gov/books/NBK225557/</w:t>
        </w:r>
      </w:hyperlink>
      <w:r w:rsidRPr="0051460F">
        <w:rPr>
          <w:rFonts w:ascii="Arial" w:hAnsi="Arial" w:cs="Arial"/>
          <w:color w:val="000000"/>
        </w:rPr>
        <w:t>(Accessed: 20 March 2026).</w:t>
      </w:r>
    </w:p>
    <w:p w14:paraId="0184D870"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Siraj-Blatchford, I. et al. (2002)</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Researching effective pedagogy in the early years (REPEY)</w:t>
      </w:r>
      <w:r w:rsidRPr="0051460F">
        <w:rPr>
          <w:rFonts w:ascii="Arial" w:hAnsi="Arial" w:cs="Arial"/>
          <w:color w:val="000000"/>
        </w:rPr>
        <w:t>. Available at:</w:t>
      </w:r>
      <w:r w:rsidRPr="0051460F">
        <w:rPr>
          <w:rStyle w:val="apple-converted-space"/>
          <w:rFonts w:ascii="Arial" w:eastAsiaTheme="majorEastAsia" w:hAnsi="Arial" w:cs="Arial"/>
          <w:color w:val="000000"/>
        </w:rPr>
        <w:t> </w:t>
      </w:r>
      <w:hyperlink r:id="rId21" w:tgtFrame="_new" w:history="1">
        <w:r w:rsidRPr="0051460F">
          <w:rPr>
            <w:rStyle w:val="Hyperlink"/>
            <w:rFonts w:ascii="Arial" w:eastAsiaTheme="majorEastAsia" w:hAnsi="Arial" w:cs="Arial"/>
          </w:rPr>
          <w:t>https://dera.ioe.ac.uk/id/eprint/4650/1/RR356.pdf</w:t>
        </w:r>
      </w:hyperlink>
      <w:r w:rsidRPr="0051460F">
        <w:rPr>
          <w:rStyle w:val="apple-converted-space"/>
          <w:rFonts w:ascii="Arial" w:eastAsiaTheme="majorEastAsia" w:hAnsi="Arial" w:cs="Arial"/>
          <w:color w:val="000000"/>
        </w:rPr>
        <w:t> </w:t>
      </w:r>
      <w:r w:rsidRPr="0051460F">
        <w:rPr>
          <w:rFonts w:ascii="Arial" w:hAnsi="Arial" w:cs="Arial"/>
          <w:color w:val="000000"/>
        </w:rPr>
        <w:t>(Accessed: 11 March 2026).</w:t>
      </w:r>
    </w:p>
    <w:p w14:paraId="606FFD14"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Sylva, K. et al. (2004)</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The effective provision of pre-school education (EPPE) project: Final report</w:t>
      </w:r>
      <w:r w:rsidRPr="0051460F">
        <w:rPr>
          <w:rFonts w:ascii="Arial" w:hAnsi="Arial" w:cs="Arial"/>
          <w:color w:val="000000"/>
        </w:rPr>
        <w:t>. Available at:</w:t>
      </w:r>
      <w:r w:rsidRPr="0051460F">
        <w:rPr>
          <w:rStyle w:val="apple-converted-space"/>
          <w:rFonts w:ascii="Arial" w:eastAsiaTheme="majorEastAsia" w:hAnsi="Arial" w:cs="Arial"/>
          <w:color w:val="000000"/>
        </w:rPr>
        <w:t> </w:t>
      </w:r>
      <w:hyperlink r:id="rId22" w:tgtFrame="_new" w:history="1">
        <w:r w:rsidRPr="0051460F">
          <w:rPr>
            <w:rStyle w:val="Hyperlink"/>
            <w:rFonts w:ascii="Arial" w:eastAsiaTheme="majorEastAsia" w:hAnsi="Arial" w:cs="Arial"/>
          </w:rPr>
          <w:t>https://dera.ioe.ac.uk/id/eprint/18189/2/SSU-SF-2004-01.pdf</w:t>
        </w:r>
      </w:hyperlink>
      <w:r w:rsidRPr="0051460F">
        <w:rPr>
          <w:rStyle w:val="apple-converted-space"/>
          <w:rFonts w:ascii="Arial" w:eastAsiaTheme="majorEastAsia" w:hAnsi="Arial" w:cs="Arial"/>
          <w:color w:val="000000"/>
        </w:rPr>
        <w:t> </w:t>
      </w:r>
      <w:r w:rsidRPr="0051460F">
        <w:rPr>
          <w:rFonts w:ascii="Arial" w:hAnsi="Arial" w:cs="Arial"/>
          <w:color w:val="000000"/>
        </w:rPr>
        <w:t>(Accessed: 12 March 2026).</w:t>
      </w:r>
    </w:p>
    <w:p w14:paraId="434CD18B"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United Nations (1989)</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Convention on the Rights of the Child</w:t>
      </w:r>
      <w:r w:rsidRPr="0051460F">
        <w:rPr>
          <w:rFonts w:ascii="Arial" w:hAnsi="Arial" w:cs="Arial"/>
          <w:color w:val="000000"/>
        </w:rPr>
        <w:t>. New York: United Nations. Available at:</w:t>
      </w:r>
      <w:r w:rsidRPr="0051460F">
        <w:rPr>
          <w:rStyle w:val="apple-converted-space"/>
          <w:rFonts w:ascii="Arial" w:eastAsiaTheme="majorEastAsia" w:hAnsi="Arial" w:cs="Arial"/>
          <w:color w:val="000000"/>
        </w:rPr>
        <w:t> </w:t>
      </w:r>
      <w:hyperlink r:id="rId23" w:tgtFrame="_new" w:history="1">
        <w:r w:rsidRPr="0051460F">
          <w:rPr>
            <w:rStyle w:val="Hyperlink"/>
            <w:rFonts w:ascii="Arial" w:eastAsiaTheme="majorEastAsia" w:hAnsi="Arial" w:cs="Arial"/>
          </w:rPr>
          <w:t>https://www.unicef.org/child-rights-convention/convention-text</w:t>
        </w:r>
      </w:hyperlink>
      <w:r w:rsidRPr="0051460F">
        <w:rPr>
          <w:rStyle w:val="apple-converted-space"/>
          <w:rFonts w:ascii="Arial" w:eastAsiaTheme="majorEastAsia" w:hAnsi="Arial" w:cs="Arial"/>
          <w:color w:val="000000"/>
        </w:rPr>
        <w:t> </w:t>
      </w:r>
      <w:r w:rsidRPr="0051460F">
        <w:rPr>
          <w:rFonts w:ascii="Arial" w:hAnsi="Arial" w:cs="Arial"/>
          <w:color w:val="000000"/>
        </w:rPr>
        <w:t>(Accessed: 12 March 2026).</w:t>
      </w:r>
    </w:p>
    <w:p w14:paraId="750F884D" w14:textId="77777777" w:rsidR="00B339A9" w:rsidRPr="0051460F" w:rsidRDefault="00B339A9" w:rsidP="00B339A9">
      <w:pPr>
        <w:pStyle w:val="NormalWeb"/>
        <w:rPr>
          <w:rFonts w:ascii="Arial" w:hAnsi="Arial" w:cs="Arial"/>
          <w:color w:val="000000"/>
        </w:rPr>
      </w:pPr>
      <w:r w:rsidRPr="0051460F">
        <w:rPr>
          <w:rFonts w:ascii="Arial" w:hAnsi="Arial" w:cs="Arial"/>
          <w:color w:val="000000"/>
        </w:rPr>
        <w:lastRenderedPageBreak/>
        <w:t>Vygotsky, L.S. (1978)</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Mind in society</w:t>
      </w:r>
      <w:r w:rsidRPr="0051460F">
        <w:rPr>
          <w:rFonts w:ascii="Arial" w:hAnsi="Arial" w:cs="Arial"/>
          <w:color w:val="000000"/>
        </w:rPr>
        <w:t>. Cambridge, MA: Harvard University Press. Available at:</w:t>
      </w:r>
      <w:r w:rsidRPr="0051460F">
        <w:rPr>
          <w:rStyle w:val="apple-converted-space"/>
          <w:rFonts w:ascii="Arial" w:eastAsiaTheme="majorEastAsia" w:hAnsi="Arial" w:cs="Arial"/>
          <w:color w:val="000000"/>
        </w:rPr>
        <w:t> </w:t>
      </w:r>
      <w:hyperlink r:id="rId24" w:tgtFrame="_new" w:history="1">
        <w:r w:rsidRPr="0051460F">
          <w:rPr>
            <w:rStyle w:val="Hyperlink"/>
            <w:rFonts w:ascii="Arial" w:eastAsiaTheme="majorEastAsia" w:hAnsi="Arial" w:cs="Arial"/>
          </w:rPr>
          <w:t>https://d1wqtxts1xzle7.cloudfront.net/40011524/vygotskysummary_missing-libre.pdf</w:t>
        </w:r>
      </w:hyperlink>
      <w:r w:rsidRPr="0051460F">
        <w:rPr>
          <w:rStyle w:val="apple-converted-space"/>
          <w:rFonts w:ascii="Arial" w:eastAsiaTheme="majorEastAsia" w:hAnsi="Arial" w:cs="Arial"/>
          <w:color w:val="000000"/>
        </w:rPr>
        <w:t> </w:t>
      </w:r>
      <w:r w:rsidRPr="0051460F">
        <w:rPr>
          <w:rFonts w:ascii="Arial" w:hAnsi="Arial" w:cs="Arial"/>
          <w:color w:val="000000"/>
        </w:rPr>
        <w:t>(Accessed: 8 March 2026).</w:t>
      </w:r>
    </w:p>
    <w:p w14:paraId="6FECE4C3"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Welsh Government (2015)</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Successful futures: Independent review of curriculum and assessment arrangements in Wales</w:t>
      </w:r>
      <w:r w:rsidRPr="0051460F">
        <w:rPr>
          <w:rFonts w:ascii="Arial" w:hAnsi="Arial" w:cs="Arial"/>
          <w:color w:val="000000"/>
        </w:rPr>
        <w:t>. Available at:</w:t>
      </w:r>
      <w:r w:rsidRPr="0051460F">
        <w:rPr>
          <w:rStyle w:val="apple-converted-space"/>
          <w:rFonts w:ascii="Arial" w:eastAsiaTheme="majorEastAsia" w:hAnsi="Arial" w:cs="Arial"/>
          <w:color w:val="000000"/>
        </w:rPr>
        <w:t> </w:t>
      </w:r>
      <w:hyperlink r:id="rId25" w:tgtFrame="_new" w:history="1">
        <w:r w:rsidRPr="0051460F">
          <w:rPr>
            <w:rStyle w:val="Hyperlink"/>
            <w:rFonts w:ascii="Arial" w:eastAsiaTheme="majorEastAsia" w:hAnsi="Arial" w:cs="Arial"/>
          </w:rPr>
          <w:t>https://www.gov.wales/sites/default/files/publications/2018-03/successful-futures.pdf</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6E10F12B"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Welsh Government (2016)</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Flying Start: Evaluation</w:t>
      </w:r>
      <w:r w:rsidRPr="0051460F">
        <w:rPr>
          <w:rFonts w:ascii="Arial" w:hAnsi="Arial" w:cs="Arial"/>
          <w:color w:val="000000"/>
        </w:rPr>
        <w:t>. Available at:</w:t>
      </w:r>
      <w:r w:rsidRPr="0051460F">
        <w:rPr>
          <w:rStyle w:val="apple-converted-space"/>
          <w:rFonts w:ascii="Arial" w:eastAsiaTheme="majorEastAsia" w:hAnsi="Arial" w:cs="Arial"/>
          <w:color w:val="000000"/>
        </w:rPr>
        <w:t> </w:t>
      </w:r>
      <w:hyperlink r:id="rId26" w:tgtFrame="_new" w:history="1">
        <w:r w:rsidRPr="0051460F">
          <w:rPr>
            <w:rStyle w:val="Hyperlink"/>
            <w:rFonts w:ascii="Arial" w:eastAsiaTheme="majorEastAsia" w:hAnsi="Arial" w:cs="Arial"/>
          </w:rPr>
          <w:t>https://www.gov.wales/sites/default/files/publications/2025-09/national-minimum-standards-for-regulated-childcare.pdf</w:t>
        </w:r>
      </w:hyperlink>
      <w:r w:rsidRPr="0051460F">
        <w:rPr>
          <w:rStyle w:val="apple-converted-space"/>
          <w:rFonts w:ascii="Arial" w:eastAsiaTheme="majorEastAsia" w:hAnsi="Arial" w:cs="Arial"/>
          <w:color w:val="000000"/>
        </w:rPr>
        <w:t> </w:t>
      </w:r>
      <w:r w:rsidRPr="0051460F">
        <w:rPr>
          <w:rFonts w:ascii="Arial" w:hAnsi="Arial" w:cs="Arial"/>
          <w:color w:val="000000"/>
        </w:rPr>
        <w:t>(Accessed: 16 March 2026).</w:t>
      </w:r>
    </w:p>
    <w:p w14:paraId="1B00E0DB"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Welsh Government (2021)</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National minimum standards for regulated childcare for children up to the age of 12 years</w:t>
      </w:r>
      <w:r w:rsidRPr="0051460F">
        <w:rPr>
          <w:rFonts w:ascii="Arial" w:hAnsi="Arial" w:cs="Arial"/>
          <w:color w:val="000000"/>
        </w:rPr>
        <w:t>. Available at:</w:t>
      </w:r>
      <w:r w:rsidRPr="0051460F">
        <w:rPr>
          <w:rStyle w:val="apple-converted-space"/>
          <w:rFonts w:ascii="Arial" w:eastAsiaTheme="majorEastAsia" w:hAnsi="Arial" w:cs="Arial"/>
          <w:color w:val="000000"/>
        </w:rPr>
        <w:t> </w:t>
      </w:r>
      <w:hyperlink r:id="rId27" w:tgtFrame="_new" w:history="1">
        <w:r w:rsidRPr="0051460F">
          <w:rPr>
            <w:rStyle w:val="Hyperlink"/>
            <w:rFonts w:ascii="Arial" w:eastAsiaTheme="majorEastAsia" w:hAnsi="Arial" w:cs="Arial"/>
          </w:rPr>
          <w:t>https://www.gov.wales/sites/default/files/publications/2025-09/national-minimum-standards-for-regulated-childcare.pdf</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0BBEEA22" w14:textId="77777777" w:rsidR="00B339A9" w:rsidRPr="0051460F" w:rsidRDefault="00B339A9" w:rsidP="00B339A9">
      <w:pPr>
        <w:pStyle w:val="NormalWeb"/>
        <w:rPr>
          <w:rFonts w:ascii="Arial" w:hAnsi="Arial" w:cs="Arial"/>
          <w:color w:val="000000"/>
        </w:rPr>
      </w:pPr>
      <w:r w:rsidRPr="0051460F">
        <w:rPr>
          <w:rFonts w:ascii="Arial" w:hAnsi="Arial" w:cs="Arial"/>
          <w:color w:val="000000"/>
        </w:rPr>
        <w:t>Welsh Government (2022)</w:t>
      </w:r>
      <w:r w:rsidRPr="0051460F">
        <w:rPr>
          <w:rStyle w:val="apple-converted-space"/>
          <w:rFonts w:ascii="Arial" w:eastAsiaTheme="majorEastAsia" w:hAnsi="Arial" w:cs="Arial"/>
          <w:color w:val="000000"/>
        </w:rPr>
        <w:t> </w:t>
      </w:r>
      <w:r w:rsidRPr="0051460F">
        <w:rPr>
          <w:rStyle w:val="Emphasis"/>
          <w:rFonts w:ascii="Arial" w:eastAsiaTheme="majorEastAsia" w:hAnsi="Arial" w:cs="Arial"/>
          <w:color w:val="000000"/>
        </w:rPr>
        <w:t>Curriculum for Wales</w:t>
      </w:r>
      <w:r w:rsidRPr="0051460F">
        <w:rPr>
          <w:rFonts w:ascii="Arial" w:hAnsi="Arial" w:cs="Arial"/>
          <w:color w:val="000000"/>
        </w:rPr>
        <w:t>. Available at:</w:t>
      </w:r>
      <w:r w:rsidRPr="0051460F">
        <w:rPr>
          <w:rStyle w:val="apple-converted-space"/>
          <w:rFonts w:ascii="Arial" w:eastAsiaTheme="majorEastAsia" w:hAnsi="Arial" w:cs="Arial"/>
          <w:color w:val="000000"/>
        </w:rPr>
        <w:t> </w:t>
      </w:r>
      <w:hyperlink r:id="rId28" w:tgtFrame="_new" w:history="1">
        <w:r w:rsidRPr="0051460F">
          <w:rPr>
            <w:rStyle w:val="Hyperlink"/>
            <w:rFonts w:ascii="Arial" w:eastAsiaTheme="majorEastAsia" w:hAnsi="Arial" w:cs="Arial"/>
          </w:rPr>
          <w:t>https://www.gov.wales/curriculum-wales-statutory-guidance</w:t>
        </w:r>
      </w:hyperlink>
      <w:r w:rsidRPr="0051460F">
        <w:rPr>
          <w:rStyle w:val="apple-converted-space"/>
          <w:rFonts w:ascii="Arial" w:eastAsiaTheme="majorEastAsia" w:hAnsi="Arial" w:cs="Arial"/>
          <w:color w:val="000000"/>
        </w:rPr>
        <w:t> </w:t>
      </w:r>
      <w:r w:rsidRPr="0051460F">
        <w:rPr>
          <w:rFonts w:ascii="Arial" w:hAnsi="Arial" w:cs="Arial"/>
          <w:color w:val="000000"/>
        </w:rPr>
        <w:t>(Accessed: 20 March 2026).</w:t>
      </w:r>
    </w:p>
    <w:p w14:paraId="2235D099" w14:textId="702BE4FB" w:rsidR="00B363B2" w:rsidRDefault="00B363B2" w:rsidP="00B339A9">
      <w:pPr>
        <w:spacing w:before="100" w:beforeAutospacing="1" w:after="100" w:afterAutospacing="1"/>
      </w:pPr>
    </w:p>
    <w:sectPr w:rsidR="00B363B2">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9B281" w14:textId="77777777" w:rsidR="00D5674B" w:rsidRDefault="00D5674B" w:rsidP="00D331CC">
      <w:r>
        <w:separator/>
      </w:r>
    </w:p>
  </w:endnote>
  <w:endnote w:type="continuationSeparator" w:id="0">
    <w:p w14:paraId="5C9DC9C9" w14:textId="77777777" w:rsidR="00D5674B" w:rsidRDefault="00D5674B" w:rsidP="00D33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0157366"/>
      <w:docPartObj>
        <w:docPartGallery w:val="Page Numbers (Bottom of Page)"/>
        <w:docPartUnique/>
      </w:docPartObj>
    </w:sdtPr>
    <w:sdtContent>
      <w:p w14:paraId="22F41CA1" w14:textId="7EEC84DF" w:rsidR="00D331CC" w:rsidRDefault="00D331CC" w:rsidP="009A3E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93C2213" w14:textId="77777777" w:rsidR="00D331CC" w:rsidRDefault="00D331CC" w:rsidP="00D331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0769040"/>
      <w:docPartObj>
        <w:docPartGallery w:val="Page Numbers (Bottom of Page)"/>
        <w:docPartUnique/>
      </w:docPartObj>
    </w:sdtPr>
    <w:sdtContent>
      <w:p w14:paraId="7DDF0EB0" w14:textId="7DC3280C" w:rsidR="00D331CC" w:rsidRDefault="00D331CC" w:rsidP="009A3E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E7C78B" w14:textId="77777777" w:rsidR="00D331CC" w:rsidRDefault="00D331CC" w:rsidP="00D331C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A195C" w14:textId="77777777" w:rsidR="00D5674B" w:rsidRDefault="00D5674B" w:rsidP="00D331CC">
      <w:r>
        <w:separator/>
      </w:r>
    </w:p>
  </w:footnote>
  <w:footnote w:type="continuationSeparator" w:id="0">
    <w:p w14:paraId="55B71FAB" w14:textId="77777777" w:rsidR="00D5674B" w:rsidRDefault="00D5674B" w:rsidP="00D33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1B41" w14:textId="111EAAD7" w:rsidR="00D331CC" w:rsidRDefault="00D331CC">
    <w:pPr>
      <w:pStyle w:val="Header"/>
    </w:pPr>
    <w:r>
      <w:t>2410233</w:t>
    </w:r>
    <w:r>
      <w:ptab w:relativeTo="margin" w:alignment="center" w:leader="none"/>
    </w:r>
    <w:r>
      <w:t>ECEY6011</w:t>
    </w:r>
    <w:r>
      <w:ptab w:relativeTo="margin" w:alignment="right" w:leader="none"/>
    </w:r>
    <w:r>
      <w:t>Word Count: 1982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841BF"/>
    <w:multiLevelType w:val="multilevel"/>
    <w:tmpl w:val="2168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5827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493"/>
    <w:rsid w:val="000B221E"/>
    <w:rsid w:val="002678F9"/>
    <w:rsid w:val="002E45FD"/>
    <w:rsid w:val="002E6F46"/>
    <w:rsid w:val="00500C63"/>
    <w:rsid w:val="0051460F"/>
    <w:rsid w:val="00514F44"/>
    <w:rsid w:val="00525F09"/>
    <w:rsid w:val="00690935"/>
    <w:rsid w:val="008802A3"/>
    <w:rsid w:val="008D6C59"/>
    <w:rsid w:val="00953ABD"/>
    <w:rsid w:val="00B339A9"/>
    <w:rsid w:val="00B363B2"/>
    <w:rsid w:val="00B86BD1"/>
    <w:rsid w:val="00BE1073"/>
    <w:rsid w:val="00D23CB1"/>
    <w:rsid w:val="00D331CC"/>
    <w:rsid w:val="00D5674B"/>
    <w:rsid w:val="00DB6384"/>
    <w:rsid w:val="00DC6231"/>
    <w:rsid w:val="00EB523D"/>
    <w:rsid w:val="00EB6933"/>
    <w:rsid w:val="00F54124"/>
    <w:rsid w:val="00FA1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E929"/>
  <w15:chartTrackingRefBased/>
  <w15:docId w15:val="{958C29BB-320E-CA41-BDE9-3831F6727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14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4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4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4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4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4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4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4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4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14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4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4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493"/>
    <w:rPr>
      <w:rFonts w:eastAsiaTheme="majorEastAsia" w:cstheme="majorBidi"/>
      <w:color w:val="272727" w:themeColor="text1" w:themeTint="D8"/>
    </w:rPr>
  </w:style>
  <w:style w:type="paragraph" w:styleId="Title">
    <w:name w:val="Title"/>
    <w:basedOn w:val="Normal"/>
    <w:next w:val="Normal"/>
    <w:link w:val="TitleChar"/>
    <w:uiPriority w:val="10"/>
    <w:qFormat/>
    <w:rsid w:val="00FA14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49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4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1493"/>
    <w:rPr>
      <w:i/>
      <w:iCs/>
      <w:color w:val="404040" w:themeColor="text1" w:themeTint="BF"/>
    </w:rPr>
  </w:style>
  <w:style w:type="paragraph" w:styleId="ListParagraph">
    <w:name w:val="List Paragraph"/>
    <w:basedOn w:val="Normal"/>
    <w:uiPriority w:val="34"/>
    <w:qFormat/>
    <w:rsid w:val="00FA1493"/>
    <w:pPr>
      <w:ind w:left="720"/>
      <w:contextualSpacing/>
    </w:pPr>
  </w:style>
  <w:style w:type="character" w:styleId="IntenseEmphasis">
    <w:name w:val="Intense Emphasis"/>
    <w:basedOn w:val="DefaultParagraphFont"/>
    <w:uiPriority w:val="21"/>
    <w:qFormat/>
    <w:rsid w:val="00FA1493"/>
    <w:rPr>
      <w:i/>
      <w:iCs/>
      <w:color w:val="0F4761" w:themeColor="accent1" w:themeShade="BF"/>
    </w:rPr>
  </w:style>
  <w:style w:type="paragraph" w:styleId="IntenseQuote">
    <w:name w:val="Intense Quote"/>
    <w:basedOn w:val="Normal"/>
    <w:next w:val="Normal"/>
    <w:link w:val="IntenseQuoteChar"/>
    <w:uiPriority w:val="30"/>
    <w:qFormat/>
    <w:rsid w:val="00FA1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493"/>
    <w:rPr>
      <w:i/>
      <w:iCs/>
      <w:color w:val="0F4761" w:themeColor="accent1" w:themeShade="BF"/>
    </w:rPr>
  </w:style>
  <w:style w:type="character" w:styleId="IntenseReference">
    <w:name w:val="Intense Reference"/>
    <w:basedOn w:val="DefaultParagraphFont"/>
    <w:uiPriority w:val="32"/>
    <w:qFormat/>
    <w:rsid w:val="00FA1493"/>
    <w:rPr>
      <w:b/>
      <w:bCs/>
      <w:smallCaps/>
      <w:color w:val="0F4761" w:themeColor="accent1" w:themeShade="BF"/>
      <w:spacing w:val="5"/>
    </w:rPr>
  </w:style>
  <w:style w:type="paragraph" w:customStyle="1" w:styleId="isselectedend">
    <w:name w:val="isselectedend"/>
    <w:basedOn w:val="Normal"/>
    <w:rsid w:val="00FA149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A1493"/>
    <w:rPr>
      <w:b/>
      <w:bCs/>
    </w:rPr>
  </w:style>
  <w:style w:type="character" w:customStyle="1" w:styleId="apple-converted-space">
    <w:name w:val="apple-converted-space"/>
    <w:basedOn w:val="DefaultParagraphFont"/>
    <w:rsid w:val="00FA1493"/>
  </w:style>
  <w:style w:type="character" w:styleId="Emphasis">
    <w:name w:val="Emphasis"/>
    <w:basedOn w:val="DefaultParagraphFont"/>
    <w:uiPriority w:val="20"/>
    <w:qFormat/>
    <w:rsid w:val="00FA1493"/>
    <w:rPr>
      <w:i/>
      <w:iCs/>
    </w:rPr>
  </w:style>
  <w:style w:type="paragraph" w:styleId="NormalWeb">
    <w:name w:val="Normal (Web)"/>
    <w:basedOn w:val="Normal"/>
    <w:uiPriority w:val="99"/>
    <w:unhideWhenUsed/>
    <w:rsid w:val="00FA149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8D6C59"/>
  </w:style>
  <w:style w:type="paragraph" w:styleId="Header">
    <w:name w:val="header"/>
    <w:basedOn w:val="Normal"/>
    <w:link w:val="HeaderChar"/>
    <w:uiPriority w:val="99"/>
    <w:unhideWhenUsed/>
    <w:rsid w:val="00D331CC"/>
    <w:pPr>
      <w:tabs>
        <w:tab w:val="center" w:pos="4513"/>
        <w:tab w:val="right" w:pos="9026"/>
      </w:tabs>
    </w:pPr>
  </w:style>
  <w:style w:type="character" w:customStyle="1" w:styleId="HeaderChar">
    <w:name w:val="Header Char"/>
    <w:basedOn w:val="DefaultParagraphFont"/>
    <w:link w:val="Header"/>
    <w:uiPriority w:val="99"/>
    <w:rsid w:val="00D331CC"/>
  </w:style>
  <w:style w:type="paragraph" w:styleId="Footer">
    <w:name w:val="footer"/>
    <w:basedOn w:val="Normal"/>
    <w:link w:val="FooterChar"/>
    <w:uiPriority w:val="99"/>
    <w:unhideWhenUsed/>
    <w:rsid w:val="00D331CC"/>
    <w:pPr>
      <w:tabs>
        <w:tab w:val="center" w:pos="4513"/>
        <w:tab w:val="right" w:pos="9026"/>
      </w:tabs>
    </w:pPr>
  </w:style>
  <w:style w:type="character" w:customStyle="1" w:styleId="FooterChar">
    <w:name w:val="Footer Char"/>
    <w:basedOn w:val="DefaultParagraphFont"/>
    <w:link w:val="Footer"/>
    <w:uiPriority w:val="99"/>
    <w:rsid w:val="00D331CC"/>
  </w:style>
  <w:style w:type="character" w:styleId="PageNumber">
    <w:name w:val="page number"/>
    <w:basedOn w:val="DefaultParagraphFont"/>
    <w:uiPriority w:val="99"/>
    <w:semiHidden/>
    <w:unhideWhenUsed/>
    <w:rsid w:val="00D331CC"/>
  </w:style>
  <w:style w:type="character" w:customStyle="1" w:styleId="normaltextrun">
    <w:name w:val="normaltextrun"/>
    <w:basedOn w:val="DefaultParagraphFont"/>
    <w:rsid w:val="00D331CC"/>
  </w:style>
  <w:style w:type="character" w:styleId="Hyperlink">
    <w:name w:val="Hyperlink"/>
    <w:basedOn w:val="DefaultParagraphFont"/>
    <w:uiPriority w:val="99"/>
    <w:unhideWhenUsed/>
    <w:rsid w:val="002E6F46"/>
    <w:rPr>
      <w:color w:val="467886" w:themeColor="hyperlink"/>
      <w:u w:val="single"/>
    </w:rPr>
  </w:style>
  <w:style w:type="character" w:styleId="UnresolvedMention">
    <w:name w:val="Unresolved Mention"/>
    <w:basedOn w:val="DefaultParagraphFont"/>
    <w:uiPriority w:val="99"/>
    <w:semiHidden/>
    <w:unhideWhenUsed/>
    <w:rsid w:val="002E6F46"/>
    <w:rPr>
      <w:color w:val="605E5C"/>
      <w:shd w:val="clear" w:color="auto" w:fill="E1DFDD"/>
    </w:rPr>
  </w:style>
  <w:style w:type="character" w:customStyle="1" w:styleId="eop">
    <w:name w:val="eop"/>
    <w:basedOn w:val="DefaultParagraphFont"/>
    <w:rsid w:val="00EB5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27383645_Beyond_Quality_in_Early_Childhood_Education_and_Care_-_Languages_of_Evaluation" TargetMode="External"/><Relationship Id="rId18" Type="http://schemas.openxmlformats.org/officeDocument/2006/relationships/hyperlink" Target="https://www.nichd.nih.gov/sites/default/files/publications/pubs/documents/seccyd_06.pdf" TargetMode="External"/><Relationship Id="rId26" Type="http://schemas.openxmlformats.org/officeDocument/2006/relationships/hyperlink" Target="https://www.gov.wales/sites/default/files/publications/2025-09/national-minimum-standards-for-regulated-childcare.pdf" TargetMode="External"/><Relationship Id="rId3" Type="http://schemas.openxmlformats.org/officeDocument/2006/relationships/settings" Target="settings.xml"/><Relationship Id="rId21" Type="http://schemas.openxmlformats.org/officeDocument/2006/relationships/hyperlink" Target="https://dera.ioe.ac.uk/id/eprint/4650/1/RR356.pdf" TargetMode="External"/><Relationship Id="rId7" Type="http://schemas.openxmlformats.org/officeDocument/2006/relationships/hyperlink" Target="https://www.researchgate.net/profile/Stephen-Ball-14/publication/232916965_The_Teacher's_Soul_and_the_Terrors_of_Perfomativity/links/543b81b10cf24a6ddb977693/The-Teachers-Soul-and-the-Terrors-of-Perfomativity.pdf" TargetMode="External"/><Relationship Id="rId12" Type="http://schemas.openxmlformats.org/officeDocument/2006/relationships/hyperlink" Target="https://www.researchgate.net/publication/334861998_Listening_to_Young_Children_A_Mosaic_approach" TargetMode="External"/><Relationship Id="rId17" Type="http://schemas.openxmlformats.org/officeDocument/2006/relationships/hyperlink" Target="https://www.estyn.gov.wales/system/files/2022-10/Annual%20Report%20and%20Accounts%202021-2022.pdf" TargetMode="External"/><Relationship Id="rId25" Type="http://schemas.openxmlformats.org/officeDocument/2006/relationships/hyperlink" Target="https://www.gov.wales/sites/default/files/publications/2018-03/successful-futures.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arlyyears.wales/en/quality-for-all" TargetMode="External"/><Relationship Id="rId20" Type="http://schemas.openxmlformats.org/officeDocument/2006/relationships/hyperlink" Target="https://www.ncbi.nlm.nih.gov/books/NBK225557/"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inspectorate.wales/annual-report-2020-2021" TargetMode="External"/><Relationship Id="rId24" Type="http://schemas.openxmlformats.org/officeDocument/2006/relationships/hyperlink" Target="https://d1wqtxts1xzle7.cloudfront.net/40011524/vygotskysummary_missing-libre.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ubmed.ncbi.nlm.nih.gov/3045356/" TargetMode="External"/><Relationship Id="rId23" Type="http://schemas.openxmlformats.org/officeDocument/2006/relationships/hyperlink" Target="https://www.unicef.org/child-rights-convention/convention-text" TargetMode="External"/><Relationship Id="rId28" Type="http://schemas.openxmlformats.org/officeDocument/2006/relationships/hyperlink" Target="https://www.gov.wales/curriculum-wales-statutory-guidance" TargetMode="External"/><Relationship Id="rId10" Type="http://schemas.openxmlformats.org/officeDocument/2006/relationships/hyperlink" Target="https://raggeduniversity.co.uk/wp-content/uploads/2025/02/1_x_The-Ecology-of-Human-Development-_-Experiments-by-Nature-and-Urie-Bronfenbrenner-Harvard-University-Press-Cambridge-Mass-1979-_compressed.pdf" TargetMode="External"/><Relationship Id="rId19" Type="http://schemas.openxmlformats.org/officeDocument/2006/relationships/hyperlink" Target="https://books.google.co.uk/books?hl=en&amp;lr=&amp;id=0aqoAXhF_zgC&amp;oi=fnd&amp;pg=PP1"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researchgate.net/publication/41529875_Good_Education_in_an_Age_of_Measurement_On_the_Need_to_Reconnect_with_the_Question_of_Purpose_in_Education" TargetMode="External"/><Relationship Id="rId14" Type="http://schemas.openxmlformats.org/officeDocument/2006/relationships/hyperlink" Target="https://www.torrossa.com/en/resources/an/5671534" TargetMode="External"/><Relationship Id="rId22" Type="http://schemas.openxmlformats.org/officeDocument/2006/relationships/hyperlink" Target="https://dera.ioe.ac.uk/id/eprint/18189/2/SSU-SF-2004-01.pdf" TargetMode="External"/><Relationship Id="rId27" Type="http://schemas.openxmlformats.org/officeDocument/2006/relationships/hyperlink" Target="https://www.gov.wales/sites/default/files/publications/2025-09/national-minimum-standards-for-regulated-childcare.pdf" TargetMode="External"/><Relationship Id="rId30" Type="http://schemas.openxmlformats.org/officeDocument/2006/relationships/footer" Target="footer1.xml"/><Relationship Id="rId8" Type="http://schemas.openxmlformats.org/officeDocument/2006/relationships/hyperlink" Target="https://www.researchgate.net/publication/10802283_Disseminating_Innovations_in_Health_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3245</Words>
  <Characters>20254</Characters>
  <Application>Microsoft Office Word</Application>
  <DocSecurity>0</DocSecurity>
  <Lines>343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 (2410233)</dc:creator>
  <cp:keywords/>
  <dc:description/>
  <cp:lastModifiedBy>Mary Sharp (2410233)</cp:lastModifiedBy>
  <cp:revision>4</cp:revision>
  <dcterms:created xsi:type="dcterms:W3CDTF">2026-03-31T15:26:00Z</dcterms:created>
  <dcterms:modified xsi:type="dcterms:W3CDTF">2026-03-31T15:35:00Z</dcterms:modified>
</cp:coreProperties>
</file>